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vir-20260331.htm"/>
      <w:bookmarkStart w:id="1" w:name="ksavir20260331"/>
      <w:bookmarkEnd w:id="0"/>
      <w:bookmarkEnd w:id="1"/>
      <w:r>
        <w:rPr/>
        <w:t> </w:t>
      </w:r>
    </w:p>
    <w:p>
      <w:pPr>
        <w:pStyle w:val="TextBody"/>
        <w:pBdr>
          <w:top w:val="double" w:sz="4"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60" w:after="283"/>
        <w:jc w:val="center"/>
        <w:rPr/>
      </w:pPr>
      <w:r>
        <w:rPr/>
        <w:t> </w:t>
      </w:r>
    </w:p>
    <w:p>
      <w:pPr>
        <w:pStyle w:val="TextBody"/>
        <w:bidi w:val="0"/>
        <w:spacing w:before="90" w:after="283"/>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60" w:after="283"/>
        <w:jc w:val="center"/>
        <w:rPr>
          <w:rFonts w:ascii="Arial" w:hAnsi="Arial"/>
          <w:sz w:val="20"/>
        </w:rPr>
      </w:pPr>
      <w:r>
        <w:rPr>
          <w:rFonts w:ascii="Arial" w:hAnsi="Arial"/>
          <w:b/>
          <w:color w:val="000000"/>
          <w:sz w:val="20"/>
        </w:rPr>
        <w:t>For the quarterly period ended March 31, 2026</w:t>
      </w:r>
      <w:r>
        <w:rPr>
          <w:rFonts w:ascii="Arial" w:hAnsi="Arial"/>
          <w:color w:val="000000"/>
          <w:sz w:val="20"/>
        </w:rPr>
        <w:t xml:space="preserve"> </w:t>
      </w:r>
    </w:p>
    <w:p>
      <w:pPr>
        <w:pStyle w:val="TextBody"/>
        <w:bidi w:val="0"/>
        <w:spacing w:before="6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transition period from _______________ to _______________</w:t>
      </w:r>
    </w:p>
    <w:p>
      <w:pPr>
        <w:pStyle w:val="TextBody"/>
        <w:bidi w:val="0"/>
        <w:spacing w:before="60" w:after="283"/>
        <w:jc w:val="center"/>
        <w:rPr>
          <w:rFonts w:ascii="Arial" w:hAnsi="Arial"/>
          <w:b/>
          <w:color w:val="000000"/>
          <w:sz w:val="20"/>
        </w:rPr>
      </w:pPr>
      <w:r>
        <w:rPr>
          <w:rFonts w:ascii="Arial" w:hAnsi="Arial"/>
          <w:b/>
          <w:color w:val="000000"/>
          <w:sz w:val="20"/>
        </w:rPr>
        <w:t>Commission File Number: 001-39661</w:t>
      </w:r>
    </w:p>
    <w:p>
      <w:pPr>
        <w:pStyle w:val="TextBody"/>
        <w:pBdr>
          <w:bottom w:val="single" w:sz="4" w:space="1" w:color="000000"/>
        </w:pBdr>
        <w:bidi w:val="0"/>
        <w:spacing w:before="60" w:after="120"/>
        <w:jc w:val="center"/>
        <w:rPr/>
      </w:pPr>
      <w:r>
        <w:rPr/>
        <w:t> </w:t>
      </w:r>
    </w:p>
    <w:p>
      <w:pPr>
        <w:pStyle w:val="TextBody"/>
        <w:bidi w:val="0"/>
        <w:jc w:val="center"/>
        <w:rPr>
          <w:rFonts w:ascii="Arial" w:hAnsi="Arial"/>
          <w:b/>
          <w:color w:val="000000"/>
          <w:sz w:val="44"/>
        </w:rPr>
      </w:pPr>
      <w:r>
        <w:rPr>
          <w:rFonts w:ascii="Arial" w:hAnsi="Arial"/>
          <w:b/>
          <w:color w:val="000000"/>
          <w:sz w:val="44"/>
        </w:rPr>
        <w:t>Atea Pharmaceuticals,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232" w:type="dxa"/>
        <w:jc w:val="left"/>
        <w:tblInd w:w="0" w:type="dxa"/>
        <w:tblLayout w:type="fixed"/>
        <w:tblCellMar>
          <w:top w:w="28" w:type="dxa"/>
          <w:left w:w="28" w:type="dxa"/>
          <w:bottom w:w="28" w:type="dxa"/>
          <w:right w:w="28" w:type="dxa"/>
        </w:tblCellMar>
      </w:tblPr>
      <w:tblGrid>
        <w:gridCol w:w="2941"/>
        <w:gridCol w:w="1291"/>
      </w:tblGrid>
      <w:tr>
        <w:trPr/>
        <w:tc>
          <w:tcPr>
            <w:tcW w:w="294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46-0574869</w:t>
            </w:r>
          </w:p>
        </w:tc>
      </w:tr>
      <w:tr>
        <w:trPr/>
        <w:tc>
          <w:tcPr>
            <w:tcW w:w="294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94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225 Franklin Street, Suite 2100</w:t>
            </w:r>
          </w:p>
          <w:p>
            <w:pPr>
              <w:pStyle w:val="TableContents"/>
              <w:bidi w:val="0"/>
              <w:spacing w:before="0" w:after="283"/>
              <w:jc w:val="center"/>
              <w:rPr>
                <w:rFonts w:ascii="Arial" w:hAnsi="Arial"/>
                <w:sz w:val="20"/>
              </w:rPr>
            </w:pPr>
            <w:r>
              <w:rPr>
                <w:rFonts w:ascii="Arial" w:hAnsi="Arial"/>
                <w:b/>
                <w:color w:val="000000"/>
                <w:sz w:val="20"/>
              </w:rPr>
              <w:t>Boston, MA</w:t>
            </w:r>
            <w:r>
              <w:rPr>
                <w:rFonts w:ascii="Arial" w:hAnsi="Arial"/>
                <w:color w:val="000000"/>
                <w:sz w:val="20"/>
              </w:rPr>
              <w:t xml:space="preserve">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02110</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(857) 284-8891</w:t>
      </w:r>
    </w:p>
    <w:p>
      <w:pPr>
        <w:pStyle w:val="TextBody"/>
        <w:bidi w:val="0"/>
        <w:jc w:val="center"/>
        <w:rPr>
          <w:rFonts w:ascii="Arial" w:hAnsi="Arial"/>
          <w:b/>
          <w:color w:val="000000"/>
          <w:sz w:val="14"/>
        </w:rPr>
      </w:pPr>
      <w:r>
        <w:rPr>
          <w:rFonts w:ascii="Arial" w:hAnsi="Arial"/>
          <w:b/>
          <w:color w:val="000000"/>
          <w:sz w:val="14"/>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14"/>
        </w:rPr>
      </w:pPr>
      <w:r>
        <w:rPr>
          <w:rFonts w:ascii="Arial" w:hAnsi="Arial"/>
          <w:b/>
          <w:color w:val="000000"/>
          <w:sz w:val="14"/>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Arial" w:hAnsi="Arial"/>
          <w:sz w:val="20"/>
        </w:rPr>
      </w:pPr>
      <w:r>
        <w:rPr>
          <w:rFonts w:ascii="Arial" w:hAnsi="Arial"/>
          <w:color w:val="000000"/>
          <w:sz w:val="18"/>
        </w:rPr>
        <w:t>Securities registered pursuant to Section 12(b) of the Act:</w:t>
      </w:r>
      <w:r>
        <w:rPr>
          <w:rFonts w:ascii="Arial" w:hAnsi="Arial"/>
          <w:color w:val="000000"/>
          <w:sz w:val="20"/>
        </w:rPr>
        <w:t xml:space="preserve"> </w:t>
      </w:r>
    </w:p>
    <w:p>
      <w:pPr>
        <w:pStyle w:val="TextBody"/>
        <w:bidi w:val="0"/>
        <w:jc w:val="left"/>
        <w:rPr/>
      </w:pPr>
      <w:r>
        <w:rPr/>
        <w:t> </w:t>
      </w:r>
    </w:p>
    <w:tbl>
      <w:tblPr>
        <w:tblW w:w="8530" w:type="dxa"/>
        <w:jc w:val="left"/>
        <w:tblInd w:w="0" w:type="dxa"/>
        <w:tblLayout w:type="fixed"/>
        <w:tblCellMar>
          <w:top w:w="28" w:type="dxa"/>
          <w:left w:w="28" w:type="dxa"/>
          <w:bottom w:w="28" w:type="dxa"/>
          <w:right w:w="28" w:type="dxa"/>
        </w:tblCellMar>
      </w:tblPr>
      <w:tblGrid>
        <w:gridCol w:w="3661"/>
        <w:gridCol w:w="146"/>
        <w:gridCol w:w="916"/>
        <w:gridCol w:w="146"/>
        <w:gridCol w:w="366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AVIR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Select Market</w:t>
            </w:r>
          </w:p>
        </w:tc>
      </w:tr>
    </w:tbl>
    <w:p>
      <w:pPr>
        <w:pStyle w:val="TextBody"/>
        <w:bidi w:val="0"/>
        <w:jc w:val="left"/>
        <w:rPr/>
      </w:pPr>
      <w:r>
        <w:rPr/>
        <w:t> </w:t>
      </w:r>
    </w:p>
    <w:p>
      <w:pPr>
        <w:pStyle w:val="TextBody"/>
        <w:bidi w:val="0"/>
        <w:jc w:val="left"/>
        <w:rPr>
          <w:rFonts w:ascii="Arial" w:hAnsi="Arial"/>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 w:hAnsi="Arial"/>
          <w:color w:val="000000"/>
          <w:sz w:val="20"/>
        </w:rPr>
        <w:t xml:space="preserve"> ☒ </w:t>
      </w:r>
      <w:r>
        <w:rPr>
          <w:rFonts w:ascii="Arial" w:hAnsi="Arial"/>
          <w:color w:val="000000"/>
          <w:sz w:val="18"/>
        </w:rPr>
        <w:t>No ☐</w:t>
      </w:r>
    </w:p>
    <w:p>
      <w:pPr>
        <w:pStyle w:val="TextBody"/>
        <w:bidi w:val="0"/>
        <w:spacing w:before="60" w:after="283"/>
        <w:jc w:val="left"/>
        <w:rPr>
          <w:rFonts w:ascii="Arial" w:hAnsi="Arial"/>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 w:hAnsi="Arial"/>
          <w:color w:val="000000"/>
          <w:sz w:val="20"/>
        </w:rPr>
        <w:t xml:space="preserve"> ☒ </w:t>
      </w:r>
      <w:r>
        <w:rPr>
          <w:rFonts w:ascii="Arial" w:hAnsi="Arial"/>
          <w:color w:val="000000"/>
          <w:sz w:val="18"/>
        </w:rPr>
        <w:t>No ☐</w:t>
      </w:r>
    </w:p>
    <w:p>
      <w:pPr>
        <w:pStyle w:val="TextBody"/>
        <w:bidi w:val="0"/>
        <w:spacing w:before="6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Arial" w:hAnsi="Arial"/>
          <w:sz w:val="20"/>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hAnsi="Arial"/>
          <w:color w:val="000000"/>
          <w:sz w:val="20"/>
        </w:rPr>
        <w:t xml:space="preserve"> </w:t>
      </w:r>
    </w:p>
    <w:p>
      <w:pPr>
        <w:pStyle w:val="TextBody"/>
        <w:bidi w:val="0"/>
        <w:spacing w:before="60" w:after="283"/>
        <w:jc w:val="left"/>
        <w:rPr>
          <w:rFonts w:ascii="Arial" w:hAnsi="Arial"/>
          <w:sz w:val="20"/>
        </w:rPr>
      </w:pPr>
      <w:r>
        <w:rPr>
          <w:rFonts w:ascii="Arial" w:hAnsi="Arial"/>
          <w:color w:val="000000"/>
          <w:sz w:val="18"/>
        </w:rPr>
        <w:t xml:space="preserve">Indicate by check mark whether the registrant is a shell company (as defined in Rule 12b-2 of the Exchange Act). Yes ☐ No </w:t>
      </w:r>
      <w:r>
        <w:rPr>
          <w:rFonts w:ascii="Arial" w:hAnsi="Arial"/>
          <w:color w:val="000000"/>
          <w:sz w:val="20"/>
        </w:rPr>
        <w:t>☒</w:t>
      </w:r>
    </w:p>
    <w:p>
      <w:pPr>
        <w:pStyle w:val="TextBody"/>
        <w:bidi w:val="0"/>
        <w:spacing w:before="60" w:after="283"/>
        <w:jc w:val="left"/>
        <w:rPr>
          <w:rFonts w:ascii="Arial" w:hAnsi="Arial"/>
          <w:sz w:val="20"/>
        </w:rPr>
      </w:pPr>
      <w:r>
        <w:rPr>
          <w:rFonts w:ascii="Arial" w:hAnsi="Arial"/>
          <w:color w:val="000000"/>
          <w:sz w:val="18"/>
        </w:rPr>
        <w:t>As of May 11, 2026, the registrant had 80,027,099</w:t>
      </w:r>
      <w:r>
        <w:rPr>
          <w:rFonts w:ascii="Arial" w:hAnsi="Arial"/>
          <w:color w:val="000000"/>
          <w:sz w:val="20"/>
        </w:rPr>
        <w:t xml:space="preserve"> </w:t>
      </w:r>
      <w:r>
        <w:rPr>
          <w:rFonts w:ascii="Arial" w:hAnsi="Arial"/>
          <w:color w:val="000000"/>
          <w:sz w:val="18"/>
        </w:rPr>
        <w:t>shares of common stock, $0.001 par value per share, outstanding.</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special_note_regarding_forward_looking_s"/>
      <w:bookmarkEnd w:id="2"/>
      <w:r>
        <w:rPr>
          <w:rFonts w:ascii="Arial" w:hAnsi="Arial"/>
          <w:b/>
          <w:color w:val="000000"/>
          <w:sz w:val="20"/>
        </w:rPr>
        <w:t>SPECIAL NOTE REGARDING FORWARD-LOOKING STATEMENTS AND INDUSTRY DATA</w:t>
      </w:r>
    </w:p>
    <w:p>
      <w:pPr>
        <w:pStyle w:val="TextBody"/>
        <w:bidi w:val="0"/>
        <w:jc w:val="left"/>
        <w:rPr>
          <w:rFonts w:ascii="Arial" w:hAnsi="Arial"/>
          <w:color w:val="000000"/>
          <w:sz w:val="20"/>
        </w:rPr>
      </w:pPr>
      <w:r>
        <w:rPr>
          <w:rFonts w:ascii="Arial" w:hAnsi="Arial"/>
          <w:color w:val="000000"/>
          <w:sz w:val="20"/>
        </w:rPr>
        <w:t>This Quarterly Report on Form 10-Q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development timelines and results and other future conditions. The words “aim,” “anticipate,” “believe,” “contemplate,” “continue,” “could,” “estimate,” “expect,” “goal,” “intend,” “may,” "objective," "on track," “plan,” “possible,” “potential,” “predict,” “project,” “seek,” “should,” “target,” “will,” “would” or the negative of these terms or other similar expressions are intended to identify forward-looking statements, although not all forward-looking statements contain these identifying words.</w:t>
      </w:r>
    </w:p>
    <w:p>
      <w:pPr>
        <w:pStyle w:val="TextBody"/>
        <w:bidi w:val="0"/>
        <w:jc w:val="left"/>
        <w:rPr>
          <w:rFonts w:ascii="Arial" w:hAnsi="Arial"/>
          <w:color w:val="000000"/>
          <w:sz w:val="20"/>
        </w:rPr>
      </w:pPr>
      <w:r>
        <w:rPr>
          <w:rFonts w:ascii="Arial" w:hAnsi="Arial"/>
          <w:color w:val="000000"/>
          <w:sz w:val="20"/>
        </w:rPr>
        <w:t>These forward-looking statements include, among other things,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relating to clinical trials for our hepatitis C virus (“HCV”) and hepatitis E virus ("HEV") product candidates and any other potential product candidates, including projected costs, study designs and the timing for initiation, recruitment, completion, and reporting interim, top-line and final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therapeutic benefit of our HCV and HEV product candidates and market opportunities therefor;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safety profile and related adverse events of our HCV and HEV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plans to research, develop and commercialize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benefits of any future collaboration we may enter into;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and our ability to apply for, and if successful, obtain and maintain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expected size of the commercial market for our HCV and HEV product candidates and any other product candidate for which we may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rate and degree of market acceptance and clinical utility of any products for which we may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manufacturing and commercialization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estimates regarding future revenue, expenses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progress of, timing of and amount of expenses associated with our research, development and commercialization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future financial position, capital requirements, cash runway, needs for additional financing and the availability of such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strategy and review of strategic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developments relating to our industry and our competitors, including competing HCV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federal, state and foreign laws and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attract, motivate, and retain key personnel.</w:t>
      </w:r>
    </w:p>
    <w:p>
      <w:pPr>
        <w:pStyle w:val="TextBody"/>
        <w:bidi w:val="0"/>
        <w:jc w:val="left"/>
        <w:rPr/>
      </w:pPr>
      <w:r>
        <w:rPr/>
        <w:t> </w:t>
      </w:r>
    </w:p>
    <w:p>
      <w:pPr>
        <w:pStyle w:val="TextBody"/>
        <w:bidi w:val="0"/>
        <w:spacing w:before="120" w:after="283"/>
        <w:jc w:val="left"/>
        <w:rPr>
          <w:rFonts w:ascii="Arial" w:hAnsi="Arial"/>
          <w:sz w:val="20"/>
        </w:rPr>
      </w:pPr>
      <w:r>
        <w:rPr>
          <w:rFonts w:ascii="Arial" w:hAnsi="Arial"/>
          <w:color w:val="000000"/>
          <w:sz w:val="20"/>
        </w:rPr>
        <w:t xml:space="preserve">These forward-looking statements are based on management’s current expectations, estimates, forecasts and projections about our business and the industry in which we operate.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results from our clinical trials, ongoing discussions with and actions by regulatory authorities, our development activities and those other factors we discuss in </w:t>
      </w:r>
      <w:r>
        <w:rPr>
          <w:rFonts w:ascii="Arial" w:hAnsi="Arial"/>
          <w:i/>
          <w:color w:val="000000"/>
          <w:sz w:val="20"/>
        </w:rPr>
        <w:t>Part II, Item 1A. “Risk Factors”</w:t>
      </w:r>
      <w:r>
        <w:rPr>
          <w:rFonts w:ascii="Arial" w:hAnsi="Arial"/>
          <w:color w:val="000000"/>
          <w:sz w:val="20"/>
        </w:rPr>
        <w:t xml:space="preserve"> in this Quarterly Report on Form 10-Q. You should read these risk factors and the other cautionary statements made in this report as being applicable to all related forward-looking statements wherever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they appear in this report. The risk factors are not exhaustive and other sections of this report may include additional factors which could adversely impact our business and financial performance. </w:t>
      </w:r>
    </w:p>
    <w:p>
      <w:pPr>
        <w:pStyle w:val="TextBody"/>
        <w:bidi w:val="0"/>
        <w:spacing w:before="120" w:after="283"/>
        <w:jc w:val="left"/>
        <w:rPr>
          <w:rFonts w:ascii="Arial" w:hAnsi="Arial"/>
          <w:color w:val="000000"/>
          <w:sz w:val="20"/>
        </w:rPr>
      </w:pPr>
      <w:r>
        <w:rPr>
          <w:rFonts w:ascii="Arial" w:hAnsi="Arial"/>
          <w:color w:val="000000"/>
          <w:sz w:val="20"/>
        </w:rPr>
        <w:t>Drug development and commercialization involve a high degree of risk, and only a small number of research and development programs result in commercialization of a product. Preliminary and interim results from any trial and results in early-stage clinical trials may not be indicative of full results or results from later stage or larger scale clinical trials and do not ensure regulatory approval.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left"/>
        <w:rPr>
          <w:rFonts w:ascii="Arial" w:hAnsi="Arial"/>
          <w:color w:val="000000"/>
          <w:sz w:val="20"/>
        </w:rPr>
      </w:pPr>
      <w:r>
        <w:rPr>
          <w:rFonts w:ascii="Arial" w:hAnsi="Arial"/>
          <w:color w:val="000000"/>
          <w:sz w:val="20"/>
        </w:rPr>
        <w:t>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pStyle w:val="TextBody"/>
        <w:bidi w:val="0"/>
        <w:spacing w:before="120" w:after="283"/>
        <w:jc w:val="left"/>
        <w:rPr>
          <w:rFonts w:ascii="Arial" w:hAnsi="Arial"/>
          <w:color w:val="000000"/>
          <w:sz w:val="20"/>
        </w:rPr>
      </w:pPr>
      <w:r>
        <w:rPr>
          <w:rFonts w:ascii="Arial" w:hAnsi="Arial"/>
          <w:color w:val="000000"/>
          <w:sz w:val="20"/>
        </w:rPr>
        <w:t xml:space="preserve">As used in this Quarterly Report on Form 10-Q, unless otherwise specified or the context otherwise requires, the terms “we,” “our,” “us,” and the “Company” refer to Atea Pharmaceuticals, Inc. and its subsidiary. All brand names or trademarks appearing in this Quarterly Report on Form 10-Q are the property of their respective owners.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Quarterly Report on Form 10-Q includes statistical and other industry and market data that we obtained from industry publications and research, surveys, and studies conducted by third parties as well as our own estimates of potential market opportunities. All of the market data used in this Quarterly Report on Form 10-Q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jc w:val="left"/>
        <w:rPr/>
      </w:pPr>
      <w:r>
        <w:rPr/>
        <w:t> </w:t>
      </w:r>
    </w:p>
    <w:p>
      <w:pPr>
        <w:pStyle w:val="TextBody"/>
        <w:bidi w:val="0"/>
        <w:spacing w:before="0" w:after="240"/>
        <w:jc w:val="center"/>
        <w:rPr>
          <w:rFonts w:ascii="Arial" w:hAnsi="Arial"/>
          <w:b/>
          <w:color w:val="000000"/>
          <w:sz w:val="20"/>
        </w:rPr>
      </w:pPr>
      <w:bookmarkStart w:id="3" w:name="trademarks_tradenames_and_service_marks"/>
      <w:bookmarkEnd w:id="3"/>
      <w:r>
        <w:rPr>
          <w:rFonts w:ascii="Arial" w:hAnsi="Arial"/>
          <w:b/>
          <w:color w:val="000000"/>
          <w:sz w:val="20"/>
        </w:rPr>
        <w:t>TRADEMARKS, TRADENAMES AND SERVICE MARKS</w:t>
      </w:r>
    </w:p>
    <w:p>
      <w:pPr>
        <w:pStyle w:val="TextBody"/>
        <w:bidi w:val="0"/>
        <w:spacing w:before="0" w:after="240"/>
        <w:jc w:val="both"/>
        <w:rPr>
          <w:rFonts w:ascii="Arial" w:hAnsi="Arial"/>
          <w:color w:val="000000"/>
          <w:sz w:val="20"/>
        </w:rPr>
      </w:pPr>
      <w:r>
        <w:rPr>
          <w:rFonts w:ascii="Arial" w:hAnsi="Arial"/>
          <w:color w:val="000000"/>
          <w:sz w:val="20"/>
        </w:rPr>
        <w:t>This Quarterly Report on Form 10-Q may include trademarks, tradenames and service marks that are the property of other organizations. Solely for convenience, trademarks and tradenames referred to in this Quarterly Report on Form 10-Q may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4" w:name="summary_risk_factors"/>
      <w:bookmarkEnd w:id="4"/>
      <w:r>
        <w:rPr>
          <w:rFonts w:ascii="Arial" w:hAnsi="Arial"/>
          <w:b/>
          <w:color w:val="000000"/>
          <w:sz w:val="20"/>
        </w:rPr>
        <w:t>SUMMARY RISK FACTORS</w:t>
      </w:r>
    </w:p>
    <w:p>
      <w:pPr>
        <w:pStyle w:val="TextBody"/>
        <w:bidi w:val="0"/>
        <w:spacing w:before="110" w:after="283"/>
        <w:jc w:val="left"/>
        <w:rPr>
          <w:rFonts w:ascii="Arial" w:hAnsi="Arial"/>
          <w:color w:val="000000"/>
          <w:sz w:val="20"/>
        </w:rPr>
      </w:pPr>
      <w:r>
        <w:rPr>
          <w:rFonts w:ascii="Arial" w:hAnsi="Arial"/>
          <w:color w:val="000000"/>
          <w:sz w:val="20"/>
        </w:rPr>
        <w:t>Our business is subject to numerous risks and uncertainties, including those described in Part II, Item 1A. “Risk Factors” in this Quarterly Report on Form 10-Q. 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a limited operating history and no history of successfully developing or commercializing any approved antiviral products, which may make it difficult to evaluate the success of our business to date and to assess the prospects for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incurred significant operating expenses since inception. We expect our expenditures will increase for the foreseeable future. We have no products that have generated any commercial revenue and we may not again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require substantial additional financing, which may not be available on acceptable terms, or at all. A failure to obtain this necessary capital when needed could force us to delay, limit, reduce or terminate our product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engage in strategic collaborations or other transactions that could disrupt our business, cause dilution to our stockholders, reduce our financial resources, and subject us to other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use our net operating loss carryforwards and other tax attributes to offset taxable income may be subject to certain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business is highly dependent on the success of our lead product candidate, the regimen of bemnifosbuvir and ruzasvir for the treatment of HCV infection. If we fail to successfully develop this product candidate or we are unable to obtain regulatory approval or successfully commercialize this or any other product candidates, or are significantly delayed in doing so, our business will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regulatory approval processes of the U.S. Food and Drug Administration (“FDA”) and comparable foreign regulatory authorities are lengthy, expensive, time-consuming and inherently unpredictable.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development, including enrollment and retention of patients in clinical trials, is an expensive, lengthy and uncertain process. We may encounter substantial delays and costs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intend to develop certain of our product candidates in combination with other product candidates that we discover or acquire, which exposes us to additional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product candidates may be associated with serious adverse events, undesirable side effects or have other properties that could halt their clinical development, prevent their regulatory approval, limit their commercial potential or result in significant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currently conduct, and may in the future, conduct clinical trials of our product candidates in sites outside the United States (“US”). The FDA may not accept data from trials conducted in foreign locations.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Interim, topline and preliminary data from our clinical trials that we announce or publish from time to time may change as more data become available and are subject to audit and verification procedures that could result in material changes in the final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be successful in our efforts to identify and successfully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healthcare laws and other legal compliance matters may materially and adversely affect our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commercialization may materially and adversely affect our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manufacturing and our dependence on third parties may materially and adversely affect our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Risks related to intellectual property may materially and adversely affect our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highly dependent on our management, directors and other key personnel.</w:t>
      </w:r>
    </w:p>
    <w:p>
      <w:pPr>
        <w:pStyle w:val="TextBody"/>
        <w:bidi w:val="0"/>
        <w:spacing w:before="240" w:after="283"/>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future success depends on our ability to retain officers, directors and key employee and to attract, retain and motivate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business and operations may suffer in the event of system failures, security breaches, deficiencies or intrusions which could materially affect our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the third parties whom we depend upon may be adversely affected by natural disasters or other unforeseen events resulting in business interruptions and our business continuity and disaster recovery plans may not adequately protect us from such business interruptions.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scrutiny of, and evolving expectations for, environmental, social, and governance initiatives could increase our costs, harm our reputation, or otherwise adversely impact our business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Litigation against us could be costly and time-consuming to defend and could result in additional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Unstable market and economic conditions may have serious adverse consequences on our business, financial condition and stock price.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Risks related to our common stock may materially and adversely affect our stock price.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TextBody"/>
        <w:bidi w:val="0"/>
        <w:jc w:val="left"/>
        <w:rPr/>
      </w:pPr>
      <w:r>
        <w:rPr/>
        <w:t> </w:t>
      </w:r>
    </w:p>
    <w:p>
      <w:pPr>
        <w:pStyle w:val="TextBody"/>
        <w:bidi w:val="0"/>
        <w:spacing w:before="10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5" w:name="toc_page"/>
      <w:bookmarkEnd w:id="5"/>
      <w:r>
        <w:rPr>
          <w:rFonts w:ascii="Arial" w:hAnsi="Arial"/>
          <w:b/>
          <w:color w:val="000000"/>
          <w:sz w:val="20"/>
        </w:rPr>
        <w:t>Table of</w:t>
      </w:r>
      <w:r>
        <w:rPr>
          <w:rFonts w:ascii="Arial" w:hAnsi="Arial"/>
          <w:color w:val="000000"/>
          <w:sz w:val="20"/>
        </w:rPr>
        <w:t xml:space="preserve"> </w:t>
      </w:r>
      <w:r>
        <w:rPr>
          <w:rFonts w:ascii="Arial" w:hAnsi="Arial"/>
          <w:b/>
          <w:color w:val="000000"/>
          <w:sz w:val="20"/>
        </w:rPr>
        <w:t>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Page</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_looking_s">
              <w:r>
                <w:rPr>
                  <w:rStyle w:val="InternetLink"/>
                  <w:rFonts w:ascii="Arial" w:hAnsi="Arial"/>
                  <w:color w:val="0000FF"/>
                  <w:sz w:val="20"/>
                  <w:u w:val="single"/>
                </w:rPr>
                <w:t>SPECIAL NOTE REGARDING FORWARD-LOOKING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ummary_risk_factors">
              <w:r>
                <w:rPr>
                  <w:rStyle w:val="InternetLink"/>
                  <w:rFonts w:ascii="Arial" w:hAnsi="Arial"/>
                  <w:color w:val="0000FF"/>
                  <w:sz w:val="20"/>
                  <w:u w:val="single"/>
                </w:rPr>
                <w:t>SUMMARY 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iii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Arial" w:hAnsi="Arial"/>
                  <w:color w:val="0000FF"/>
                  <w:sz w:val="20"/>
                  <w:u w:val="single"/>
                </w:rPr>
                <w:t>Condensed Consolidated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Arial" w:hAnsi="Arial"/>
                  <w:color w:val="0000FF"/>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Arial" w:hAnsi="Arial"/>
                  <w:color w:val="0000FF"/>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Arial" w:hAnsi="Arial"/>
                  <w:color w:val="0000FF"/>
                  <w:sz w:val="20"/>
                  <w:u w:val="single"/>
                </w:rPr>
                <w:t>Notes to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6" w:name="part_ifinancial_information"/>
      <w:bookmarkEnd w:id="6"/>
      <w:r>
        <w:rPr>
          <w:rFonts w:ascii="Arial" w:hAnsi="Arial"/>
          <w:b/>
          <w:color w:val="000000"/>
          <w:sz w:val="20"/>
        </w:rPr>
        <w:t>PART I—FINANCIAL INFORMATION</w:t>
      </w:r>
    </w:p>
    <w:p>
      <w:pPr>
        <w:pStyle w:val="TextBody"/>
        <w:bidi w:val="0"/>
        <w:spacing w:before="240" w:after="283"/>
        <w:jc w:val="left"/>
        <w:rPr>
          <w:rFonts w:ascii="Arial" w:hAnsi="Arial"/>
          <w:b/>
          <w:color w:val="000000"/>
          <w:sz w:val="20"/>
        </w:rPr>
      </w:pPr>
      <w:bookmarkStart w:id="7" w:name="item_1_financial_statements"/>
      <w:bookmarkEnd w:id="7"/>
      <w:r>
        <w:rPr>
          <w:rFonts w:ascii="Arial" w:hAnsi="Arial"/>
          <w:b/>
          <w:color w:val="000000"/>
          <w:sz w:val="20"/>
        </w:rPr>
        <w:t>Item 1. Financial Statements.</w:t>
      </w:r>
    </w:p>
    <w:p>
      <w:pPr>
        <w:pStyle w:val="TextBody"/>
        <w:bidi w:val="0"/>
        <w:spacing w:before="120" w:after="283"/>
        <w:jc w:val="left"/>
        <w:rPr>
          <w:rFonts w:ascii="Arial" w:hAnsi="Arial"/>
          <w:sz w:val="20"/>
        </w:rPr>
      </w:pPr>
      <w:r>
        <w:rPr>
          <w:rFonts w:ascii="Arial" w:hAnsi="Arial"/>
          <w:b/>
          <w:color w:val="000000"/>
          <w:sz w:val="36"/>
        </w:rPr>
        <w:t>Atea Pharmaceuticals, Inc.</w:t>
      </w:r>
      <w:r>
        <w:rPr>
          <w:rFonts w:ascii="Arial" w:hAnsi="Arial"/>
          <w:color w:val="000000"/>
          <w:sz w:val="20"/>
        </w:rPr>
        <w:t xml:space="preserve"> </w:t>
      </w:r>
    </w:p>
    <w:p>
      <w:pPr>
        <w:pStyle w:val="TextBody"/>
        <w:bidi w:val="0"/>
        <w:jc w:val="left"/>
        <w:rPr>
          <w:rFonts w:ascii="Arial" w:hAnsi="Arial"/>
          <w:sz w:val="20"/>
        </w:rPr>
      </w:pPr>
      <w:bookmarkStart w:id="8" w:name="consolidated_balance_sheets"/>
      <w:bookmarkEnd w:id="8"/>
      <w:r>
        <w:rPr>
          <w:rFonts w:ascii="Arial" w:hAnsi="Arial"/>
          <w:b/>
          <w:color w:val="000000"/>
          <w:sz w:val="36"/>
        </w:rPr>
        <w:t>Condensed Consolidated Balance Sheets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(in thousands, except share and per share amounts)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2"/>
        <w:gridCol w:w="146"/>
        <w:gridCol w:w="211"/>
        <w:gridCol w:w="856"/>
        <w:gridCol w:w="166"/>
        <w:gridCol w:w="146"/>
        <w:gridCol w:w="246"/>
        <w:gridCol w:w="1000"/>
        <w:gridCol w:w="772"/>
      </w:tblGrid>
      <w:tr>
        <w:trPr/>
        <w:tc>
          <w:tcPr>
            <w:tcW w:w="6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6662"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7"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March 31,</w:t>
              <w:br/>
              <w:t>2026</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46"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December 31,</w:t>
              <w:br/>
              <w:t>2025</w:t>
            </w:r>
          </w:p>
        </w:tc>
        <w:tc>
          <w:tcPr>
            <w:tcW w:w="772"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95,713</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206,117</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9,161</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310,991</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3,136</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315,218</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12,945</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25,996</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843</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39,784</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(see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Preferred stock, $0.001 par value per share; 10,000,000 shares</w:t>
              <w:br/>
              <w:t>   authorized; no 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Common stock, $0.001 par value; 300,000,000 shares authorized; </w:t>
              <w:br/>
              <w:t>80,027,099 and 78,126,796 shares issued and outstanding</w:t>
              <w:br/>
              <w:t>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797,751</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(522,569</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275,434</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315,218</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sz w:val="20"/>
        </w:rPr>
      </w:pPr>
      <w:r>
        <w:rPr>
          <w:rFonts w:ascii="Arial" w:hAnsi="Arial"/>
          <w:i/>
          <w:color w:val="000000"/>
          <w:sz w:val="15"/>
        </w:rPr>
        <w:t>The accompanying notes are an integral part of these unaudited condensed consolidated financial statements.</w:t>
      </w:r>
      <w:r>
        <w:rPr>
          <w:rFonts w:ascii="Arial" w:hAnsi="Arial"/>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sz w:val="20"/>
        </w:rPr>
      </w:pPr>
      <w:r>
        <w:rPr>
          <w:rFonts w:ascii="Arial" w:hAnsi="Arial"/>
          <w:b/>
          <w:color w:val="000000"/>
          <w:sz w:val="36"/>
        </w:rPr>
        <w:t>Atea Pharmaceuticals, Inc.</w:t>
      </w:r>
      <w:r>
        <w:rPr>
          <w:rFonts w:ascii="Arial" w:hAnsi="Arial"/>
          <w:color w:val="000000"/>
          <w:sz w:val="20"/>
        </w:rPr>
        <w:t xml:space="preserve"> </w:t>
      </w:r>
    </w:p>
    <w:p>
      <w:pPr>
        <w:pStyle w:val="TextBody"/>
        <w:bidi w:val="0"/>
        <w:jc w:val="left"/>
        <w:rPr>
          <w:rFonts w:ascii="Arial" w:hAnsi="Arial"/>
          <w:b/>
          <w:color w:val="000000"/>
          <w:sz w:val="36"/>
        </w:rPr>
      </w:pPr>
      <w:bookmarkStart w:id="9" w:name="consolidated_statements_operations_compr"/>
      <w:bookmarkEnd w:id="9"/>
      <w:r>
        <w:rPr>
          <w:rFonts w:ascii="Arial" w:hAnsi="Arial"/>
          <w:b/>
          <w:color w:val="000000"/>
          <w:sz w:val="36"/>
        </w:rPr>
        <w:t>Condensed Consolidated Statements of Operations and Comprehensive Loss</w:t>
      </w:r>
    </w:p>
    <w:p>
      <w:pPr>
        <w:pStyle w:val="TextBody"/>
        <w:bidi w:val="0"/>
        <w:jc w:val="left"/>
        <w:rPr>
          <w:rFonts w:ascii="Arial" w:hAnsi="Arial"/>
          <w:sz w:val="20"/>
        </w:rPr>
      </w:pPr>
      <w:r>
        <w:rPr>
          <w:rFonts w:ascii="Arial" w:hAnsi="Arial"/>
          <w:b/>
          <w:color w:val="000000"/>
          <w:sz w:val="20"/>
        </w:rPr>
        <w:t>(in thousands, except share and per share amounts)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tbl>
      <w:tblPr>
        <w:tblW w:w="9194" w:type="dxa"/>
        <w:jc w:val="left"/>
        <w:tblInd w:w="0" w:type="dxa"/>
        <w:tblLayout w:type="fixed"/>
        <w:tblCellMar>
          <w:top w:w="28" w:type="dxa"/>
          <w:left w:w="28" w:type="dxa"/>
          <w:bottom w:w="28" w:type="dxa"/>
          <w:right w:w="28" w:type="dxa"/>
        </w:tblCellMar>
      </w:tblPr>
      <w:tblGrid>
        <w:gridCol w:w="5851"/>
        <w:gridCol w:w="146"/>
        <w:gridCol w:w="211"/>
        <w:gridCol w:w="1066"/>
        <w:gridCol w:w="166"/>
        <w:gridCol w:w="146"/>
        <w:gridCol w:w="211"/>
        <w:gridCol w:w="1066"/>
        <w:gridCol w:w="33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85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6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33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29,584</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9,457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39,041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(39,041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(34,069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(34,272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(34,387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common shares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79,198,204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85,159,254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sz w:val="20"/>
        </w:rPr>
      </w:pPr>
      <w:r>
        <w:rPr>
          <w:rFonts w:ascii="Arial" w:hAnsi="Arial"/>
          <w:i/>
          <w:color w:val="000000"/>
          <w:sz w:val="15"/>
        </w:rPr>
        <w:t>The accompanying notes are an integral part of these unaudited condensed consolidated financial statements.</w:t>
      </w:r>
      <w:r>
        <w:rPr>
          <w:rFonts w:ascii="Arial" w:hAnsi="Arial"/>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sz w:val="20"/>
        </w:rPr>
      </w:pPr>
      <w:r>
        <w:rPr>
          <w:rFonts w:ascii="Arial" w:hAnsi="Arial"/>
          <w:b/>
          <w:color w:val="000000"/>
          <w:sz w:val="36"/>
        </w:rPr>
        <w:t>Atea Pharmaceuticals, Inc.</w:t>
      </w:r>
      <w:r>
        <w:rPr>
          <w:rFonts w:ascii="Arial" w:hAnsi="Arial"/>
          <w:color w:val="000000"/>
          <w:sz w:val="20"/>
        </w:rPr>
        <w:t xml:space="preserve"> </w:t>
      </w:r>
    </w:p>
    <w:p>
      <w:pPr>
        <w:pStyle w:val="TextBody"/>
        <w:bidi w:val="0"/>
        <w:jc w:val="left"/>
        <w:rPr>
          <w:rFonts w:ascii="Arial" w:hAnsi="Arial"/>
          <w:b/>
          <w:color w:val="000000"/>
          <w:sz w:val="36"/>
        </w:rPr>
      </w:pPr>
      <w:bookmarkStart w:id="10" w:name="consolidated_statements_convertible_pref"/>
      <w:bookmarkEnd w:id="10"/>
      <w:r>
        <w:rPr>
          <w:rFonts w:ascii="Arial" w:hAnsi="Arial"/>
          <w:b/>
          <w:color w:val="000000"/>
          <w:sz w:val="36"/>
        </w:rPr>
        <w:t>Condensed Consolidated Statements of Stockholders’ Equity</w:t>
      </w:r>
    </w:p>
    <w:p>
      <w:pPr>
        <w:pStyle w:val="TextBody"/>
        <w:bidi w:val="0"/>
        <w:jc w:val="left"/>
        <w:rPr>
          <w:rFonts w:ascii="Arial" w:hAnsi="Arial"/>
          <w:sz w:val="20"/>
        </w:rPr>
      </w:pPr>
      <w:r>
        <w:rPr>
          <w:rFonts w:ascii="Arial" w:hAnsi="Arial"/>
          <w:b/>
          <w:color w:val="000000"/>
          <w:sz w:val="20"/>
        </w:rPr>
        <w:t>(in thousands, except share amounts)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597"/>
        <w:gridCol w:w="146"/>
        <w:gridCol w:w="146"/>
        <w:gridCol w:w="916"/>
        <w:gridCol w:w="146"/>
        <w:gridCol w:w="146"/>
        <w:gridCol w:w="271"/>
        <w:gridCol w:w="480"/>
        <w:gridCol w:w="146"/>
        <w:gridCol w:w="146"/>
        <w:gridCol w:w="208"/>
        <w:gridCol w:w="736"/>
        <w:gridCol w:w="166"/>
        <w:gridCol w:w="146"/>
        <w:gridCol w:w="519"/>
        <w:gridCol w:w="872"/>
        <w:gridCol w:w="166"/>
        <w:gridCol w:w="146"/>
        <w:gridCol w:w="239"/>
        <w:gridCol w:w="917"/>
        <w:gridCol w:w="166"/>
        <w:gridCol w:w="146"/>
        <w:gridCol w:w="270"/>
        <w:gridCol w:w="954"/>
        <w:gridCol w:w="414"/>
      </w:tblGrid>
      <w:tr>
        <w:trPr/>
        <w:tc>
          <w:tcPr>
            <w:tcW w:w="1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597"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05"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44"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391"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Other</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56"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4"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4"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 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78,126,796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797,751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275,434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1,216,262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630,075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(45,440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80,027,099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801,735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(568,009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233,709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97"/>
        <w:gridCol w:w="146"/>
        <w:gridCol w:w="146"/>
        <w:gridCol w:w="916"/>
        <w:gridCol w:w="146"/>
        <w:gridCol w:w="146"/>
        <w:gridCol w:w="271"/>
        <w:gridCol w:w="480"/>
        <w:gridCol w:w="146"/>
        <w:gridCol w:w="146"/>
        <w:gridCol w:w="208"/>
        <w:gridCol w:w="736"/>
        <w:gridCol w:w="166"/>
        <w:gridCol w:w="146"/>
        <w:gridCol w:w="519"/>
        <w:gridCol w:w="872"/>
        <w:gridCol w:w="166"/>
        <w:gridCol w:w="146"/>
        <w:gridCol w:w="239"/>
        <w:gridCol w:w="917"/>
        <w:gridCol w:w="166"/>
        <w:gridCol w:w="146"/>
        <w:gridCol w:w="270"/>
        <w:gridCol w:w="954"/>
        <w:gridCol w:w="414"/>
      </w:tblGrid>
      <w:tr>
        <w:trPr/>
        <w:tc>
          <w:tcPr>
            <w:tcW w:w="1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597"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05"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44"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391"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Other</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56"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4"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4"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 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84,463,059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802,770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438,867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1,062,120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(34,272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85,579,475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809,373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411,084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sz w:val="20"/>
        </w:rPr>
      </w:pPr>
      <w:r>
        <w:rPr>
          <w:rFonts w:ascii="Arial" w:hAnsi="Arial"/>
          <w:i/>
          <w:color w:val="000000"/>
          <w:sz w:val="15"/>
        </w:rPr>
        <w:t>The accompanying notes are an integral part of these unaudited condensed consolidated financial statements.</w:t>
      </w:r>
      <w:r>
        <w:rPr>
          <w:rFonts w:ascii="Arial" w:hAnsi="Arial"/>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36"/>
        </w:rPr>
      </w:pPr>
      <w:r>
        <w:rPr>
          <w:rFonts w:ascii="Arial" w:hAnsi="Arial"/>
          <w:b/>
          <w:color w:val="000000"/>
          <w:sz w:val="36"/>
        </w:rPr>
        <w:t>Atea Pharmaceuticals, Inc.</w:t>
      </w:r>
    </w:p>
    <w:p>
      <w:pPr>
        <w:pStyle w:val="TextBody"/>
        <w:bidi w:val="0"/>
        <w:jc w:val="left"/>
        <w:rPr>
          <w:rFonts w:ascii="Arial" w:hAnsi="Arial"/>
          <w:sz w:val="20"/>
        </w:rPr>
      </w:pPr>
      <w:bookmarkStart w:id="11" w:name="consolidated_statements_cash_flows"/>
      <w:bookmarkEnd w:id="11"/>
      <w:r>
        <w:rPr>
          <w:rFonts w:ascii="Arial" w:hAnsi="Arial"/>
          <w:b/>
          <w:color w:val="000000"/>
          <w:sz w:val="36"/>
        </w:rPr>
        <w:t>Condensed Consolidated Statements of Cash Flows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(in thousands)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02"/>
        <w:gridCol w:w="146"/>
        <w:gridCol w:w="211"/>
        <w:gridCol w:w="796"/>
        <w:gridCol w:w="166"/>
        <w:gridCol w:w="146"/>
        <w:gridCol w:w="211"/>
        <w:gridCol w:w="856"/>
        <w:gridCol w:w="771"/>
      </w:tblGrid>
      <w:tr>
        <w:trPr/>
        <w:tc>
          <w:tcPr>
            <w:tcW w:w="6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902"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8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77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6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(34,272</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Adjustments to reconcile net loss to net cash used in </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6,951</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Accretion of premium and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(4,197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(30,563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(122,638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208,246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85,608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54,698</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64,696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119,394</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sz w:val="20"/>
        </w:rPr>
      </w:pPr>
      <w:r>
        <w:rPr>
          <w:rFonts w:ascii="Arial" w:hAnsi="Arial"/>
          <w:i/>
          <w:color w:val="000000"/>
          <w:sz w:val="15"/>
        </w:rPr>
        <w:t>The accompanying notes are an integral part of these unaudited condensed consolidated financial statements.</w:t>
      </w:r>
      <w:r>
        <w:rPr>
          <w:rFonts w:ascii="Arial" w:hAnsi="Arial"/>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sz w:val="20"/>
        </w:rPr>
      </w:pPr>
      <w:r>
        <w:rPr>
          <w:rFonts w:ascii="Arial" w:hAnsi="Arial"/>
          <w:b/>
          <w:color w:val="000000"/>
          <w:sz w:val="36"/>
        </w:rPr>
        <w:t>Atea Pharmaceuticals, Inc.</w:t>
      </w:r>
      <w:r>
        <w:rPr>
          <w:rFonts w:ascii="Arial" w:hAnsi="Arial"/>
          <w:color w:val="000000"/>
          <w:sz w:val="20"/>
        </w:rPr>
        <w:t xml:space="preserve"> </w:t>
      </w:r>
    </w:p>
    <w:p>
      <w:pPr>
        <w:pStyle w:val="TextBody"/>
        <w:bidi w:val="0"/>
        <w:jc w:val="left"/>
        <w:rPr>
          <w:rFonts w:ascii="Arial" w:hAnsi="Arial"/>
          <w:sz w:val="20"/>
        </w:rPr>
      </w:pPr>
      <w:bookmarkStart w:id="12" w:name="notes_to_consolidated_financial_statemen"/>
      <w:bookmarkEnd w:id="12"/>
      <w:r>
        <w:rPr>
          <w:rFonts w:ascii="Arial" w:hAnsi="Arial"/>
          <w:b/>
          <w:color w:val="000000"/>
          <w:sz w:val="36"/>
        </w:rPr>
        <w:t>Notes to Condensed Consolidated Financial Statements</w:t>
      </w:r>
      <w:r>
        <w:rPr>
          <w:rFonts w:ascii="Arial" w:hAnsi="Arial"/>
          <w:color w:val="000000"/>
          <w:sz w:val="20"/>
        </w:rPr>
        <w:t xml:space="preserve"> </w:t>
      </w:r>
    </w:p>
    <w:p>
      <w:pPr>
        <w:pStyle w:val="TextBody"/>
        <w:bidi w:val="0"/>
        <w:spacing w:before="120" w:after="283"/>
        <w:jc w:val="left"/>
        <w:rPr>
          <w:rFonts w:ascii="Arial" w:hAnsi="Arial"/>
          <w:sz w:val="20"/>
        </w:rPr>
      </w:pPr>
      <w:r>
        <w:rPr>
          <w:rFonts w:ascii="Arial" w:hAnsi="Arial"/>
          <w:b/>
          <w:color w:val="000000"/>
          <w:sz w:val="20"/>
        </w:rPr>
        <w:t>(in thousands, except share and per share amounts)</w:t>
      </w:r>
      <w:r>
        <w:rPr>
          <w:rFonts w:ascii="Arial" w:hAnsi="Arial"/>
          <w:color w:val="000000"/>
          <w:sz w:val="20"/>
        </w:rPr>
        <w:t xml:space="preserve"> </w:t>
      </w:r>
    </w:p>
    <w:p>
      <w:pPr>
        <w:pStyle w:val="TextBody"/>
        <w:bidi w:val="0"/>
        <w:jc w:val="left"/>
        <w:rPr>
          <w:rFonts w:ascii="Arial" w:hAnsi="Arial"/>
          <w:sz w:val="20"/>
        </w:rPr>
      </w:pPr>
      <w:r>
        <w:rPr>
          <w:rFonts w:ascii="Arial" w:hAnsi="Arial"/>
          <w:b/>
          <w:color w:val="000000"/>
          <w:sz w:val="20"/>
        </w:rPr>
        <w:t>(Unaudited)</w:t>
      </w:r>
      <w:r>
        <w:rPr>
          <w:rFonts w:ascii="Arial" w:hAnsi="Arial"/>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1. Nature of Business</w:t>
      </w:r>
    </w:p>
    <w:p>
      <w:pPr>
        <w:pStyle w:val="TextBody"/>
        <w:bidi w:val="0"/>
        <w:spacing w:before="240" w:after="283"/>
        <w:jc w:val="left"/>
        <w:rPr>
          <w:rFonts w:ascii="Arial" w:hAnsi="Arial"/>
          <w:sz w:val="20"/>
        </w:rPr>
      </w:pPr>
      <w:r>
        <w:rPr>
          <w:rFonts w:ascii="Arial" w:hAnsi="Arial"/>
          <w:b/>
          <w:i/>
          <w:color w:val="000000"/>
          <w:sz w:val="20"/>
        </w:rPr>
        <w:t>Business Overview</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Atea Pharmaceuticals, Inc., together with its wholly owned subsidiary, Atea Pharmaceuticals Securities Corporation, is referred to herein on a consolidated basis as “Atea” or the “Company”.</w:t>
      </w:r>
    </w:p>
    <w:p>
      <w:pPr>
        <w:pStyle w:val="TextBody"/>
        <w:bidi w:val="0"/>
        <w:spacing w:before="120" w:after="283"/>
        <w:jc w:val="left"/>
        <w:rPr>
          <w:rFonts w:ascii="Arial" w:hAnsi="Arial"/>
          <w:color w:val="000000"/>
          <w:sz w:val="20"/>
        </w:rPr>
      </w:pPr>
      <w:r>
        <w:rPr>
          <w:rFonts w:ascii="Arial" w:hAnsi="Arial"/>
          <w:color w:val="000000"/>
          <w:sz w:val="20"/>
        </w:rPr>
        <w:t>The Company is a late-stage clinical biopharmaceutical company focused on discovering, developing and commercializing oral antiviral therapeutics to improve the lives of patients suffering from serious viral infections. The Company’s lead product candidate, the regimen of bemnifosbuvir and ruzasvir is currently in Phase 3 clinical development for the treatment of hepatitis C virus (“HCV”). The Company is also developing AT-587 for the treatment of hepatitis E virus ("HEV").</w:t>
      </w:r>
    </w:p>
    <w:p>
      <w:pPr>
        <w:pStyle w:val="TextBody"/>
        <w:bidi w:val="0"/>
        <w:spacing w:before="120" w:after="283"/>
        <w:jc w:val="left"/>
        <w:rPr>
          <w:rFonts w:ascii="Arial" w:hAnsi="Arial"/>
          <w:color w:val="000000"/>
          <w:sz w:val="20"/>
        </w:rPr>
      </w:pPr>
      <w:r>
        <w:rPr>
          <w:rFonts w:ascii="Arial" w:hAnsi="Arial"/>
          <w:color w:val="000000"/>
          <w:sz w:val="20"/>
        </w:rPr>
        <w:t xml:space="preserve">The Company’s global HCV Phase 3 program consists of two randomized, open label studies: C-BEYOND which has clinical trial sites in the United States (“US”) and Canada and C-FORWARD which has clinical trial sites in countries outside of North America. The Phase 3 trials are comparing the regimen of bemnifosbuvir and ruzasvir to an active comparator, the regimen of sofosbuvir and velapatsvir, in patients with chronic HCV. The Phase 3 program is being conducted in geographically diverse regions in an effort to enroll patients with a broad array of the HCV genotypes. </w:t>
      </w:r>
    </w:p>
    <w:p>
      <w:pPr>
        <w:pStyle w:val="TextBody"/>
        <w:bidi w:val="0"/>
        <w:spacing w:before="120" w:after="283"/>
        <w:jc w:val="left"/>
        <w:rPr>
          <w:rFonts w:ascii="Arial" w:hAnsi="Arial"/>
          <w:color w:val="000000"/>
          <w:sz w:val="20"/>
        </w:rPr>
      </w:pPr>
      <w:r>
        <w:rPr>
          <w:rFonts w:ascii="Arial" w:hAnsi="Arial"/>
          <w:color w:val="000000"/>
          <w:sz w:val="20"/>
        </w:rPr>
        <w:t>C-BEYOND is fully enrolled with over 880 patients and the Company currently expects to report topline results in mid-2026. The Company anticipates completing enrollment of an additional approximately 880 patients in C-FORWARD in mid-2026 and reporting topline C-FORWARD results at year-end 2026. Pending successful results from the Phase 3 clinical trials, the Company is targeting March 2027 for submission to the US Food and Drug Administration (“FDA”) of a New Drug Application (“NDA”) for marketing approval.</w:t>
      </w:r>
    </w:p>
    <w:p>
      <w:pPr>
        <w:pStyle w:val="TextBody"/>
        <w:bidi w:val="0"/>
        <w:spacing w:before="120" w:after="283"/>
        <w:jc w:val="left"/>
        <w:rPr>
          <w:rFonts w:ascii="Arial" w:hAnsi="Arial"/>
          <w:color w:val="000000"/>
          <w:sz w:val="20"/>
        </w:rPr>
      </w:pPr>
      <w:r>
        <w:rPr>
          <w:rFonts w:ascii="Arial" w:hAnsi="Arial"/>
          <w:color w:val="000000"/>
          <w:sz w:val="20"/>
        </w:rPr>
        <w:t xml:space="preserve">In January 2026, the Company announced that AT-587 had been selected as the HEV clinical development product candidate. Currently, the Company anticipates it will initiate clinical development of AT-587 in a Phase 1 program in mid-2026. </w:t>
      </w:r>
    </w:p>
    <w:p>
      <w:pPr>
        <w:pStyle w:val="TextBody"/>
        <w:bidi w:val="0"/>
        <w:spacing w:before="240" w:after="283"/>
        <w:jc w:val="left"/>
        <w:rPr>
          <w:rFonts w:ascii="Arial" w:hAnsi="Arial"/>
          <w:sz w:val="20"/>
        </w:rPr>
      </w:pPr>
      <w:r>
        <w:rPr>
          <w:rFonts w:ascii="Arial" w:hAnsi="Arial"/>
          <w:b/>
          <w:i/>
          <w:color w:val="000000"/>
          <w:sz w:val="20"/>
        </w:rPr>
        <w:t>Liquidity and Capital Resources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As of March 31, 2026, the Company had $256,006 in cash, cash equivalents and marketable securities, which the Company believes will be sufficient to fund its operations for a period through at least twelve months from the issuance date of these interim condensed consolidated financial statements.</w:t>
      </w:r>
    </w:p>
    <w:p>
      <w:pPr>
        <w:pStyle w:val="TextBody"/>
        <w:bidi w:val="0"/>
        <w:spacing w:before="120" w:after="283"/>
        <w:jc w:val="left"/>
        <w:rPr>
          <w:rFonts w:ascii="Arial" w:hAnsi="Arial"/>
          <w:color w:val="000000"/>
          <w:sz w:val="20"/>
        </w:rPr>
      </w:pPr>
      <w:r>
        <w:rPr>
          <w:rFonts w:ascii="Arial" w:hAnsi="Arial"/>
          <w:color w:val="000000"/>
          <w:sz w:val="20"/>
        </w:rPr>
        <w:t>The Company is a party to an amended and restated open market sales agreement (“Sales Agreement”) with Jefferies LLC (“Jefferies”), under which the Company may from time to time offer and sell shares of its common stock (“Common Stock”) for an aggregate offering price of up to $200,000, through or to Jefferies, acting as sales agent or principal. The shares will be offered and sold under the Company’s shelf registration statement on Form S-3 and a related prospectus declared effective by the Securities and Exchange Commission (the “SEC”) on November 19, 2024. The Company has agreed to pay Jefferies a commission of 3.0% of the aggregate gross proceeds from each sale of shares, reimburse legal fees and disbursements and provide Jefferies with customary indemnification and contribution rights. As of March 31, 2026, no shares have been issued under the Sales Agreement.</w:t>
      </w:r>
    </w:p>
    <w:p>
      <w:pPr>
        <w:pStyle w:val="TextBody"/>
        <w:bidi w:val="0"/>
        <w:spacing w:before="240" w:after="283"/>
        <w:jc w:val="left"/>
        <w:rPr>
          <w:rFonts w:ascii="Arial" w:hAnsi="Arial"/>
          <w:sz w:val="20"/>
        </w:rPr>
      </w:pPr>
      <w:r>
        <w:rPr>
          <w:rFonts w:ascii="Arial" w:hAnsi="Arial"/>
          <w:b/>
          <w:i/>
          <w:color w:val="000000"/>
          <w:sz w:val="20"/>
        </w:rPr>
        <w:t>Risks and Uncertainties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Company is subject to risks and uncertainties common to late-stage clinical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develop, the need to gain broad acceptance among patients, payers and healthcare providers to successfully commercialize any product for which marketing approval is obtained and the need to secure and maintain adequate intellectual property protection for the Company’s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proprietary technology and products. Further, the Company is dependent on third-party service providers for the conduct of its preclinical research, clinical development and manufacturing activities. Product candidates currently under development, including the regimen of bemnifosbuvir and ruzasvir for the treatment of HCV, will require significant amounts of additional capital and additional research and development efforts, and all will require regulatory approval, prior to commercialization. Even if the Company is able to generate revenues from the sale of its product candidates, if any are approved and commercialized, it may not become profitable. If the Company fails to become profitable or is unable to sustain profitability on a continuing basis, then it may be unable to continue its operations at planned levels and be forced to reduce its operations. </w:t>
      </w:r>
    </w:p>
    <w:p>
      <w:pPr>
        <w:pStyle w:val="TextBody"/>
        <w:bidi w:val="0"/>
        <w:spacing w:before="120" w:after="283"/>
        <w:jc w:val="left"/>
        <w:rPr>
          <w:rFonts w:ascii="Arial" w:hAnsi="Arial"/>
          <w:color w:val="000000"/>
          <w:sz w:val="20"/>
        </w:rPr>
      </w:pPr>
      <w:r>
        <w:rPr>
          <w:rFonts w:ascii="Arial" w:hAnsi="Arial"/>
          <w:color w:val="000000"/>
          <w:sz w:val="20"/>
        </w:rPr>
        <w:t xml:space="preserve">The Company may seek additional capital through one or more of a combination of financing through the sale of additional equity securities, debt financing, or funding in connection with any new collaborative relationships it may enter into or other arrangements. There can be no assurance that the Company will be able to obtain such additional funding, on terms acceptable to the Company, on a timely basis or at all. The terms of any financing may adversely affect the holdings or the rights of the Company’s existing stockholders. The Company’s cost of financing and its access to potential sources of future liquidity may be adversely impacted by a number of factors, including, without limitation, then current geopolitical events and the conditions in the financial markets including market volatility and rates of interest and inflation. </w:t>
      </w:r>
    </w:p>
    <w:p>
      <w:pPr>
        <w:pStyle w:val="TextBody"/>
        <w:bidi w:val="0"/>
        <w:spacing w:before="240" w:after="283"/>
        <w:jc w:val="left"/>
        <w:rPr>
          <w:rFonts w:ascii="Arial" w:hAnsi="Arial"/>
          <w:sz w:val="20"/>
        </w:rPr>
      </w:pPr>
      <w:r>
        <w:rPr>
          <w:rFonts w:ascii="Arial" w:hAnsi="Arial"/>
          <w:b/>
          <w:color w:val="000000"/>
          <w:sz w:val="20"/>
        </w:rPr>
        <w:t>2. Summary of Significant Accounting Policies</w:t>
      </w:r>
      <w:r>
        <w:rPr>
          <w:rFonts w:ascii="Arial" w:hAnsi="Arial"/>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Basis of Presentation and Use of Estimates</w:t>
      </w:r>
    </w:p>
    <w:p>
      <w:pPr>
        <w:pStyle w:val="TextBody"/>
        <w:bidi w:val="0"/>
        <w:spacing w:before="120" w:after="283"/>
        <w:jc w:val="left"/>
        <w:rPr>
          <w:rFonts w:ascii="Arial" w:hAnsi="Arial"/>
          <w:color w:val="000000"/>
          <w:sz w:val="20"/>
        </w:rPr>
      </w:pPr>
      <w:r>
        <w:rPr>
          <w:rFonts w:ascii="Arial" w:hAnsi="Arial"/>
          <w:color w:val="000000"/>
          <w:sz w:val="20"/>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SEC rules and regulations. Accordingly, these unaudited interim condensed consolidated financial statements should be read in conjunction with the Company’s audited consolidated financial statements and the notes thereto for the year ended December 31, 2025 included in the Company’s Annual Report on Form 10-K filed with the SEC on March 5, 2026.</w:t>
      </w:r>
    </w:p>
    <w:p>
      <w:pPr>
        <w:pStyle w:val="TextBody"/>
        <w:bidi w:val="0"/>
        <w:spacing w:before="120" w:after="283"/>
        <w:jc w:val="left"/>
        <w:rPr>
          <w:rFonts w:ascii="Arial" w:hAnsi="Arial"/>
          <w:sz w:val="20"/>
        </w:rPr>
      </w:pPr>
      <w:r>
        <w:rPr>
          <w:rFonts w:ascii="Arial" w:hAnsi="Arial"/>
          <w:b/>
          <w:i/>
          <w:color w:val="000000"/>
          <w:sz w:val="20"/>
        </w:rPr>
        <w:t>Unaudited Interim Financial Information</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accompanying condensed consolidated balance sheet as of March 31, 2026, the condensed consolidated statements of operations and comprehensive loss for the three months ended March 31, 2026 and 2025, the condensed consolidated statements of stockholders’ equity for the three months ended March 31, 2026 and 2025, and the condensed consolidated statements of cash flows for the three months ended March 31, 2026 and 2025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2026, the results of its operations for the three months ended March 31, 2026 and 2025 and its cash flows for the three months ended March 31, 2026 and 2025. The results for the three months ended March 31, 2026 are not necessarily indicative of results to be expected for the year ending December 31, 2026, or any other interim period.</w:t>
      </w:r>
    </w:p>
    <w:p>
      <w:pPr>
        <w:pStyle w:val="TextBody"/>
        <w:bidi w:val="0"/>
        <w:spacing w:before="120" w:after="283"/>
        <w:jc w:val="left"/>
        <w:rPr>
          <w:rFonts w:ascii="Arial" w:hAnsi="Arial"/>
          <w:b/>
          <w:i/>
          <w:color w:val="000000"/>
          <w:sz w:val="20"/>
        </w:rPr>
      </w:pPr>
      <w:r>
        <w:rPr>
          <w:rFonts w:ascii="Arial" w:hAnsi="Arial"/>
          <w:b/>
          <w:i/>
          <w:color w:val="000000"/>
          <w:sz w:val="20"/>
        </w:rPr>
        <w:t>Principles of Consolidation</w:t>
      </w:r>
    </w:p>
    <w:p>
      <w:pPr>
        <w:pStyle w:val="TextBody"/>
        <w:bidi w:val="0"/>
        <w:spacing w:before="120" w:after="283"/>
        <w:jc w:val="left"/>
        <w:rPr>
          <w:rFonts w:ascii="Arial" w:hAnsi="Arial"/>
          <w:color w:val="000000"/>
          <w:sz w:val="20"/>
        </w:rPr>
      </w:pPr>
      <w:r>
        <w:rPr>
          <w:rFonts w:ascii="Arial" w:hAnsi="Arial"/>
          <w:color w:val="000000"/>
          <w:sz w:val="20"/>
        </w:rPr>
        <w:t>The condensed consolidated financial statements include the accounts of Atea Pharmaceuticals, Inc. and its wholly-owned subsidiary, Atea Pharmaceuticals Securities Corporation. All intercompany amounts have been eliminated in consolidation.</w:t>
      </w:r>
    </w:p>
    <w:p>
      <w:pPr>
        <w:pStyle w:val="TextBody"/>
        <w:bidi w:val="0"/>
        <w:spacing w:before="120" w:after="283"/>
        <w:jc w:val="left"/>
        <w:rPr>
          <w:rFonts w:ascii="Arial" w:hAnsi="Arial"/>
          <w:b/>
          <w:i/>
          <w:color w:val="000000"/>
          <w:sz w:val="20"/>
        </w:rPr>
      </w:pPr>
      <w:r>
        <w:rPr>
          <w:rFonts w:ascii="Arial" w:hAnsi="Arial"/>
          <w:b/>
          <w:i/>
          <w:color w:val="000000"/>
          <w:sz w:val="20"/>
        </w:rPr>
        <w:t>Significant Accounting Policies</w:t>
      </w:r>
    </w:p>
    <w:p>
      <w:pPr>
        <w:pStyle w:val="TextBody"/>
        <w:bidi w:val="0"/>
        <w:spacing w:before="120" w:after="283"/>
        <w:jc w:val="left"/>
        <w:rPr>
          <w:rFonts w:ascii="Arial" w:hAnsi="Arial"/>
          <w:color w:val="000000"/>
          <w:sz w:val="20"/>
        </w:rPr>
      </w:pPr>
      <w:r>
        <w:rPr>
          <w:rFonts w:ascii="Arial" w:hAnsi="Arial"/>
          <w:color w:val="000000"/>
          <w:sz w:val="20"/>
        </w:rPr>
        <w:t xml:space="preserve">The significant accounting policies used in the preparation of these condensed consolidated financial statements are consistent with those as described in the Annual Report on Form 10-K for the year ended December 31, 2025 filed with the SEC on March 5, 2026. </w:t>
      </w:r>
    </w:p>
    <w:p>
      <w:pPr>
        <w:pStyle w:val="TextBody"/>
        <w:bidi w:val="0"/>
        <w:spacing w:before="120" w:after="283"/>
        <w:jc w:val="left"/>
        <w:rPr>
          <w:rFonts w:ascii="Arial" w:hAnsi="Arial"/>
          <w:b/>
          <w:i/>
          <w:color w:val="000000"/>
          <w:sz w:val="20"/>
        </w:rPr>
      </w:pPr>
      <w:r>
        <w:rPr>
          <w:rFonts w:ascii="Arial" w:hAnsi="Arial"/>
          <w:b/>
          <w:i/>
          <w:color w:val="000000"/>
          <w:sz w:val="20"/>
        </w:rPr>
        <w:t>Recently Issued Accounting Pronouncements</w:t>
      </w:r>
    </w:p>
    <w:p>
      <w:pPr>
        <w:pStyle w:val="TextBody"/>
        <w:bidi w:val="0"/>
        <w:spacing w:before="120" w:after="283"/>
        <w:jc w:val="left"/>
        <w:rPr>
          <w:rFonts w:ascii="Arial" w:hAnsi="Arial"/>
          <w:color w:val="000000"/>
          <w:sz w:val="20"/>
        </w:rPr>
      </w:pPr>
      <w:r>
        <w:rPr>
          <w:rFonts w:ascii="Arial" w:hAnsi="Arial"/>
          <w:color w:val="000000"/>
          <w:sz w:val="20"/>
        </w:rPr>
        <w:t xml:space="preserve">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b/>
          <w:color w:val="000000"/>
          <w:sz w:val="20"/>
        </w:rPr>
      </w:pPr>
      <w:r>
        <w:rPr>
          <w:rFonts w:ascii="Arial" w:hAnsi="Arial"/>
          <w:b/>
          <w:color w:val="000000"/>
          <w:sz w:val="20"/>
        </w:rPr>
        <w:t>3. Marketable Securities</w:t>
      </w:r>
    </w:p>
    <w:tbl>
      <w:tblPr>
        <w:tblW w:w="10205" w:type="dxa"/>
        <w:jc w:val="left"/>
        <w:tblInd w:w="0" w:type="dxa"/>
        <w:tblLayout w:type="fixed"/>
        <w:tblCellMar>
          <w:top w:w="28" w:type="dxa"/>
          <w:left w:w="28" w:type="dxa"/>
          <w:bottom w:w="28" w:type="dxa"/>
          <w:right w:w="28" w:type="dxa"/>
        </w:tblCellMar>
      </w:tblPr>
      <w:tblGrid>
        <w:gridCol w:w="2217"/>
        <w:gridCol w:w="146"/>
        <w:gridCol w:w="291"/>
        <w:gridCol w:w="1102"/>
        <w:gridCol w:w="146"/>
        <w:gridCol w:w="146"/>
        <w:gridCol w:w="570"/>
        <w:gridCol w:w="935"/>
        <w:gridCol w:w="146"/>
        <w:gridCol w:w="146"/>
        <w:gridCol w:w="484"/>
        <w:gridCol w:w="1104"/>
        <w:gridCol w:w="166"/>
        <w:gridCol w:w="146"/>
        <w:gridCol w:w="356"/>
        <w:gridCol w:w="1347"/>
        <w:gridCol w:w="757"/>
      </w:tblGrid>
      <w:tr>
        <w:trPr/>
        <w:tc>
          <w:tcPr>
            <w:tcW w:w="2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2217"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93"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0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88"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03"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As of March 31, 2026</w:t>
            </w:r>
          </w:p>
        </w:tc>
        <w:tc>
          <w:tcPr>
            <w:tcW w:w="757"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Fair Value</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21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34,871</w:t>
            </w:r>
          </w:p>
        </w:tc>
        <w:tc>
          <w:tcPr>
            <w:tcW w:w="75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33,161</w:t>
            </w:r>
          </w:p>
        </w:tc>
        <w:tc>
          <w:tcPr>
            <w:tcW w:w="75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21,269</w:t>
            </w:r>
          </w:p>
        </w:tc>
        <w:tc>
          <w:tcPr>
            <w:tcW w:w="75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2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87,388</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217"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176,786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176,689</w:t>
            </w:r>
          </w:p>
        </w:tc>
        <w:tc>
          <w:tcPr>
            <w:tcW w:w="7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160"/>
        <w:gridCol w:w="146"/>
        <w:gridCol w:w="285"/>
        <w:gridCol w:w="1078"/>
        <w:gridCol w:w="146"/>
        <w:gridCol w:w="146"/>
        <w:gridCol w:w="488"/>
        <w:gridCol w:w="979"/>
        <w:gridCol w:w="146"/>
        <w:gridCol w:w="146"/>
        <w:gridCol w:w="584"/>
        <w:gridCol w:w="959"/>
        <w:gridCol w:w="166"/>
        <w:gridCol w:w="146"/>
        <w:gridCol w:w="392"/>
        <w:gridCol w:w="1482"/>
        <w:gridCol w:w="756"/>
      </w:tblGrid>
      <w:tr>
        <w:trPr/>
        <w:tc>
          <w:tcPr>
            <w:tcW w:w="2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160"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63"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7"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43"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74"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As of December 31, 2025</w:t>
            </w:r>
          </w:p>
        </w:tc>
        <w:tc>
          <w:tcPr>
            <w:tcW w:w="75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Fair Value</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59,845</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43,237</w:t>
            </w:r>
          </w:p>
        </w:tc>
        <w:tc>
          <w:tcPr>
            <w:tcW w:w="7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9,422</w:t>
            </w:r>
          </w:p>
        </w:tc>
        <w:tc>
          <w:tcPr>
            <w:tcW w:w="7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93,613</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160"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205,943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206,117</w:t>
            </w:r>
          </w:p>
        </w:tc>
        <w:tc>
          <w:tcPr>
            <w:tcW w:w="7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As of March 31, 2026 and December 31, 2025, the Company held 31 and one securities, respectively, that were in an unrealized loss position of $117 and $2, respectively. The Company has the intent and ability to hold such securities until recovery. As a result, the Company did not record any charges for credit-related impairments for its marketable debt securities for the three months ended March 31, 2026. </w:t>
      </w:r>
    </w:p>
    <w:p>
      <w:pPr>
        <w:pStyle w:val="TextBody"/>
        <w:bidi w:val="0"/>
        <w:spacing w:before="120" w:after="120"/>
        <w:jc w:val="left"/>
        <w:rPr>
          <w:rFonts w:ascii="Arial" w:hAnsi="Arial"/>
          <w:color w:val="000000"/>
          <w:sz w:val="20"/>
        </w:rPr>
      </w:pPr>
      <w:r>
        <w:rPr>
          <w:rFonts w:ascii="Arial" w:hAnsi="Arial"/>
          <w:color w:val="000000"/>
          <w:sz w:val="20"/>
        </w:rPr>
        <w:t>The fair value of available-for-sale marketable securities by contractual maturity was as follows as of March 31, 2026:</w:t>
      </w:r>
    </w:p>
    <w:tbl>
      <w:tblPr>
        <w:tblW w:w="5633" w:type="dxa"/>
        <w:jc w:val="left"/>
        <w:tblInd w:w="0" w:type="dxa"/>
        <w:tblLayout w:type="fixed"/>
        <w:tblCellMar>
          <w:top w:w="28" w:type="dxa"/>
          <w:left w:w="28" w:type="dxa"/>
          <w:bottom w:w="28" w:type="dxa"/>
          <w:right w:w="28" w:type="dxa"/>
        </w:tblCellMar>
      </w:tblPr>
      <w:tblGrid>
        <w:gridCol w:w="3751"/>
        <w:gridCol w:w="146"/>
        <w:gridCol w:w="323"/>
        <w:gridCol w:w="1222"/>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4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As of March 31,</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143,529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Maturing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176,689</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Company received proceeds of $104,284 and $208,246 from sales and maturities of marketable securities during the three months ended March 31, 2026 and 2025.</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4. Fair Value Measurements</w:t>
      </w:r>
      <w:r>
        <w:rPr>
          <w:rFonts w:ascii="Arial" w:hAnsi="Arial"/>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 xml:space="preserve">The following tables present information about the Company’s financial assets measured at fair value on a recurring basis and indicate the level of the fair value hierarchy utilized to determine such fair values: </w:t>
      </w:r>
    </w:p>
    <w:tbl>
      <w:tblPr>
        <w:tblW w:w="7955" w:type="dxa"/>
        <w:jc w:val="left"/>
        <w:tblInd w:w="0" w:type="dxa"/>
        <w:tblLayout w:type="fixed"/>
        <w:tblCellMar>
          <w:top w:w="28" w:type="dxa"/>
          <w:left w:w="28" w:type="dxa"/>
          <w:bottom w:w="28" w:type="dxa"/>
          <w:right w:w="28" w:type="dxa"/>
        </w:tblCellMar>
      </w:tblPr>
      <w:tblGrid>
        <w:gridCol w:w="2501"/>
        <w:gridCol w:w="146"/>
        <w:gridCol w:w="211"/>
        <w:gridCol w:w="691"/>
        <w:gridCol w:w="146"/>
        <w:gridCol w:w="146"/>
        <w:gridCol w:w="211"/>
        <w:gridCol w:w="796"/>
        <w:gridCol w:w="146"/>
        <w:gridCol w:w="146"/>
        <w:gridCol w:w="289"/>
        <w:gridCol w:w="476"/>
        <w:gridCol w:w="146"/>
        <w:gridCol w:w="146"/>
        <w:gridCol w:w="211"/>
        <w:gridCol w:w="796"/>
        <w:gridCol w:w="75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557" w:type="dxa"/>
            <w:gridSpan w:val="14"/>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 xml:space="preserve">Fair Value Measurements as of </w:t>
              <w:br/>
              <w:t>March 31, 2026</w:t>
            </w:r>
          </w:p>
        </w:tc>
        <w:tc>
          <w:tcPr>
            <w:tcW w:w="75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Total</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68,794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34,871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33,161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21,269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87,388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0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68,794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176,689</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245,483</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955" w:type="dxa"/>
        <w:jc w:val="left"/>
        <w:tblInd w:w="0" w:type="dxa"/>
        <w:tblLayout w:type="fixed"/>
        <w:tblCellMar>
          <w:top w:w="28" w:type="dxa"/>
          <w:left w:w="28" w:type="dxa"/>
          <w:bottom w:w="28" w:type="dxa"/>
          <w:right w:w="28" w:type="dxa"/>
        </w:tblCellMar>
      </w:tblPr>
      <w:tblGrid>
        <w:gridCol w:w="2501"/>
        <w:gridCol w:w="146"/>
        <w:gridCol w:w="211"/>
        <w:gridCol w:w="691"/>
        <w:gridCol w:w="146"/>
        <w:gridCol w:w="146"/>
        <w:gridCol w:w="211"/>
        <w:gridCol w:w="796"/>
        <w:gridCol w:w="146"/>
        <w:gridCol w:w="146"/>
        <w:gridCol w:w="289"/>
        <w:gridCol w:w="476"/>
        <w:gridCol w:w="146"/>
        <w:gridCol w:w="146"/>
        <w:gridCol w:w="211"/>
        <w:gridCol w:w="796"/>
        <w:gridCol w:w="75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50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557" w:type="dxa"/>
            <w:gridSpan w:val="14"/>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 xml:space="preserve">Fair Value Measurements as of </w:t>
              <w:br/>
              <w:t>December 31, 2025</w:t>
            </w:r>
          </w:p>
        </w:tc>
        <w:tc>
          <w:tcPr>
            <w:tcW w:w="75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Total</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87,584</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59,845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43,237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5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93,613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50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87,584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206,117</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293,701</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The Company’s assets with fair value categorized as Level 1 within the fair value hierarchy include money market funds. Money market funds are publicly traded mutual funds and are presented as cash equivalents on the unaudited condensed consolidated balance sheets as of March 31, 2026 and December 31, 2025.</w:t>
      </w:r>
    </w:p>
    <w:p>
      <w:pPr>
        <w:pStyle w:val="TextBody"/>
        <w:bidi w:val="0"/>
        <w:spacing w:before="120" w:after="283"/>
        <w:jc w:val="left"/>
        <w:rPr>
          <w:rFonts w:ascii="Arial" w:hAnsi="Arial"/>
          <w:color w:val="000000"/>
          <w:sz w:val="20"/>
        </w:rPr>
      </w:pPr>
      <w:r>
        <w:rPr>
          <w:rFonts w:ascii="Arial" w:hAnsi="Arial"/>
          <w:color w:val="000000"/>
          <w:sz w:val="20"/>
        </w:rPr>
        <w:t>The Company’s assets with fair value categorized as Level 2 within the fair value hierarchy include US Treasury obligations, asset-backed securities, commercial paper and corporate bonds with fair values determined by utilizing information from third party pricing sources for identical or similar assets and liabilities in an active market.</w:t>
      </w:r>
    </w:p>
    <w:p>
      <w:pPr>
        <w:pStyle w:val="TextBody"/>
        <w:bidi w:val="0"/>
        <w:spacing w:before="120" w:after="283"/>
        <w:jc w:val="left"/>
        <w:rPr>
          <w:rFonts w:ascii="Arial" w:hAnsi="Arial"/>
          <w:color w:val="000000"/>
          <w:sz w:val="20"/>
        </w:rPr>
      </w:pPr>
      <w:r>
        <w:rPr>
          <w:rFonts w:ascii="Arial" w:hAnsi="Arial"/>
          <w:color w:val="000000"/>
          <w:sz w:val="20"/>
        </w:rPr>
        <w:t>There were no transfers between Level 1, Level 2 or Level 3 categories during the three months ended March 31, 2026.</w:t>
      </w:r>
    </w:p>
    <w:p>
      <w:pPr>
        <w:pStyle w:val="TextBody"/>
        <w:bidi w:val="0"/>
        <w:spacing w:before="240" w:after="283"/>
        <w:jc w:val="left"/>
        <w:rPr>
          <w:rFonts w:ascii="Arial" w:hAnsi="Arial"/>
          <w:sz w:val="20"/>
        </w:rPr>
      </w:pPr>
      <w:r>
        <w:rPr>
          <w:rFonts w:ascii="Arial" w:hAnsi="Arial"/>
          <w:b/>
          <w:color w:val="000000"/>
          <w:sz w:val="20"/>
        </w:rPr>
        <w:t>5. Accrued Expenses and Other Current Liabilities</w:t>
      </w:r>
      <w:r>
        <w:rPr>
          <w:rFonts w:ascii="Arial" w:hAnsi="Arial"/>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 xml:space="preserve">Accrued expenses and other current liabilities consist of the following: </w:t>
      </w:r>
    </w:p>
    <w:tbl>
      <w:tblPr>
        <w:tblW w:w="10150" w:type="dxa"/>
        <w:jc w:val="left"/>
        <w:tblInd w:w="0" w:type="dxa"/>
        <w:tblLayout w:type="fixed"/>
        <w:tblCellMar>
          <w:top w:w="28" w:type="dxa"/>
          <w:left w:w="28" w:type="dxa"/>
          <w:bottom w:w="28" w:type="dxa"/>
          <w:right w:w="28" w:type="dxa"/>
        </w:tblCellMar>
      </w:tblPr>
      <w:tblGrid>
        <w:gridCol w:w="6871"/>
        <w:gridCol w:w="146"/>
        <w:gridCol w:w="235"/>
        <w:gridCol w:w="770"/>
        <w:gridCol w:w="146"/>
        <w:gridCol w:w="146"/>
        <w:gridCol w:w="319"/>
        <w:gridCol w:w="1046"/>
        <w:gridCol w:w="471"/>
      </w:tblGrid>
      <w:tr>
        <w:trPr/>
        <w:tc>
          <w:tcPr>
            <w:tcW w:w="6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87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March 31,</w:t>
              <w:br/>
              <w:t>2026</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36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December 31,</w:t>
              <w:br/>
              <w:t>2025</w:t>
            </w:r>
          </w:p>
        </w:tc>
        <w:tc>
          <w:tcPr>
            <w:tcW w:w="47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including manufacturing and clinical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18,886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payroll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fees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87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accrued expenses and other current liabilities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23,287</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25,996</w:t>
            </w:r>
          </w:p>
        </w:tc>
        <w:tc>
          <w:tcPr>
            <w:tcW w:w="4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6. Common Stock</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As of March 31, 2026, the authorized capital of the Company included 300,000,000 shares of Common Stock, of which 80,027,099 shares of the Common Stock were issued and outstanding. On all matters to be voted upon by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holders of the Common Stock, holders of the Common Stock are entitled to one vote per share. The holders of the Common Stock have no preemptive, redemption or conversion rights.</w:t>
      </w:r>
    </w:p>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7. Stock-based Compensation</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October 2020, the Company’s stockholders approved the Company’s 2020 Incentive Award Plan (“2020 Plan”). The 2020 Plan initially provided for the issuance of up to 7,924,000 shares of Common Stock and for the grant of incentive stock options or other incentive awards to employees, officers, directors and consultants of the Company. The number of shares of Common Stock that may be issued under the 2020 Plan is subject to increase on the first day of each calendar year equal to the lesser of i) 5% of the aggregate number of shares of Common Stock outstanding on the final day of the immediately preceding calendar year or ii) such smaller number of shares as is determined by the board of directors. Through December 31, 2025, the shares available under the 2020 Plan had been increased by an aggregate of 20,845,291 shares. In January 2026, the number of shares of Common Stock available for future issuance under the 2020 Plan was further increased by 3,906,339 shares. As of March 31, 2026, 5,594,444 shares of Common Stock were available for future issuance under the 2020 Plan. </w:t>
      </w:r>
    </w:p>
    <w:p>
      <w:pPr>
        <w:pStyle w:val="TextBody"/>
        <w:bidi w:val="0"/>
        <w:spacing w:before="120" w:after="283"/>
        <w:jc w:val="left"/>
        <w:rPr>
          <w:rFonts w:ascii="Arial" w:hAnsi="Arial"/>
          <w:color w:val="000000"/>
          <w:sz w:val="20"/>
        </w:rPr>
      </w:pPr>
      <w:r>
        <w:rPr>
          <w:rFonts w:ascii="Arial" w:hAnsi="Arial"/>
          <w:color w:val="000000"/>
          <w:sz w:val="20"/>
        </w:rPr>
        <w:t>The 2020 Plan replaced and is the successor of the Company’s 2013 Equity Incentive Plan, as amended (“2013 Plan”). In the event of any cancellation of an outstanding option award under the 2013 Plan, the shares of Common Stock underlying the cancelled option award will be made available for grant under the 2020 Plan.</w:t>
      </w:r>
    </w:p>
    <w:p>
      <w:pPr>
        <w:pStyle w:val="TextBody"/>
        <w:bidi w:val="0"/>
        <w:spacing w:before="120" w:after="283"/>
        <w:jc w:val="left"/>
        <w:rPr>
          <w:rFonts w:ascii="Arial" w:hAnsi="Arial"/>
          <w:b/>
          <w:color w:val="000000"/>
          <w:sz w:val="20"/>
        </w:rPr>
      </w:pPr>
      <w:r>
        <w:rPr>
          <w:rFonts w:ascii="Arial" w:hAnsi="Arial"/>
          <w:b/>
          <w:color w:val="000000"/>
          <w:sz w:val="20"/>
        </w:rPr>
        <w:t>Stock Options</w:t>
      </w:r>
    </w:p>
    <w:p>
      <w:pPr>
        <w:pStyle w:val="TextBody"/>
        <w:bidi w:val="0"/>
        <w:spacing w:before="120" w:after="283"/>
        <w:jc w:val="left"/>
        <w:rPr>
          <w:rFonts w:ascii="Arial" w:hAnsi="Arial"/>
          <w:color w:val="000000"/>
          <w:sz w:val="20"/>
        </w:rPr>
      </w:pPr>
      <w:r>
        <w:rPr>
          <w:rFonts w:ascii="Arial" w:hAnsi="Arial"/>
          <w:color w:val="000000"/>
          <w:sz w:val="20"/>
        </w:rPr>
        <w:t>The following table summarizes stock option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47"/>
        <w:gridCol w:w="146"/>
        <w:gridCol w:w="146"/>
        <w:gridCol w:w="1066"/>
        <w:gridCol w:w="166"/>
        <w:gridCol w:w="146"/>
        <w:gridCol w:w="371"/>
        <w:gridCol w:w="1036"/>
        <w:gridCol w:w="146"/>
        <w:gridCol w:w="146"/>
        <w:gridCol w:w="350"/>
        <w:gridCol w:w="903"/>
        <w:gridCol w:w="146"/>
        <w:gridCol w:w="146"/>
        <w:gridCol w:w="245"/>
        <w:gridCol w:w="806"/>
        <w:gridCol w:w="193"/>
      </w:tblGrid>
      <w:tr>
        <w:trPr/>
        <w:tc>
          <w:tcPr>
            <w:tcW w:w="4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47"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2"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Number of</w:t>
              <w:br/>
              <w:t>Shares</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07"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Weighted</w:t>
              <w:br/>
              <w:t>Average</w:t>
              <w:br/>
              <w:t>Exercise Price</w:t>
              <w:br/>
              <w:t>Per Share</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253"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Weighted</w:t>
              <w:br/>
              <w:t>Average</w:t>
              <w:br/>
              <w:t>Remaining</w:t>
              <w:br/>
              <w:t>Contractual</w:t>
              <w:br/>
              <w:t>Term (years)</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051"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Aggregate</w:t>
              <w:br/>
              <w:t>Intrinsic</w:t>
              <w:br/>
              <w:t>Value</w:t>
              <w:br/>
              <w:t>($000s)</w:t>
            </w:r>
          </w:p>
        </w:tc>
        <w:tc>
          <w:tcPr>
            <w:tcW w:w="193"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22,842,960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8,436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1,833,940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23,425,016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26,594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expected to vest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23,425,016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26,594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exercisable at March 31, 2026</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17,493,233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14.39</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17,379</w:t>
            </w:r>
          </w:p>
        </w:tc>
        <w:tc>
          <w:tcPr>
            <w:tcW w:w="19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During the three months ended March 31, 2026, the Company granted 1,833,940 stock options with an aggregate grant date fair value of $5,522 under the 2020 Plan.</w:t>
      </w:r>
    </w:p>
    <w:p>
      <w:pPr>
        <w:pStyle w:val="TextBody"/>
        <w:bidi w:val="0"/>
        <w:spacing w:before="120" w:after="283"/>
        <w:jc w:val="left"/>
        <w:rPr>
          <w:rFonts w:ascii="Arial" w:hAnsi="Arial"/>
          <w:color w:val="000000"/>
          <w:sz w:val="20"/>
        </w:rPr>
      </w:pPr>
      <w:r>
        <w:rPr>
          <w:rFonts w:ascii="Arial" w:hAnsi="Arial"/>
          <w:color w:val="000000"/>
          <w:sz w:val="20"/>
        </w:rPr>
        <w:t>The aggregate intrinsic value of options granted is calculated as the difference between the exercise price of the options and the estimated fair value of the Common Stock for those options that had exercise prices lower than the fair value of the Common Stock.</w:t>
      </w:r>
    </w:p>
    <w:p>
      <w:pPr>
        <w:pStyle w:val="TextBody"/>
        <w:bidi w:val="0"/>
        <w:spacing w:before="120" w:after="283"/>
        <w:jc w:val="left"/>
        <w:rPr>
          <w:rFonts w:ascii="Arial" w:hAnsi="Arial"/>
          <w:color w:val="000000"/>
          <w:sz w:val="20"/>
        </w:rPr>
      </w:pPr>
      <w:r>
        <w:rPr>
          <w:rFonts w:ascii="Arial" w:hAnsi="Arial"/>
          <w:color w:val="000000"/>
          <w:sz w:val="20"/>
        </w:rPr>
        <w:t>Option awards granted to employees generally vest over a service period of four years and option awards granted to members of the board of directors generally vest over a service period of one or three years. All options have a contractual term of ten years. As of March 31, 2026, total unrecognized compensation expense related to stock option awards was $16,328, which is being recognized over a remaining weighted average period of 2.4 years.</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Restricted Stock Units</w:t>
      </w:r>
    </w:p>
    <w:p>
      <w:pPr>
        <w:pStyle w:val="TextBody"/>
        <w:bidi w:val="0"/>
        <w:spacing w:before="120" w:after="120"/>
        <w:jc w:val="left"/>
        <w:rPr>
          <w:rFonts w:ascii="Arial" w:hAnsi="Arial"/>
          <w:color w:val="000000"/>
          <w:sz w:val="20"/>
        </w:rPr>
      </w:pPr>
      <w:r>
        <w:rPr>
          <w:rFonts w:ascii="Arial" w:hAnsi="Arial"/>
          <w:color w:val="000000"/>
          <w:sz w:val="20"/>
        </w:rPr>
        <w:t xml:space="preserve">During the three months ended March 31, 2026, the Company granted 494,600 restricted stock units to employees under the 2020 Plan with an aggregate grant date fair market value of $2,097. These restricted stock unit awards vest in three annual installments. </w:t>
      </w:r>
    </w:p>
    <w:p>
      <w:pPr>
        <w:pStyle w:val="TextBody"/>
        <w:bidi w:val="0"/>
        <w:spacing w:before="0" w:after="120"/>
        <w:jc w:val="left"/>
        <w:rPr>
          <w:rFonts w:ascii="Arial" w:hAnsi="Arial"/>
          <w:color w:val="000000"/>
          <w:sz w:val="20"/>
        </w:rPr>
      </w:pPr>
      <w:r>
        <w:rPr>
          <w:rFonts w:ascii="Arial" w:hAnsi="Arial"/>
          <w:color w:val="000000"/>
          <w:sz w:val="20"/>
        </w:rPr>
        <w:t xml:space="preserve">Below is the activity related to restricted stock units for the three months ended March 31, 2026. </w:t>
      </w:r>
    </w:p>
    <w:tbl>
      <w:tblPr>
        <w:tblW w:w="6752" w:type="dxa"/>
        <w:jc w:val="left"/>
        <w:tblInd w:w="0" w:type="dxa"/>
        <w:tblLayout w:type="fixed"/>
        <w:tblCellMar>
          <w:top w:w="28" w:type="dxa"/>
          <w:left w:w="28" w:type="dxa"/>
          <w:bottom w:w="28" w:type="dxa"/>
          <w:right w:w="28" w:type="dxa"/>
        </w:tblCellMar>
      </w:tblPr>
      <w:tblGrid>
        <w:gridCol w:w="2851"/>
        <w:gridCol w:w="146"/>
        <w:gridCol w:w="146"/>
        <w:gridCol w:w="1021"/>
        <w:gridCol w:w="166"/>
        <w:gridCol w:w="146"/>
        <w:gridCol w:w="634"/>
        <w:gridCol w:w="145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67"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Number of</w:t>
              <w:br/>
              <w:t>Shares</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08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Weighted Average</w:t>
              <w:br/>
              <w:t>Grant Date Fair Value</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2,247,064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March 31, 2026</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1,516,537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As of March 31, 2026, total unrecognized compensation expense related to restricted stock units was $4,655, which is being recognized over a remaining weighted average period of 1.8 years.</w:t>
      </w:r>
    </w:p>
    <w:p>
      <w:pPr>
        <w:pStyle w:val="TextBody"/>
        <w:bidi w:val="0"/>
        <w:jc w:val="left"/>
        <w:rPr>
          <w:rFonts w:ascii="Arial" w:hAnsi="Arial"/>
          <w:b/>
          <w:i/>
          <w:color w:val="000000"/>
          <w:sz w:val="20"/>
        </w:rPr>
      </w:pPr>
      <w:r>
        <w:rPr>
          <w:rFonts w:ascii="Arial" w:hAnsi="Arial"/>
          <w:b/>
          <w:i/>
          <w:color w:val="000000"/>
          <w:sz w:val="20"/>
        </w:rPr>
        <w:t>Performance-based Restricted Stock Units</w:t>
      </w:r>
    </w:p>
    <w:p>
      <w:pPr>
        <w:pStyle w:val="TextBody"/>
        <w:bidi w:val="0"/>
        <w:spacing w:before="120" w:after="283"/>
        <w:jc w:val="left"/>
        <w:rPr>
          <w:rFonts w:ascii="Arial" w:hAnsi="Arial"/>
          <w:color w:val="000000"/>
          <w:sz w:val="20"/>
        </w:rPr>
      </w:pPr>
      <w:r>
        <w:rPr>
          <w:rFonts w:ascii="Arial" w:hAnsi="Arial"/>
          <w:color w:val="000000"/>
          <w:sz w:val="20"/>
        </w:rPr>
        <w:t xml:space="preserve">During the year ended December 31, 2022 the Company granted 724,970 performance-based restricted stock units (“2022 PSUs”) under the 2020 Plan to employees with an aggregate grant fair value of $5,298. The performance period for the 2022 PSUs ran from February 1, 2022 through January 31, 2025 to achieve up to six defined performance metrics. The Company achieved two metrics which resulted in 50% of the grant date fair value being recognized as expense. Of the total 2022 PSUs granted, 25% vested on January 31, 2025, and 25% vested on January 31, 2026. The Company recorded compensation expense of $27 and $116 for the three months ended March 31, 2026 and 2025, respectively related to the 2022 PSUs. </w:t>
      </w:r>
    </w:p>
    <w:p>
      <w:pPr>
        <w:pStyle w:val="TextBody"/>
        <w:bidi w:val="0"/>
        <w:spacing w:before="120" w:after="283"/>
        <w:jc w:val="left"/>
        <w:rPr>
          <w:rFonts w:ascii="Arial" w:hAnsi="Arial"/>
          <w:color w:val="000000"/>
          <w:sz w:val="20"/>
        </w:rPr>
      </w:pPr>
      <w:r>
        <w:rPr>
          <w:rFonts w:ascii="Arial" w:hAnsi="Arial"/>
          <w:color w:val="000000"/>
          <w:sz w:val="20"/>
        </w:rPr>
        <w:t>During the year ended December 31, 2024, the Company granted 1,057,900 performance-based restricted stock units (“2024 PSUs”) under the 2020 Plan to employees with an aggregate grant date fair value of $4,401. The 2024 PSUs provide for a performance period from February 1, 2024 through January 31, 2027 to achieve up to four defined performance metrics. The percentage of 2024 PSUs eligible to vest will be determined based on the number of metrics achieved during the performance period and may range from 0% to 200%. As of March 31, 2026, two of the 2024 PSU metrics were deemed probable of achievement resulting in expense recognition of 75% of the 2024 PSU grant date value. Compensation expense is being recognized from the grant date through the final vest date of January 31, 2027. The Company recorded compensation expense of $271 for each of the three months ended March 31, 2026 and 2025 related to the 2024 PSUs.</w:t>
      </w:r>
    </w:p>
    <w:p>
      <w:pPr>
        <w:pStyle w:val="TextBody"/>
        <w:bidi w:val="0"/>
        <w:spacing w:before="120" w:after="283"/>
        <w:jc w:val="left"/>
        <w:rPr>
          <w:rFonts w:ascii="Arial" w:hAnsi="Arial"/>
          <w:color w:val="000000"/>
          <w:sz w:val="20"/>
        </w:rPr>
      </w:pPr>
      <w:r>
        <w:rPr>
          <w:rFonts w:ascii="Arial" w:hAnsi="Arial"/>
          <w:color w:val="000000"/>
          <w:sz w:val="20"/>
        </w:rPr>
        <w:t>During the year ended December 31, 2025, the Company granted 1,045,600 performance-based restricted stock units (“2025 PSUs”) under the 2020 Plan to employees with an aggregate grant date fair value of $3,200. The 2025 PSUs provide for a performance period from February 1, 2025 through January 31, 2028 to achieve up to four defined performance metrics. The percentage of 2025 PSUs eligible to vest will be determined based on the number of metrics achieved during the performance period and may range from 0% to 200%. As of March 31, 2026, none of the 2025 PSU metrics were deemed probable of achievement. The Company recorded compensation expense of $0 for the three months ended March 31, 2026 and 2025 related to the 2025 PSUs.</w:t>
      </w:r>
    </w:p>
    <w:p>
      <w:pPr>
        <w:pStyle w:val="TextBody"/>
        <w:bidi w:val="0"/>
        <w:spacing w:before="120" w:after="283"/>
        <w:jc w:val="left"/>
        <w:rPr>
          <w:rFonts w:ascii="Arial" w:hAnsi="Arial"/>
          <w:color w:val="000000"/>
          <w:sz w:val="20"/>
        </w:rPr>
      </w:pPr>
      <w:r>
        <w:rPr>
          <w:rFonts w:ascii="Arial" w:hAnsi="Arial"/>
          <w:color w:val="000000"/>
          <w:sz w:val="20"/>
        </w:rPr>
        <w:t>During the three months ended March 31, 2026, the Company granted 1,886,320 performance-based restricted stock units (“2026 PSUs”) under the 2020 Plan to employees with an aggregate grant date fair value of $7,998. The 2026 PSUs provide for a performance period from February 1, 2026 through January 31, 2029 to achieve up to four defined performance metrics. The percentage of 2026 PSUs eligible to vest will be determined based on the number of metrics achieved during the performance period and may range from 0% to 200%. As of March 31, 2026, none of the 2026 PSU metrics were deemed probable of achievement. The Company recorded compensation expense of $0 for the three months ended March 31, 2026 related to the 2026 PSUs.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color w:val="000000"/>
          <w:sz w:val="20"/>
        </w:rPr>
      </w:pPr>
      <w:r>
        <w:rPr>
          <w:rFonts w:ascii="Arial" w:hAnsi="Arial"/>
          <w:color w:val="000000"/>
          <w:sz w:val="20"/>
        </w:rPr>
        <w:t>The following table summarizes the activity related to performance-based restricted stock units:</w:t>
      </w:r>
    </w:p>
    <w:tbl>
      <w:tblPr>
        <w:tblW w:w="6692" w:type="dxa"/>
        <w:jc w:val="left"/>
        <w:tblInd w:w="0" w:type="dxa"/>
        <w:tblLayout w:type="fixed"/>
        <w:tblCellMar>
          <w:top w:w="28" w:type="dxa"/>
          <w:left w:w="28" w:type="dxa"/>
          <w:bottom w:w="28" w:type="dxa"/>
          <w:right w:w="28" w:type="dxa"/>
        </w:tblCellMar>
      </w:tblPr>
      <w:tblGrid>
        <w:gridCol w:w="2851"/>
        <w:gridCol w:w="146"/>
        <w:gridCol w:w="146"/>
        <w:gridCol w:w="961"/>
        <w:gridCol w:w="166"/>
        <w:gridCol w:w="146"/>
        <w:gridCol w:w="634"/>
        <w:gridCol w:w="145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07"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Number of</w:t>
              <w:br/>
              <w:t>Shares</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085"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Weighted Average</w:t>
              <w:br/>
              <w:t>Grant Date Fair Value</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2,465,985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1,886,320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March 31, 2026</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3,989,820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As of March 31, 2026, total unrecognized compensation expense related to performance-based restricted stock units was $922, which is being recognized over a weighted average period of 2.1 years.</w:t>
      </w:r>
    </w:p>
    <w:p>
      <w:pPr>
        <w:pStyle w:val="TextBody"/>
        <w:bidi w:val="0"/>
        <w:spacing w:before="120" w:after="283"/>
        <w:jc w:val="left"/>
        <w:rPr>
          <w:rFonts w:ascii="Arial" w:hAnsi="Arial"/>
          <w:b/>
          <w:color w:val="000000"/>
          <w:sz w:val="20"/>
        </w:rPr>
      </w:pPr>
      <w:r>
        <w:rPr>
          <w:rFonts w:ascii="Arial" w:hAnsi="Arial"/>
          <w:b/>
          <w:color w:val="000000"/>
          <w:sz w:val="20"/>
        </w:rPr>
        <w:t>Employee Stock Purchase Plan</w:t>
      </w:r>
    </w:p>
    <w:p>
      <w:pPr>
        <w:pStyle w:val="TextBody"/>
        <w:bidi w:val="0"/>
        <w:spacing w:before="120" w:after="283"/>
        <w:jc w:val="left"/>
        <w:rPr>
          <w:rFonts w:ascii="Arial" w:hAnsi="Arial"/>
          <w:color w:val="000000"/>
          <w:sz w:val="20"/>
        </w:rPr>
      </w:pPr>
      <w:r>
        <w:rPr>
          <w:rFonts w:ascii="Arial" w:hAnsi="Arial"/>
          <w:color w:val="000000"/>
          <w:sz w:val="20"/>
        </w:rPr>
        <w:t>In October 2020, the Company’s shareholders approved the Employee Stock Purchase Plan (“ESPP”), which became effective upon the closing of the Company’s initial public offering in November 2020. The Company initially reserved a total of 1,187,000 shares of its Common Stock for issuance under the ESPP. The ESPP provides that the number of shares reserved and available for issuance under the ESPP will be increased on January 1 of each calendar year by 1% of the number of shares of Common Stock issued and outstanding on the immediately preceding December 31 or such lesser amount as specified by the board of directors. Through December 31, 2025, the number of shares of Common Stock available for future issuance under the ESPP had been increased by 2,511,861 shares. In January 2026, the number of shares of Common Stock available for future issuance under the ESPP was further increased by 781,267 shares.</w:t>
      </w:r>
    </w:p>
    <w:p>
      <w:pPr>
        <w:pStyle w:val="TextBody"/>
        <w:bidi w:val="0"/>
        <w:spacing w:before="120" w:after="283"/>
        <w:jc w:val="left"/>
        <w:rPr>
          <w:rFonts w:ascii="Arial" w:hAnsi="Arial"/>
          <w:color w:val="000000"/>
          <w:sz w:val="20"/>
        </w:rPr>
      </w:pPr>
      <w:r>
        <w:rPr>
          <w:rFonts w:ascii="Arial" w:hAnsi="Arial"/>
          <w:color w:val="000000"/>
          <w:sz w:val="20"/>
        </w:rPr>
        <w:t xml:space="preserve">The Company issued 53,966 and 54,296 shares for proceeds of $132 and $138 during the three months ended March 31, 2026 and 2025, respectively. </w:t>
      </w:r>
    </w:p>
    <w:p>
      <w:pPr>
        <w:pStyle w:val="TextBody"/>
        <w:bidi w:val="0"/>
        <w:spacing w:before="120" w:after="283"/>
        <w:jc w:val="left"/>
        <w:rPr>
          <w:rFonts w:ascii="Arial" w:hAnsi="Arial"/>
          <w:sz w:val="20"/>
        </w:rPr>
      </w:pPr>
      <w:r>
        <w:rPr>
          <w:rFonts w:ascii="Arial" w:hAnsi="Arial"/>
          <w:b/>
          <w:i/>
          <w:color w:val="000000"/>
          <w:sz w:val="20"/>
        </w:rPr>
        <w:t>Stock-based Compensation Expense</w:t>
      </w:r>
      <w:r>
        <w:rPr>
          <w:rFonts w:ascii="Arial" w:hAnsi="Arial"/>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Stock-based compensation expense by award type included within the unaudited condensed consolidated statements of operations and comprehensive loss was as follows:</w:t>
      </w:r>
    </w:p>
    <w:tbl>
      <w:tblPr>
        <w:tblW w:w="6126" w:type="dxa"/>
        <w:jc w:val="left"/>
        <w:tblInd w:w="0" w:type="dxa"/>
        <w:tblLayout w:type="fixed"/>
        <w:tblCellMar>
          <w:top w:w="28" w:type="dxa"/>
          <w:left w:w="28" w:type="dxa"/>
          <w:bottom w:w="28" w:type="dxa"/>
          <w:right w:w="28" w:type="dxa"/>
        </w:tblCellMar>
      </w:tblPr>
      <w:tblGrid>
        <w:gridCol w:w="3751"/>
        <w:gridCol w:w="146"/>
        <w:gridCol w:w="228"/>
        <w:gridCol w:w="634"/>
        <w:gridCol w:w="157"/>
        <w:gridCol w:w="157"/>
        <w:gridCol w:w="228"/>
        <w:gridCol w:w="634"/>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38"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 expense</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3,729</w:t>
            </w:r>
          </w:p>
        </w:tc>
        <w:tc>
          <w:tcPr>
            <w:tcW w:w="1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6,951</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 xml:space="preserve">Stock-based compensation expense is classified as follows: </w:t>
      </w:r>
    </w:p>
    <w:tbl>
      <w:tblPr>
        <w:tblW w:w="6126" w:type="dxa"/>
        <w:jc w:val="left"/>
        <w:tblInd w:w="0" w:type="dxa"/>
        <w:tblLayout w:type="fixed"/>
        <w:tblCellMar>
          <w:top w:w="28" w:type="dxa"/>
          <w:left w:w="28" w:type="dxa"/>
          <w:bottom w:w="28" w:type="dxa"/>
          <w:right w:w="28" w:type="dxa"/>
        </w:tblCellMar>
      </w:tblPr>
      <w:tblGrid>
        <w:gridCol w:w="3751"/>
        <w:gridCol w:w="146"/>
        <w:gridCol w:w="228"/>
        <w:gridCol w:w="634"/>
        <w:gridCol w:w="157"/>
        <w:gridCol w:w="157"/>
        <w:gridCol w:w="228"/>
        <w:gridCol w:w="634"/>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38"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stock-based compensation expense</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3,729</w:t>
            </w:r>
          </w:p>
        </w:tc>
        <w:tc>
          <w:tcPr>
            <w:tcW w:w="1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6,951</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8. Net Loss Per Share</w:t>
      </w:r>
      <w:r>
        <w:rPr>
          <w:rFonts w:ascii="Arial" w:hAnsi="Arial"/>
          <w:color w:val="000000"/>
          <w:sz w:val="20"/>
        </w:rPr>
        <w:t xml:space="preserve"> </w:t>
      </w:r>
    </w:p>
    <w:p>
      <w:pPr>
        <w:pStyle w:val="TextBody"/>
        <w:bidi w:val="0"/>
        <w:spacing w:before="120" w:after="120"/>
        <w:jc w:val="left"/>
        <w:rPr>
          <w:rFonts w:ascii="Arial" w:hAnsi="Arial"/>
          <w:color w:val="000000"/>
          <w:sz w:val="20"/>
        </w:rPr>
      </w:pPr>
      <w:r>
        <w:rPr>
          <w:rFonts w:ascii="Arial" w:hAnsi="Arial"/>
          <w:color w:val="000000"/>
          <w:sz w:val="20"/>
        </w:rPr>
        <w:t>Basic and diluted earnings per share are calculated as follows:</w:t>
      </w:r>
    </w:p>
    <w:tbl>
      <w:tblPr>
        <w:tblW w:w="9209" w:type="dxa"/>
        <w:jc w:val="left"/>
        <w:tblInd w:w="0" w:type="dxa"/>
        <w:tblLayout w:type="fixed"/>
        <w:tblCellMar>
          <w:top w:w="28" w:type="dxa"/>
          <w:left w:w="28" w:type="dxa"/>
          <w:bottom w:w="28" w:type="dxa"/>
          <w:right w:w="28" w:type="dxa"/>
        </w:tblCellMar>
      </w:tblPr>
      <w:tblGrid>
        <w:gridCol w:w="5986"/>
        <w:gridCol w:w="146"/>
        <w:gridCol w:w="211"/>
        <w:gridCol w:w="1066"/>
        <w:gridCol w:w="166"/>
        <w:gridCol w:w="146"/>
        <w:gridCol w:w="211"/>
        <w:gridCol w:w="1066"/>
        <w:gridCol w:w="211"/>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8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6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21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5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79,198,204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85,159,254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 basic and diluted</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(0.40</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The following shares were excluded from the computation of the net loss per share for the three months ended March 31, 2026 and 2025, respectively, due to the net loss during the respective period as their effect is antidilutive.</w:t>
      </w:r>
    </w:p>
    <w:p>
      <w:pPr>
        <w:pStyle w:val="TextBody"/>
        <w:bidi w:val="0"/>
        <w:spacing w:before="120" w:after="283"/>
        <w:jc w:val="left"/>
        <w:rPr/>
      </w:pPr>
      <w:r>
        <w:rPr/>
        <w:t> </w:t>
      </w:r>
    </w:p>
    <w:tbl>
      <w:tblPr>
        <w:tblW w:w="6759" w:type="dxa"/>
        <w:jc w:val="left"/>
        <w:tblInd w:w="0" w:type="dxa"/>
        <w:tblLayout w:type="fixed"/>
        <w:tblCellMar>
          <w:top w:w="28" w:type="dxa"/>
          <w:left w:w="28" w:type="dxa"/>
          <w:bottom w:w="28" w:type="dxa"/>
          <w:right w:w="28" w:type="dxa"/>
        </w:tblCellMar>
      </w:tblPr>
      <w:tblGrid>
        <w:gridCol w:w="3706"/>
        <w:gridCol w:w="146"/>
        <w:gridCol w:w="146"/>
        <w:gridCol w:w="1066"/>
        <w:gridCol w:w="146"/>
        <w:gridCol w:w="146"/>
        <w:gridCol w:w="146"/>
        <w:gridCol w:w="1066"/>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1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23,425,016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22,707,456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2,288,763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3,989,820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2,465,985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9. Leases</w:t>
      </w:r>
    </w:p>
    <w:p>
      <w:pPr>
        <w:pStyle w:val="TextBody"/>
        <w:bidi w:val="0"/>
        <w:spacing w:before="120" w:after="283"/>
        <w:jc w:val="left"/>
        <w:rPr>
          <w:rFonts w:ascii="Arial" w:hAnsi="Arial"/>
          <w:color w:val="000000"/>
          <w:sz w:val="20"/>
        </w:rPr>
      </w:pPr>
      <w:r>
        <w:rPr>
          <w:rFonts w:ascii="Arial" w:hAnsi="Arial"/>
          <w:color w:val="000000"/>
          <w:sz w:val="20"/>
        </w:rPr>
        <w:t xml:space="preserve">The Company has a non-cancelable operating lease agreement for its office space in Boston, Massachusetts at 225 Franklin Street ("225 Lease"). The 225 Lease commencement date was January 1, 2022 and the 225 Lease runs through December 31, 2026. The 225 Lease does not contain any options for renewal or extension. </w:t>
      </w:r>
    </w:p>
    <w:p>
      <w:pPr>
        <w:pStyle w:val="TextBody"/>
        <w:bidi w:val="0"/>
        <w:spacing w:before="120" w:after="120"/>
        <w:jc w:val="left"/>
        <w:rPr>
          <w:rFonts w:ascii="Arial" w:hAnsi="Arial"/>
          <w:color w:val="000000"/>
          <w:sz w:val="20"/>
        </w:rPr>
      </w:pPr>
      <w:r>
        <w:rPr>
          <w:rFonts w:ascii="Arial" w:hAnsi="Arial"/>
          <w:color w:val="000000"/>
          <w:sz w:val="20"/>
        </w:rPr>
        <w:t>Future minimum payments under the 225 Lease, currently the Company’s only operating lease as of March 31, 2026 were $641.</w:t>
      </w:r>
    </w:p>
    <w:p>
      <w:pPr>
        <w:pStyle w:val="TextBody"/>
        <w:bidi w:val="0"/>
        <w:jc w:val="left"/>
        <w:rPr>
          <w:rFonts w:ascii="Arial" w:hAnsi="Arial"/>
          <w:color w:val="000000"/>
          <w:sz w:val="20"/>
        </w:rPr>
      </w:pPr>
      <w:r>
        <w:rPr>
          <w:rFonts w:ascii="Arial" w:hAnsi="Arial"/>
          <w:color w:val="000000"/>
          <w:sz w:val="20"/>
        </w:rPr>
        <w:t xml:space="preserve">For each of the three months ended March 31, 2026 and 2025, the Company recorded operating lease costs of $161 relating to its operating lease agreements. </w:t>
      </w:r>
    </w:p>
    <w:p>
      <w:pPr>
        <w:pStyle w:val="TextBody"/>
        <w:bidi w:val="0"/>
        <w:spacing w:before="240" w:after="283"/>
        <w:jc w:val="left"/>
        <w:rPr>
          <w:rFonts w:ascii="Arial" w:hAnsi="Arial"/>
          <w:sz w:val="20"/>
        </w:rPr>
      </w:pPr>
      <w:r>
        <w:rPr>
          <w:rFonts w:ascii="Arial" w:hAnsi="Arial"/>
          <w:b/>
          <w:color w:val="000000"/>
          <w:sz w:val="20"/>
        </w:rPr>
        <w:t>10. Income Taxes</w:t>
      </w:r>
      <w:r>
        <w:rPr>
          <w:rFonts w:ascii="Arial" w:hAnsi="Arial"/>
          <w:color w:val="000000"/>
          <w:sz w:val="20"/>
        </w:rPr>
        <w:t xml:space="preserve"> </w:t>
      </w:r>
    </w:p>
    <w:p>
      <w:pPr>
        <w:pStyle w:val="TextBody"/>
        <w:bidi w:val="0"/>
        <w:jc w:val="left"/>
        <w:rPr>
          <w:rFonts w:ascii="Arial" w:hAnsi="Arial"/>
          <w:color w:val="000000"/>
          <w:sz w:val="20"/>
        </w:rPr>
      </w:pPr>
      <w:r>
        <w:rPr>
          <w:rFonts w:ascii="Arial" w:hAnsi="Arial"/>
          <w:color w:val="000000"/>
          <w:sz w:val="20"/>
        </w:rPr>
        <w:t xml:space="preserve">The Company recorded income tax expense of $50 and $203 for the three months ended March 31, 2026 and 2025, respectively.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Company maintained a full valuation allowance through March 31, 2026 due to uncertainty regarding its ability to utilize deferred tax assets.</w:t>
      </w:r>
    </w:p>
    <w:p>
      <w:pPr>
        <w:pStyle w:val="TextBody"/>
        <w:bidi w:val="0"/>
        <w:spacing w:before="120" w:after="283"/>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11. Commitments and Contingencies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License Agreement</w:t>
      </w:r>
    </w:p>
    <w:p>
      <w:pPr>
        <w:pStyle w:val="TextBody"/>
        <w:bidi w:val="0"/>
        <w:spacing w:before="120" w:after="283"/>
        <w:jc w:val="left"/>
        <w:rPr>
          <w:rFonts w:ascii="Arial" w:hAnsi="Arial"/>
          <w:color w:val="000000"/>
          <w:sz w:val="20"/>
        </w:rPr>
      </w:pPr>
      <w:r>
        <w:rPr>
          <w:rFonts w:ascii="Arial" w:hAnsi="Arial"/>
          <w:color w:val="000000"/>
          <w:sz w:val="20"/>
        </w:rPr>
        <w:t xml:space="preserve">In December 2021, the Company entered into a license agreement (“Merck License Agreement”) with MSD International GmbH, an affiliate of Merck &amp; Co, Inc. (“Merck”) for the development, manufacture and commercialization of ruzasvir. Ruzasvir is the NS5A inhibitor the Company is developing in combination with bemnifosbuvir for the treatment of HCV. </w:t>
      </w:r>
    </w:p>
    <w:p>
      <w:pPr>
        <w:pStyle w:val="TextBody"/>
        <w:bidi w:val="0"/>
        <w:spacing w:before="120" w:after="283"/>
        <w:jc w:val="left"/>
        <w:rPr>
          <w:rFonts w:ascii="Arial" w:hAnsi="Arial"/>
          <w:color w:val="000000"/>
          <w:sz w:val="20"/>
        </w:rPr>
      </w:pPr>
      <w:r>
        <w:rPr>
          <w:rFonts w:ascii="Arial" w:hAnsi="Arial"/>
          <w:color w:val="000000"/>
          <w:sz w:val="20"/>
        </w:rPr>
        <w:t>Pursuant to the terms of the Merck License Agreement, the Company obtained from Merck a worldwide exclusive (subject to certain reserved rights to conduct internal research) and sublicensable license under certain Merck patents and know-how to research, develop, manufacture, have manufactured, use, import, export, sell, offer for sale, and otherwise commercialize ruzasvir or products containing ruzasvir (each a “Product”) for all therapeutic or prophylactic uses in humans.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In addition to a non-refundable upfront payment that the Company made in February 2022, the Company agreed to pay Merck milestone payments upon its achievement of certain development, regulatory and sales-based milestones. Additionally, the Company will pay Merck tiered royalties based on annual net sales of Products ranging from high single digits to mid-teens percentages. The Company’s royalty payment obligations will continue until the later of (i) the expiration of the last to expire valid claim of a licensed Merck patent claiming such Product and (ii) a period of years after the first commercial sale of such Product in such country. The Company may terminate the Merck License Agreement for convenience upon prior written notice. The first milestone in the amount of $5,000 became due and payable and the related expense was recognized in April 2025 upon the initiation of the HCV Phase 3 clinical trial referred to as C-Beyond. The next potential milestone under the Merck License Agreement, in the amount of $10,000, is payable upon the acceptance by the FDA of a NDA covering a product candidate including ruzasvir which the Company expects will be the regimen of bemnifosbuvir and ruzasvir for the treatment of HCV.</w:t>
      </w:r>
    </w:p>
    <w:p>
      <w:pPr>
        <w:pStyle w:val="TextBody"/>
        <w:bidi w:val="0"/>
        <w:spacing w:before="120" w:after="120"/>
        <w:jc w:val="left"/>
        <w:rPr>
          <w:rFonts w:ascii="Arial" w:hAnsi="Arial"/>
          <w:b/>
          <w:i/>
          <w:color w:val="000000"/>
          <w:sz w:val="20"/>
        </w:rPr>
      </w:pPr>
      <w:r>
        <w:rPr>
          <w:rFonts w:ascii="Arial" w:hAnsi="Arial"/>
          <w:b/>
          <w:i/>
          <w:color w:val="000000"/>
          <w:sz w:val="20"/>
        </w:rPr>
        <w:t>Contingent Consulting Fee</w:t>
      </w:r>
    </w:p>
    <w:p>
      <w:pPr>
        <w:pStyle w:val="TextBody"/>
        <w:bidi w:val="0"/>
        <w:spacing w:before="0" w:after="120"/>
        <w:jc w:val="left"/>
        <w:rPr>
          <w:rFonts w:ascii="Arial" w:hAnsi="Arial"/>
          <w:color w:val="000000"/>
          <w:sz w:val="20"/>
        </w:rPr>
      </w:pPr>
      <w:r>
        <w:rPr>
          <w:rFonts w:ascii="Arial" w:hAnsi="Arial"/>
          <w:color w:val="000000"/>
          <w:sz w:val="20"/>
        </w:rPr>
        <w:t xml:space="preserve">The Company has an agreement with a consultant that requires payment of a success fee calculated as a percentage of certain product sales, subject to a cumulative maximum payout of $5,000. This success payment is contingent upon the occurrence of future events and the timing and likelihood of such payment is neither probable nor estimable. </w:t>
      </w:r>
    </w:p>
    <w:p>
      <w:pPr>
        <w:pStyle w:val="TextBody"/>
        <w:bidi w:val="0"/>
        <w:jc w:val="left"/>
        <w:rPr>
          <w:rFonts w:ascii="Arial" w:hAnsi="Arial"/>
          <w:b/>
          <w:i/>
          <w:color w:val="000000"/>
          <w:sz w:val="20"/>
        </w:rPr>
      </w:pPr>
      <w:r>
        <w:rPr>
          <w:rFonts w:ascii="Arial" w:hAnsi="Arial"/>
          <w:b/>
          <w:i/>
          <w:color w:val="000000"/>
          <w:sz w:val="20"/>
        </w:rPr>
        <w:t>Indemnification</w:t>
      </w:r>
    </w:p>
    <w:p>
      <w:pPr>
        <w:pStyle w:val="TextBody"/>
        <w:bidi w:val="0"/>
        <w:spacing w:before="120" w:after="283"/>
        <w:jc w:val="left"/>
        <w:rPr>
          <w:rFonts w:ascii="Arial" w:hAnsi="Arial"/>
          <w:color w:val="000000"/>
          <w:sz w:val="20"/>
        </w:rPr>
      </w:pPr>
      <w:r>
        <w:rPr>
          <w:rFonts w:ascii="Arial" w:hAnsi="Arial"/>
          <w:color w:val="000000"/>
          <w:sz w:val="20"/>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with the Company, (ii) contracts under which the Company must indemnify directors and certain officers and consultants for liabilities arising out of their relationship with the Company,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pStyle w:val="TextBody"/>
        <w:bidi w:val="0"/>
        <w:spacing w:before="120" w:after="283"/>
        <w:jc w:val="left"/>
        <w:rPr>
          <w:rFonts w:ascii="Arial" w:hAnsi="Arial"/>
          <w:color w:val="000000"/>
          <w:sz w:val="20"/>
        </w:rPr>
      </w:pPr>
      <w:r>
        <w:rPr>
          <w:rFonts w:ascii="Arial" w:hAnsi="Arial"/>
          <w:color w:val="000000"/>
          <w:sz w:val="20"/>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payable under these contracts since the Company has no history of prior indemnification claims and the unique facts and circumstances involved in each particular claim will be determinative.</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12. Benefit Plan</w:t>
      </w:r>
    </w:p>
    <w:p>
      <w:pPr>
        <w:pStyle w:val="TextBody"/>
        <w:bidi w:val="0"/>
        <w:spacing w:before="120" w:after="283"/>
        <w:jc w:val="left"/>
        <w:rPr>
          <w:rFonts w:ascii="Arial" w:hAnsi="Arial"/>
          <w:color w:val="000000"/>
          <w:sz w:val="20"/>
        </w:rPr>
      </w:pPr>
      <w:r>
        <w:rPr>
          <w:rFonts w:ascii="Arial" w:hAnsi="Arial"/>
          <w:color w:val="000000"/>
          <w:sz w:val="20"/>
        </w:rPr>
        <w:t xml:space="preserve">The Company’s defined contribution plan under Section 401(k) of the Internal Revenue Code (“401(k) Plan”) covers substantially all employees who meet minimum age and service requirements. Under the terms of the 401(k) Plan, the Company records matching contributions up to 4% of the participant’s eligible compensation. During the three months ended March 31, 2026 and 2025, the Company recognized expense of $328 and $317, respectively, relating to matching contributions to the 401(k) Plan. </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13. Related Party Transactions</w:t>
      </w:r>
    </w:p>
    <w:p>
      <w:pPr>
        <w:pStyle w:val="TextBody"/>
        <w:bidi w:val="0"/>
        <w:spacing w:before="120" w:after="283"/>
        <w:jc w:val="left"/>
        <w:rPr>
          <w:rFonts w:ascii="Arial" w:hAnsi="Arial"/>
          <w:color w:val="000000"/>
          <w:sz w:val="20"/>
        </w:rPr>
      </w:pPr>
      <w:r>
        <w:rPr>
          <w:rFonts w:ascii="Arial" w:hAnsi="Arial"/>
          <w:color w:val="000000"/>
          <w:sz w:val="20"/>
        </w:rPr>
        <w:t>During the year ended December 31, 2021, the Company entered into a consulting agreement with an entity controlled by one of its directors. The agreement provides for an annual retainer of $110. The Company recognized expense in the amount of $27 for each of the three months ended March 31, 2026 and 2025.</w:t>
      </w:r>
    </w:p>
    <w:p>
      <w:pPr>
        <w:pStyle w:val="TextBody"/>
        <w:bidi w:val="0"/>
        <w:spacing w:before="120" w:after="283"/>
        <w:jc w:val="left"/>
        <w:rPr>
          <w:rFonts w:ascii="Arial" w:hAnsi="Arial"/>
          <w:color w:val="000000"/>
          <w:sz w:val="20"/>
        </w:rPr>
      </w:pPr>
      <w:r>
        <w:rPr>
          <w:rFonts w:ascii="Arial" w:hAnsi="Arial"/>
          <w:color w:val="000000"/>
          <w:sz w:val="20"/>
        </w:rPr>
        <w:t>In May 2022, the Company entered into a consulting agreement with one of its directors. No expense related to this agreement was recognized during the three months ended March 31, 2026 and 2025.</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14. Segment Information</w:t>
      </w:r>
    </w:p>
    <w:p>
      <w:pPr>
        <w:pStyle w:val="TextBody"/>
        <w:bidi w:val="0"/>
        <w:spacing w:before="120" w:after="283"/>
        <w:jc w:val="left"/>
        <w:rPr>
          <w:rFonts w:ascii="Arial" w:hAnsi="Arial"/>
          <w:color w:val="000000"/>
          <w:sz w:val="20"/>
        </w:rPr>
      </w:pPr>
      <w:r>
        <w:rPr>
          <w:rFonts w:ascii="Arial" w:hAnsi="Arial"/>
          <w:color w:val="000000"/>
          <w:sz w:val="20"/>
        </w:rPr>
        <w:t xml:space="preserve">The Company operates as one operating segment, focused on discovering, developing and commercializing antiviral therapeutics. The determination of a single business segment is consistent with the consolidated financial information regularly provided to the Company’s Chief Executive Officer (“CEO”) who is also the Chief Operating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Decision Maker (“CODM”). As CODM, the CEO, uses consolidated, single-segment financial information for purposes of evaluating performance, making operating decisions, allocating resources, and planning and forecasting for future periods.</w:t>
      </w:r>
    </w:p>
    <w:p>
      <w:pPr>
        <w:pStyle w:val="TextBody"/>
        <w:bidi w:val="0"/>
        <w:spacing w:before="120" w:after="283"/>
        <w:jc w:val="left"/>
        <w:rPr>
          <w:rFonts w:ascii="Arial" w:hAnsi="Arial"/>
          <w:color w:val="000000"/>
          <w:sz w:val="20"/>
        </w:rPr>
      </w:pPr>
      <w:r>
        <w:rPr>
          <w:rFonts w:ascii="Arial" w:hAnsi="Arial"/>
          <w:color w:val="000000"/>
          <w:sz w:val="20"/>
        </w:rPr>
        <w:t>The CODM assesses performance and decides how to allocate resources based on consolidated net loss. This measure is used to monitor budget versus actual results to evaluate the performance of the segment.</w:t>
      </w:r>
    </w:p>
    <w:p>
      <w:pPr>
        <w:pStyle w:val="TextBody"/>
        <w:bidi w:val="0"/>
        <w:spacing w:before="120" w:after="283"/>
        <w:jc w:val="left"/>
        <w:rPr>
          <w:rFonts w:ascii="Arial" w:hAnsi="Arial"/>
          <w:color w:val="000000"/>
          <w:sz w:val="20"/>
        </w:rPr>
      </w:pPr>
      <w:r>
        <w:rPr>
          <w:rFonts w:ascii="Arial" w:hAnsi="Arial"/>
          <w:color w:val="000000"/>
          <w:sz w:val="20"/>
        </w:rPr>
        <w:t>The CODM reviews cash, cash equivalents and marketable securities as a measure of segment assets. As of March 31, 2026 and December 31, 2025, the Company’s cash, cash equivalents and marketable securities were $256,006 and $301,830, respectively.</w:t>
      </w:r>
    </w:p>
    <w:p>
      <w:pPr>
        <w:pStyle w:val="TextBody"/>
        <w:bidi w:val="0"/>
        <w:spacing w:before="120" w:after="283"/>
        <w:jc w:val="left"/>
        <w:rPr>
          <w:rFonts w:ascii="Arial" w:hAnsi="Arial"/>
          <w:color w:val="000000"/>
          <w:sz w:val="20"/>
        </w:rPr>
      </w:pPr>
      <w:r>
        <w:rPr>
          <w:rFonts w:ascii="Arial" w:hAnsi="Arial"/>
          <w:color w:val="000000"/>
          <w:sz w:val="20"/>
        </w:rPr>
        <w:t>The following table illustrates information about significant segment expenses and segment operating loss for the three months ended March 31, 2026 and 2025:</w:t>
      </w:r>
    </w:p>
    <w:p>
      <w:pPr>
        <w:pStyle w:val="TextBody"/>
        <w:bidi w:val="0"/>
        <w:jc w:val="left"/>
        <w:rPr/>
      </w:pPr>
      <w:r>
        <w:rPr/>
        <w:t> </w:t>
      </w:r>
    </w:p>
    <w:tbl>
      <w:tblPr>
        <w:tblW w:w="6889" w:type="dxa"/>
        <w:jc w:val="left"/>
        <w:tblInd w:w="0" w:type="dxa"/>
        <w:tblLayout w:type="fixed"/>
        <w:tblCellMar>
          <w:top w:w="28" w:type="dxa"/>
          <w:left w:w="28" w:type="dxa"/>
          <w:bottom w:w="28" w:type="dxa"/>
          <w:right w:w="28" w:type="dxa"/>
        </w:tblCellMar>
      </w:tblPr>
      <w:tblGrid>
        <w:gridCol w:w="4156"/>
        <w:gridCol w:w="146"/>
        <w:gridCol w:w="211"/>
        <w:gridCol w:w="691"/>
        <w:gridCol w:w="166"/>
        <w:gridCol w:w="146"/>
        <w:gridCol w:w="211"/>
        <w:gridCol w:w="691"/>
        <w:gridCol w:w="47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5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47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Research and development expense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HCV external costs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HEV external costs </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 xml:space="preserve">COVID-19 external costs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sz w:val="20"/>
              </w:rPr>
            </w:pPr>
            <w:r>
              <w:rPr>
                <w:rFonts w:ascii="Arial" w:hAnsi="Arial"/>
                <w:color w:val="000000"/>
                <w:sz w:val="20"/>
              </w:rPr>
              <w:t>Early stage discovery external costs </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Consulting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26,144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General and administrative </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Consulting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20"/>
              </w:rPr>
              <w:t xml:space="preserve">Other segment items </w:t>
            </w:r>
            <w:r>
              <w:rPr>
                <w:rFonts w:ascii="Arial" w:hAnsi="Arial"/>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5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45,440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34,272</w:t>
            </w:r>
          </w:p>
        </w:tc>
        <w:tc>
          <w:tcPr>
            <w:tcW w:w="4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sz w:val="20"/>
        </w:rPr>
      </w:pPr>
      <w:r>
        <w:rPr>
          <w:rFonts w:ascii="Arial" w:hAnsi="Arial"/>
          <w:color w:val="000000"/>
          <w:sz w:val="13"/>
        </w:rPr>
        <w:t>(1)</w:t>
      </w:r>
      <w:r>
        <w:rPr>
          <w:rFonts w:ascii="Arial" w:hAnsi="Arial"/>
          <w:color w:val="000000"/>
          <w:sz w:val="20"/>
        </w:rPr>
        <w:t xml:space="preserve">Research and development expense for the three months ended March 31, 2026 and 2025 excludes stock-based compensation of $1,924 and $3,440, respectively. </w:t>
      </w:r>
    </w:p>
    <w:p>
      <w:pPr>
        <w:pStyle w:val="TextBody"/>
        <w:bidi w:val="0"/>
        <w:spacing w:before="120" w:after="283"/>
        <w:jc w:val="left"/>
        <w:rPr>
          <w:rFonts w:ascii="Arial" w:hAnsi="Arial"/>
          <w:sz w:val="20"/>
        </w:rPr>
      </w:pPr>
      <w:r>
        <w:rPr>
          <w:rFonts w:ascii="Arial" w:hAnsi="Arial"/>
          <w:color w:val="000000"/>
          <w:sz w:val="13"/>
        </w:rPr>
        <w:t>(2)</w:t>
      </w:r>
      <w:r>
        <w:rPr>
          <w:rFonts w:ascii="Arial" w:hAnsi="Arial"/>
          <w:color w:val="000000"/>
          <w:sz w:val="20"/>
        </w:rPr>
        <w:t>External costs consist primarily of costs associated with preclinical, clinical and manufacturing related activities.</w:t>
      </w:r>
    </w:p>
    <w:p>
      <w:pPr>
        <w:pStyle w:val="TextBody"/>
        <w:bidi w:val="0"/>
        <w:spacing w:before="120" w:after="283"/>
        <w:jc w:val="left"/>
        <w:rPr>
          <w:rFonts w:ascii="Arial" w:hAnsi="Arial"/>
          <w:sz w:val="20"/>
        </w:rPr>
      </w:pPr>
      <w:r>
        <w:rPr>
          <w:rFonts w:ascii="Arial" w:hAnsi="Arial"/>
          <w:color w:val="000000"/>
          <w:sz w:val="13"/>
        </w:rPr>
        <w:t>(3)</w:t>
      </w:r>
      <w:r>
        <w:rPr>
          <w:rFonts w:ascii="Arial" w:hAnsi="Arial"/>
          <w:color w:val="000000"/>
          <w:sz w:val="20"/>
        </w:rPr>
        <w:t xml:space="preserve">General and administrative expense for the three months ended March 31, 2026 and 2025 excludes stock-based compensation of $1,805 and $3,511, respectively. </w:t>
      </w:r>
    </w:p>
    <w:p>
      <w:pPr>
        <w:pStyle w:val="TextBody"/>
        <w:bidi w:val="0"/>
        <w:spacing w:before="120" w:after="283"/>
        <w:jc w:val="left"/>
        <w:rPr>
          <w:rFonts w:ascii="Arial" w:hAnsi="Arial"/>
          <w:sz w:val="20"/>
        </w:rPr>
      </w:pPr>
      <w:r>
        <w:rPr>
          <w:rFonts w:ascii="Arial" w:hAnsi="Arial"/>
          <w:color w:val="000000"/>
          <w:sz w:val="13"/>
        </w:rPr>
        <w:t>(4)</w:t>
      </w:r>
      <w:r>
        <w:rPr>
          <w:rFonts w:ascii="Arial" w:hAnsi="Arial"/>
          <w:color w:val="000000"/>
          <w:sz w:val="20"/>
        </w:rPr>
        <w:t xml:space="preserve">Other segment items include interest income and other, net and income tax expense.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bookmarkStart w:id="13" w:name="item_2_managements_discussion_analysis_f"/>
      <w:bookmarkEnd w:id="13"/>
      <w:r>
        <w:rPr>
          <w:rFonts w:ascii="Arial" w:hAnsi="Arial"/>
          <w:b/>
          <w:color w:val="000000"/>
          <w:sz w:val="20"/>
        </w:rPr>
        <w:t>Item 2. Management’s Discussion and Analysis of</w:t>
      </w:r>
      <w:r>
        <w:rPr>
          <w:rFonts w:ascii="Arial" w:hAnsi="Arial"/>
          <w:color w:val="000000"/>
          <w:sz w:val="20"/>
        </w:rPr>
        <w:t xml:space="preserve"> </w:t>
      </w:r>
      <w:r>
        <w:rPr>
          <w:rFonts w:ascii="Arial" w:hAnsi="Arial"/>
          <w:b/>
          <w:color w:val="000000"/>
          <w:sz w:val="20"/>
        </w:rPr>
        <w:t>Financial Condition and Results of Operations.</w:t>
      </w:r>
    </w:p>
    <w:p>
      <w:pPr>
        <w:pStyle w:val="TextBody"/>
        <w:bidi w:val="0"/>
        <w:spacing w:before="120" w:after="283"/>
        <w:jc w:val="left"/>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2025, filed with the Securities and Exchange Commission (“SEC”) on March 5, 2026.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pStyle w:val="TextBody"/>
        <w:bidi w:val="0"/>
        <w:spacing w:before="240" w:after="283"/>
        <w:jc w:val="left"/>
        <w:rPr>
          <w:rFonts w:ascii="Arial" w:hAnsi="Arial"/>
          <w:b/>
          <w:color w:val="000000"/>
          <w:sz w:val="20"/>
        </w:rPr>
      </w:pPr>
      <w:r>
        <w:rPr>
          <w:rFonts w:ascii="Arial" w:hAnsi="Arial"/>
          <w:b/>
          <w:color w:val="000000"/>
          <w:sz w:val="20"/>
        </w:rPr>
        <w:t>Overview</w:t>
      </w:r>
    </w:p>
    <w:p>
      <w:pPr>
        <w:pStyle w:val="TextBody"/>
        <w:bidi w:val="0"/>
        <w:spacing w:before="120" w:after="283"/>
        <w:jc w:val="left"/>
        <w:rPr>
          <w:rFonts w:ascii="Arial" w:hAnsi="Arial"/>
          <w:color w:val="000000"/>
          <w:sz w:val="20"/>
        </w:rPr>
      </w:pPr>
      <w:r>
        <w:rPr>
          <w:rFonts w:ascii="Arial" w:hAnsi="Arial"/>
          <w:color w:val="000000"/>
          <w:sz w:val="20"/>
        </w:rPr>
        <w:t xml:space="preserve">We are a late-stage clinical biopharmaceutical company leveraging our deep understanding of antiviral drug development, medicinal chemistry, biochemistry and virology to discover, develop and commercialize novel, orally administered antivirals to treat serious viral diseases. Our current product candidate pipeline includes the regimen of bemnifosbuvir and ruzasvir which we believe has the potential to improve the current standard of care (“SOC”) for the treatment of patients with hepatitis C virus (“HCV”) infection and AT-587 which we believe has the potential to be the first direct-acting antiviral (“DAA”) for the treatment of patients, particularly immunocompromised patients, with chronic hepatitis E virus (“HEV”) infection. </w:t>
      </w:r>
    </w:p>
    <w:p>
      <w:pPr>
        <w:pStyle w:val="TextBody"/>
        <w:bidi w:val="0"/>
        <w:spacing w:before="120" w:after="283"/>
        <w:jc w:val="left"/>
        <w:rPr>
          <w:rFonts w:ascii="Arial" w:hAnsi="Arial"/>
          <w:i/>
          <w:color w:val="000000"/>
          <w:sz w:val="20"/>
          <w:u w:val="single"/>
        </w:rPr>
      </w:pPr>
      <w:r>
        <w:rPr>
          <w:rFonts w:ascii="Arial" w:hAnsi="Arial"/>
          <w:i/>
          <w:color w:val="000000"/>
          <w:sz w:val="20"/>
          <w:u w:val="single"/>
        </w:rPr>
        <w:t>HCV - Our Goal and our Program</w:t>
      </w:r>
    </w:p>
    <w:p>
      <w:pPr>
        <w:pStyle w:val="TextBody"/>
        <w:bidi w:val="0"/>
        <w:spacing w:before="120" w:after="283"/>
        <w:jc w:val="left"/>
        <w:rPr>
          <w:rFonts w:ascii="Arial" w:hAnsi="Arial"/>
          <w:color w:val="000000"/>
          <w:sz w:val="20"/>
        </w:rPr>
      </w:pPr>
      <w:r>
        <w:rPr>
          <w:rFonts w:ascii="Arial" w:hAnsi="Arial"/>
          <w:color w:val="000000"/>
          <w:sz w:val="20"/>
        </w:rPr>
        <w:t>The objective of our HCV development program is to improve upon the current SOC by offering bemnifosbuvir and ruzasvir as a differentiated pan-genotypic protease inhibitor-free, short-duration regimen for patients infected with HCV, if successfully developed and approved. We believe that a novel treatment regimen that can be easily prescribed will benefit today’s HCV population, which is predominately young (20-49 years old) and non-cirrhotic, and it would be a significant improvement to the current SOC.</w:t>
      </w:r>
    </w:p>
    <w:p>
      <w:pPr>
        <w:pStyle w:val="TextBody"/>
        <w:bidi w:val="0"/>
        <w:spacing w:before="120" w:after="283"/>
        <w:jc w:val="left"/>
        <w:rPr>
          <w:rFonts w:ascii="Arial" w:hAnsi="Arial"/>
          <w:color w:val="000000"/>
          <w:sz w:val="20"/>
        </w:rPr>
      </w:pPr>
      <w:r>
        <w:rPr>
          <w:rFonts w:ascii="Arial" w:hAnsi="Arial"/>
          <w:color w:val="000000"/>
          <w:sz w:val="20"/>
        </w:rPr>
        <w:t xml:space="preserve">Presently, there are no short-course (i.e., eight week) nucleotide inhibitor-based, pan-genotypic HCV treatment regimens. Clinical and nonclinical results from studies conducted to date, including a global Phase 2 clinical trial which enrolled 275 HCV infected patients, have shown that the regimen of bemnifosbuvir and ruzasvir has high potency and has been well tolerated. These studies have also shown that the regimen has a low risk for drug-drug interactions with many commonly prescribed medications including proton pump inhibitors and offers the convenience of being able to be taken with or without food. This is a profile that we believe will offer a significant improvement to the current SOC, if approved. </w:t>
      </w:r>
    </w:p>
    <w:p>
      <w:pPr>
        <w:pStyle w:val="TextBody"/>
        <w:bidi w:val="0"/>
        <w:spacing w:before="120" w:after="283"/>
        <w:jc w:val="left"/>
        <w:rPr>
          <w:rFonts w:ascii="Arial" w:hAnsi="Arial"/>
          <w:color w:val="000000"/>
          <w:sz w:val="20"/>
        </w:rPr>
      </w:pPr>
      <w:r>
        <w:rPr>
          <w:rFonts w:ascii="Arial" w:hAnsi="Arial"/>
          <w:color w:val="000000"/>
          <w:sz w:val="20"/>
        </w:rPr>
        <w:t xml:space="preserve">The global HCV Phase 3 program we are conducting consists of two randomized, open label studies: C-BEYOND which has clinical trial sites in the United States (“US”) and Canada, and C-FORWARD which has clinical trial sites in countries outside of North America. In these Phase 3 trials we are comparing our regimen of bemnifosbuvir and ruzasvir to an active comparator, the regimen of sofosbuvir and velpatasvir, in patients with chronic HCV infection. We are conducting the Phase 3 program in geographically diverse regions in order to enroll patients with a broad array of HCV genotypes. </w:t>
      </w:r>
    </w:p>
    <w:p>
      <w:pPr>
        <w:pStyle w:val="TextBody"/>
        <w:bidi w:val="0"/>
        <w:spacing w:before="120" w:after="283"/>
        <w:jc w:val="left"/>
        <w:rPr>
          <w:rFonts w:ascii="Arial" w:hAnsi="Arial"/>
          <w:color w:val="000000"/>
          <w:sz w:val="20"/>
        </w:rPr>
      </w:pPr>
      <w:r>
        <w:rPr>
          <w:rFonts w:ascii="Arial" w:hAnsi="Arial"/>
          <w:color w:val="000000"/>
          <w:sz w:val="20"/>
        </w:rPr>
        <w:t>C-BEYOND is fully enrolled with over 880 patients, and we expect to report topline results mid-2026. We anticipate completing enrollment of an additional 880 patients in C-FORWARD in mid-2026 and reporting topline C-FORWARD results at year-end 2026. Pending successful results from these Phase 3 clinical trials, we are targeting submission to the US Food and Drug Administration (“FDA”) of a New Drug Application (“NDA”) for marketing approval in March 2027.</w:t>
      </w:r>
    </w:p>
    <w:p>
      <w:pPr>
        <w:pStyle w:val="TextBody"/>
        <w:bidi w:val="0"/>
        <w:spacing w:before="120" w:after="283"/>
        <w:jc w:val="left"/>
        <w:rPr>
          <w:rFonts w:ascii="Arial" w:hAnsi="Arial"/>
          <w:color w:val="000000"/>
          <w:sz w:val="20"/>
        </w:rPr>
      </w:pPr>
      <w:r>
        <w:rPr>
          <w:rFonts w:ascii="Arial" w:hAnsi="Arial"/>
          <w:color w:val="000000"/>
          <w:sz w:val="20"/>
        </w:rPr>
        <w:t>We are executing a focused chemistry, manufacturing and controls (“CMC”) strategy to provide fixed dose combination (“FDC”) tablets for the completion of the Phase 3 program, to fulfill NDA requirements and to prepare us for potential launch with sufficient commercial supply for projected initial sales if the regimen of bemnifosbuvir and ruzasvir is approved for marketing.</w:t>
      </w:r>
    </w:p>
    <w:p>
      <w:pPr>
        <w:pStyle w:val="TextBody"/>
        <w:bidi w:val="0"/>
        <w:spacing w:before="120" w:after="283"/>
        <w:jc w:val="left"/>
        <w:rPr>
          <w:rFonts w:ascii="Arial" w:hAnsi="Arial"/>
          <w:sz w:val="20"/>
        </w:rPr>
      </w:pPr>
      <w:r>
        <w:rPr>
          <w:rFonts w:ascii="Arial" w:hAnsi="Arial"/>
          <w:color w:val="000000"/>
          <w:sz w:val="20"/>
        </w:rPr>
        <w:t>Given the large number of patients currently infected with HCV, which is reported by the US Center for Disease Control and Prevention to be as many as four million persons in the US, and the incidence of newly reported chronic infections continuing to outpace rates of treatment, we expect that a substantial global market will exist for the foreseeable future. In 2025, global net sales of branded HCV therapeutics known in the US as Epclusa</w:t>
      </w:r>
      <w:r>
        <w:rPr>
          <w:rFonts w:ascii="Arial" w:hAnsi="Arial"/>
          <w:color w:val="000000"/>
          <w:sz w:val="13"/>
        </w:rPr>
        <w:t xml:space="preserve">® </w:t>
      </w:r>
      <w:r>
        <w:rPr>
          <w:rFonts w:ascii="Arial" w:hAnsi="Arial"/>
          <w:color w:val="000000"/>
          <w:sz w:val="20"/>
        </w:rPr>
        <w:t>(including the authorized generic copy of Epclusa) and Mavyret</w:t>
      </w:r>
      <w:r>
        <w:rPr>
          <w:rFonts w:ascii="Arial" w:hAnsi="Arial"/>
          <w:color w:val="000000"/>
          <w:sz w:val="13"/>
        </w:rPr>
        <w:t xml:space="preserve">® </w:t>
      </w:r>
      <w:r>
        <w:rPr>
          <w:rFonts w:ascii="Arial" w:hAnsi="Arial"/>
          <w:color w:val="000000"/>
          <w:sz w:val="20"/>
        </w:rPr>
        <w:t xml:space="preserve">exceeded $2.5 billion with the US accounting for approximately 50% of these sales.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i/>
          <w:color w:val="000000"/>
          <w:sz w:val="20"/>
          <w:u w:val="single"/>
        </w:rPr>
      </w:pPr>
      <w:r>
        <w:rPr>
          <w:rFonts w:ascii="Arial" w:hAnsi="Arial"/>
          <w:i/>
          <w:color w:val="000000"/>
          <w:sz w:val="20"/>
          <w:u w:val="single"/>
        </w:rPr>
        <w:t>HEV – Our Goal and Our Program</w:t>
      </w:r>
    </w:p>
    <w:p>
      <w:pPr>
        <w:pStyle w:val="TextBody"/>
        <w:bidi w:val="0"/>
        <w:spacing w:before="120" w:after="283"/>
        <w:jc w:val="left"/>
        <w:rPr>
          <w:rFonts w:ascii="Arial" w:hAnsi="Arial"/>
          <w:color w:val="000000"/>
          <w:sz w:val="20"/>
        </w:rPr>
      </w:pPr>
      <w:r>
        <w:rPr>
          <w:rFonts w:ascii="Arial" w:hAnsi="Arial"/>
          <w:color w:val="000000"/>
          <w:sz w:val="20"/>
        </w:rPr>
        <w:t xml:space="preserve">We are developing AT-587 for the treatment of chronic HEV infection in immunocompromised patients. In this high-risk patient population, infection with HEV can rapidly progress to cirrhosis and other serious complications. </w:t>
      </w:r>
    </w:p>
    <w:p>
      <w:pPr>
        <w:pStyle w:val="TextBody"/>
        <w:bidi w:val="0"/>
        <w:spacing w:before="120" w:after="283"/>
        <w:jc w:val="left"/>
        <w:rPr>
          <w:rFonts w:ascii="Arial" w:hAnsi="Arial"/>
          <w:color w:val="000000"/>
          <w:sz w:val="20"/>
        </w:rPr>
      </w:pPr>
      <w:r>
        <w:rPr>
          <w:rFonts w:ascii="Arial" w:hAnsi="Arial"/>
          <w:color w:val="000000"/>
          <w:sz w:val="20"/>
        </w:rPr>
        <w:t xml:space="preserve">There are no DAAs currently available for the treatment of HEV. The most frequent interventions include reduction of immunosuppressive agents which, in solid organ transplant recipients, increases risk of transplant rejection, or off-label treatment with ribavirin which is indicated for treatment of other viruses but hindered by serious adverse events and limited HEV efficacy. The severity of disease in high-risk patients combined with the lack of approved HEV therapies is a substantial unmet medical need which we believe can be addressed if AT-587 is successfully developed. </w:t>
      </w:r>
    </w:p>
    <w:p>
      <w:pPr>
        <w:pStyle w:val="TextBody"/>
        <w:bidi w:val="0"/>
        <w:spacing w:before="120" w:after="283"/>
        <w:jc w:val="left"/>
        <w:rPr>
          <w:rFonts w:ascii="Arial" w:hAnsi="Arial"/>
          <w:sz w:val="20"/>
        </w:rPr>
      </w:pPr>
      <w:r>
        <w:rPr>
          <w:rFonts w:ascii="Arial" w:hAnsi="Arial"/>
          <w:color w:val="000000"/>
          <w:sz w:val="20"/>
        </w:rPr>
        <w:t xml:space="preserve">AT-587 has demonstrated potent nanomolar antiviral activity against HEV </w:t>
      </w:r>
      <w:r>
        <w:rPr>
          <w:rFonts w:ascii="Arial" w:hAnsi="Arial"/>
          <w:i/>
          <w:color w:val="000000"/>
          <w:sz w:val="20"/>
        </w:rPr>
        <w:t>in vitro</w:t>
      </w:r>
      <w:r>
        <w:rPr>
          <w:rFonts w:ascii="Arial" w:hAnsi="Arial"/>
          <w:color w:val="000000"/>
          <w:sz w:val="20"/>
        </w:rPr>
        <w:t xml:space="preserve">. In single-dose </w:t>
      </w:r>
      <w:r>
        <w:rPr>
          <w:rFonts w:ascii="Arial" w:hAnsi="Arial"/>
          <w:i/>
          <w:color w:val="000000"/>
          <w:sz w:val="20"/>
        </w:rPr>
        <w:t>in vivo</w:t>
      </w:r>
      <w:r>
        <w:rPr>
          <w:rFonts w:ascii="Arial" w:hAnsi="Arial"/>
          <w:color w:val="000000"/>
          <w:sz w:val="20"/>
        </w:rPr>
        <w:t xml:space="preserve"> nonclinical pharmacokinetic studies, high plasma concentrations of the surrogate to the active intracellular triphosphate metabolite were observed in all animal species tested. Results from </w:t>
      </w:r>
      <w:r>
        <w:rPr>
          <w:rFonts w:ascii="Arial" w:hAnsi="Arial"/>
          <w:i/>
          <w:color w:val="000000"/>
          <w:sz w:val="20"/>
        </w:rPr>
        <w:t>in vitro</w:t>
      </w:r>
      <w:r>
        <w:rPr>
          <w:rFonts w:ascii="Arial" w:hAnsi="Arial"/>
          <w:color w:val="000000"/>
          <w:sz w:val="20"/>
        </w:rPr>
        <w:t xml:space="preserve"> toxicology, pharmacology and drug metabolism and pharmacokinetic studies indicate the potential for a favorable clinical profile for AT-587. Currently, we anticipate initiating clinical development of AT-587 with a first-in-human Phase 1 study in mid-2026.</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Developing a treatment for HEV, particularly a product candidate derived from our proprietary platform, is a potentially important and advantageous strategic expansion of our antiviral pipeline. If both product candidates are successfully developed and approved, we will have a hepatology portfolio that we anticipate will improve upon the current SOC for HCV and introduce the first DAA for HEV.</w:t>
      </w:r>
    </w:p>
    <w:p>
      <w:pPr>
        <w:pStyle w:val="TextBody"/>
        <w:bidi w:val="0"/>
        <w:spacing w:before="240" w:after="283"/>
        <w:jc w:val="left"/>
        <w:rPr>
          <w:rFonts w:ascii="Arial" w:hAnsi="Arial"/>
          <w:sz w:val="20"/>
        </w:rPr>
      </w:pPr>
      <w:r>
        <w:rPr>
          <w:rFonts w:ascii="Arial" w:hAnsi="Arial"/>
          <w:b/>
          <w:color w:val="000000"/>
          <w:sz w:val="20"/>
        </w:rPr>
        <w:t>Discovery efforts for other RNA virus infections</w:t>
      </w:r>
      <w:r>
        <w:rPr>
          <w:rFonts w:ascii="Arial" w:hAnsi="Arial"/>
          <w:color w:val="000000"/>
          <w:sz w:val="20"/>
        </w:rPr>
        <w:t xml:space="preserve"> </w:t>
      </w:r>
    </w:p>
    <w:p>
      <w:pPr>
        <w:pStyle w:val="TextBody"/>
        <w:bidi w:val="0"/>
        <w:spacing w:before="120" w:after="283"/>
        <w:jc w:val="left"/>
        <w:rPr>
          <w:rFonts w:ascii="Arial" w:hAnsi="Arial"/>
          <w:sz w:val="20"/>
        </w:rPr>
      </w:pPr>
      <w:r>
        <w:rPr>
          <w:rFonts w:ascii="Arial" w:hAnsi="Arial"/>
          <w:color w:val="000000"/>
          <w:sz w:val="20"/>
        </w:rPr>
        <w:t xml:space="preserve">We have an extensive library of compounds that have been designed and generated by our medicinal chemists. Currently, we are evaluating select compounds derived from this library in </w:t>
      </w:r>
      <w:r>
        <w:rPr>
          <w:rFonts w:ascii="Arial" w:hAnsi="Arial"/>
          <w:i/>
          <w:color w:val="000000"/>
          <w:sz w:val="20"/>
        </w:rPr>
        <w:t xml:space="preserve">in vitro </w:t>
      </w:r>
      <w:r>
        <w:rPr>
          <w:rFonts w:ascii="Arial" w:hAnsi="Arial"/>
          <w:color w:val="000000"/>
          <w:sz w:val="20"/>
        </w:rPr>
        <w:t xml:space="preserve">and </w:t>
      </w:r>
      <w:r>
        <w:rPr>
          <w:rFonts w:ascii="Arial" w:hAnsi="Arial"/>
          <w:i/>
          <w:color w:val="000000"/>
          <w:sz w:val="20"/>
        </w:rPr>
        <w:t xml:space="preserve">in vivo </w:t>
      </w:r>
      <w:r>
        <w:rPr>
          <w:rFonts w:ascii="Arial" w:hAnsi="Arial"/>
          <w:color w:val="000000"/>
          <w:sz w:val="20"/>
        </w:rPr>
        <w:t>studies to assess the antiviral activity and other properties of such compounds against other RNA viral infections.</w:t>
      </w:r>
    </w:p>
    <w:p>
      <w:pPr>
        <w:pStyle w:val="TextBody"/>
        <w:bidi w:val="0"/>
        <w:spacing w:before="120" w:after="283"/>
        <w:jc w:val="left"/>
        <w:rPr>
          <w:rFonts w:ascii="Arial" w:hAnsi="Arial"/>
          <w:color w:val="000000"/>
          <w:sz w:val="20"/>
        </w:rPr>
      </w:pPr>
      <w:r>
        <w:rPr>
          <w:rFonts w:ascii="Arial" w:hAnsi="Arial"/>
          <w:color w:val="000000"/>
          <w:sz w:val="20"/>
        </w:rPr>
        <w:t xml:space="preserve">In all our discovery and preclinical efforts, we assess where there is a compelling market opportunity and then we aim to identify and advance only those candidates that we believe may have first- or best-in-class profiles with the potential to either become the SOC, or disrupt the existing SOC, and in each case, dramatically improve patient outcomes. </w:t>
      </w:r>
    </w:p>
    <w:p>
      <w:pPr>
        <w:pStyle w:val="TextBody"/>
        <w:bidi w:val="0"/>
        <w:spacing w:before="240" w:after="283"/>
        <w:jc w:val="left"/>
        <w:rPr>
          <w:rFonts w:ascii="Arial" w:hAnsi="Arial"/>
          <w:sz w:val="20"/>
        </w:rPr>
      </w:pPr>
      <w:r>
        <w:rPr>
          <w:rFonts w:ascii="Arial" w:hAnsi="Arial"/>
          <w:b/>
          <w:i/>
          <w:color w:val="000000"/>
          <w:sz w:val="20"/>
        </w:rPr>
        <w:t>Financial Resources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believe we are well capitalized to advance our current programs. We had $256.0 million in cash, cash equivalents and marketable securities at March 31, 2026.</w:t>
      </w:r>
    </w:p>
    <w:p>
      <w:pPr>
        <w:pStyle w:val="TextBody"/>
        <w:bidi w:val="0"/>
        <w:spacing w:before="120" w:after="283"/>
        <w:jc w:val="left"/>
        <w:rPr>
          <w:rFonts w:ascii="Arial" w:hAnsi="Arial"/>
          <w:color w:val="000000"/>
          <w:sz w:val="20"/>
        </w:rPr>
      </w:pPr>
      <w:r>
        <w:rPr>
          <w:rFonts w:ascii="Arial" w:hAnsi="Arial"/>
          <w:color w:val="000000"/>
          <w:sz w:val="20"/>
        </w:rPr>
        <w:t>We do not have any products approved for sale and have not generated any product revenue since inception. We do not anticipate generating any revenue from product sales for the foreseeable future.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third parties, or through other sources of financing. Our failure to meet the primary efficacy endpoint of our COVID-19 SUNRISE-3 Phase 3 clinical trial may make such financing more difficult.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120" w:after="283"/>
        <w:jc w:val="left"/>
        <w:rPr>
          <w:rFonts w:ascii="Arial" w:hAnsi="Arial"/>
          <w:color w:val="000000"/>
          <w:sz w:val="20"/>
        </w:rPr>
      </w:pPr>
      <w:r>
        <w:rPr>
          <w:rFonts w:ascii="Arial" w:hAnsi="Arial"/>
          <w:color w:val="000000"/>
          <w:sz w:val="20"/>
        </w:rPr>
        <w:t xml:space="preserve">We remain focused on identifying initiatives, investments and opportunities to maximize stockholder value. </w:t>
      </w:r>
    </w:p>
    <w:p>
      <w:pPr>
        <w:pStyle w:val="TextBody"/>
        <w:bidi w:val="0"/>
        <w:spacing w:before="120" w:after="283"/>
        <w:jc w:val="left"/>
        <w:rPr>
          <w:rFonts w:ascii="Arial" w:hAnsi="Arial"/>
          <w:color w:val="000000"/>
          <w:sz w:val="20"/>
        </w:rPr>
      </w:pPr>
      <w:r>
        <w:rPr>
          <w:rFonts w:ascii="Arial" w:hAnsi="Arial"/>
          <w:color w:val="000000"/>
          <w:sz w:val="20"/>
        </w:rPr>
        <w:t xml:space="preserve">In an effort to enhance efficiency in the management of infrastructure expenses, in the first quarter of 2025, we reduced our workforce by approximately 25%. This workforce reduction is expected to result in aggregate cost savings of approximately $15.0 million through 2027. </w:t>
      </w:r>
    </w:p>
    <w:p>
      <w:pPr>
        <w:pStyle w:val="TextBody"/>
        <w:bidi w:val="0"/>
        <w:spacing w:before="120" w:after="283"/>
        <w:jc w:val="left"/>
        <w:rPr>
          <w:rFonts w:ascii="Arial" w:hAnsi="Arial"/>
          <w:color w:val="000000"/>
          <w:sz w:val="20"/>
        </w:rPr>
      </w:pPr>
      <w:r>
        <w:rPr>
          <w:rFonts w:ascii="Arial" w:hAnsi="Arial"/>
          <w:color w:val="000000"/>
          <w:sz w:val="20"/>
        </w:rPr>
        <w:t xml:space="preserve">Additionally, in April 2025, our Board authorized a program to repurchase shares of our common stock (“Common Stock”). Under this authorization, we returned capital to our stockholders while maintaining the capacity to complete the Phase 3 clinical development of the regimen of bemnifosbuvir and ruzasvir and execute on our other strategic business plans. Under the share repurchase program, which was fully completed in 2025, we expended $25.5 million (including transaction costs and excise taxes) in connection with the repurchase of 7,673,792 shares of our Common Stock.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Expecting that the results of our HCV Phase 3 clinical development program, if successful, will drive stockholder value and catalyze business development discussions, in November 2025, we concluded the formal engagement to explore strategic partnerships which we previously entered into with Evercore LLC, a global independent investment bank. Currently, we expect to report topline results from our Phase 3 C-Beyond trial in mid-2026 and topline results from our Phase 3 C-Forward trial at year-end 2026. We remain open to consideration of strategic transactions and all other opportunities to drive stockholder value.</w:t>
      </w:r>
    </w:p>
    <w:p>
      <w:pPr>
        <w:pStyle w:val="TextBody"/>
        <w:bidi w:val="0"/>
        <w:spacing w:before="240" w:after="283"/>
        <w:jc w:val="left"/>
        <w:rPr>
          <w:rFonts w:ascii="Arial" w:hAnsi="Arial"/>
          <w:b/>
          <w:color w:val="000000"/>
          <w:sz w:val="20"/>
        </w:rPr>
      </w:pPr>
      <w:r>
        <w:rPr>
          <w:rFonts w:ascii="Arial" w:hAnsi="Arial"/>
          <w:b/>
          <w:color w:val="000000"/>
          <w:sz w:val="20"/>
        </w:rPr>
        <w:t>Merck License Agreement</w:t>
      </w:r>
    </w:p>
    <w:p>
      <w:pPr>
        <w:pStyle w:val="TextBody"/>
        <w:bidi w:val="0"/>
        <w:spacing w:before="120" w:after="283"/>
        <w:jc w:val="left"/>
        <w:rPr>
          <w:rFonts w:ascii="Arial" w:hAnsi="Arial"/>
          <w:color w:val="000000"/>
          <w:sz w:val="20"/>
        </w:rPr>
      </w:pPr>
      <w:r>
        <w:rPr>
          <w:rFonts w:ascii="Arial" w:hAnsi="Arial"/>
          <w:color w:val="000000"/>
          <w:sz w:val="20"/>
        </w:rPr>
        <w:t xml:space="preserve">In December 2021, we entered into a license agreement (“Merck License Agreement”) with MSD International GmbH, an affiliate of Merck &amp; Co., Inc. (“Merck”) for the development, manufacture and commercialization of ruzasvir. Ruzasvir is the investigational NS5A inhibitor we are developing in combination with bemnifosbuvir for the treatment of HCV. </w:t>
      </w:r>
    </w:p>
    <w:p>
      <w:pPr>
        <w:pStyle w:val="TextBody"/>
        <w:bidi w:val="0"/>
        <w:spacing w:before="120" w:after="283"/>
        <w:jc w:val="left"/>
        <w:rPr>
          <w:rFonts w:ascii="Arial" w:hAnsi="Arial"/>
          <w:color w:val="000000"/>
          <w:sz w:val="20"/>
        </w:rPr>
      </w:pPr>
      <w:r>
        <w:rPr>
          <w:rFonts w:ascii="Arial" w:hAnsi="Arial"/>
          <w:color w:val="000000"/>
          <w:sz w:val="20"/>
        </w:rPr>
        <w:t>Pursuant to the terms of the Merck License Agreement, we obtained from Merck an exclusive (subject to certain reserved rights to conduct internal research), sublicensable, and worldwide license under certain Merck patents and know-how to research, develop, manufacture, have manufactured, use, import, export, sell, offer for sale, and otherwise commercialize ruzasvir or products containing ruzasvir (each a “Product”) for all therapeutic or prophylactic uses in humans.</w:t>
      </w:r>
    </w:p>
    <w:p>
      <w:pPr>
        <w:pStyle w:val="TextBody"/>
        <w:bidi w:val="0"/>
        <w:spacing w:before="120" w:after="283"/>
        <w:jc w:val="left"/>
        <w:rPr>
          <w:rFonts w:ascii="Arial" w:hAnsi="Arial"/>
          <w:color w:val="000000"/>
          <w:sz w:val="20"/>
        </w:rPr>
      </w:pPr>
      <w:r>
        <w:rPr>
          <w:rFonts w:ascii="Arial" w:hAnsi="Arial"/>
          <w:color w:val="000000"/>
          <w:sz w:val="20"/>
        </w:rPr>
        <w:t xml:space="preserve">In addition to a non-refundable upfront payment that we made in February 2022, we agreed to pay Merck milestone payments upon our achievement of certain development, regulatory and sales-based milestones. Additionally, we will pay Merck tiered royalties based on annual net sales of Products ranging from high single digits to mid-teens percentages. Our royalty payment obligations will continue until the later of (i) the expiration of the last to expire valid claim of a licensed Merck patent claiming such Product and (ii) a period of years after the first commercial sale of such Product in such country. We may terminate the Merck License Agreement for convenience upon prior written notice. The first milestone in the amount of $5.0 million became due and payable in April 2025 when we enrolled our first patient in C-BEYOND, the Phase 3 clinical trial that we are currently conducting in the US and Canada evaluating the regimen of bemnifosbuvir and ruzasvir for the treatment of HCV. The Company recognized this milestone payment as research and development expense in the three months ended June 30, 2025. The next potential milestone, in the amount of $10.0 million, is payable upon acceptance by the FDA of a new drug application covering a product candidate including ruzasvir. If we successfully complete the ongoing HCV Phase 3 clinical trials evaluating the regimen of bemnifosbuvir and ruzasvir and are able to complete and submit the NDA to the FDA on our current projected timeline, we anticipate that this next potential milestone may become due and payable during the three months ended June 30, 2027. </w:t>
      </w:r>
    </w:p>
    <w:p>
      <w:pPr>
        <w:pStyle w:val="TextBody"/>
        <w:bidi w:val="0"/>
        <w:spacing w:before="240" w:after="283"/>
        <w:jc w:val="left"/>
        <w:rPr>
          <w:rFonts w:ascii="Arial" w:hAnsi="Arial"/>
          <w:b/>
          <w:color w:val="000000"/>
          <w:sz w:val="20"/>
        </w:rPr>
      </w:pPr>
      <w:r>
        <w:rPr>
          <w:rFonts w:ascii="Arial" w:hAnsi="Arial"/>
          <w:b/>
          <w:color w:val="000000"/>
          <w:sz w:val="20"/>
        </w:rPr>
        <w:t>Financial Operations Overview</w:t>
      </w:r>
    </w:p>
    <w:p>
      <w:pPr>
        <w:pStyle w:val="TextBody"/>
        <w:bidi w:val="0"/>
        <w:spacing w:before="120" w:after="283"/>
        <w:jc w:val="left"/>
        <w:rPr>
          <w:rFonts w:ascii="Arial" w:hAnsi="Arial"/>
          <w:color w:val="000000"/>
          <w:sz w:val="20"/>
        </w:rPr>
      </w:pPr>
      <w:r>
        <w:rPr>
          <w:rFonts w:ascii="Arial" w:hAnsi="Arial"/>
          <w:color w:val="000000"/>
          <w:sz w:val="20"/>
        </w:rPr>
        <w:t>As of March 31, 2026, we had cash and investments of $256.0 million. Net cash used in operating activities was $46.4 million for the three months ended March 31, 2026.</w:t>
      </w:r>
    </w:p>
    <w:p>
      <w:pPr>
        <w:pStyle w:val="TextBody"/>
        <w:bidi w:val="0"/>
        <w:spacing w:before="120" w:after="283"/>
        <w:jc w:val="left"/>
        <w:rPr>
          <w:rFonts w:ascii="Arial" w:hAnsi="Arial"/>
          <w:color w:val="000000"/>
          <w:sz w:val="20"/>
        </w:rPr>
      </w:pPr>
      <w:r>
        <w:rPr>
          <w:rFonts w:ascii="Arial" w:hAnsi="Arial"/>
          <w:color w:val="000000"/>
          <w:sz w:val="20"/>
        </w:rPr>
        <w:t>Based on our current plans, we anticipate our existing financial resources will allow us to advance our current and planned clinical programs to and through key inflection points, prepare and submit an application for marketing approval of the regimen of bemnifosbuvir and ruzasvir, engage in pre-launch activities including the manufacture of the regimen of bemnifosbuvir and ruzasvir in commercial quantities sufficient to meet our initial sales projections and advance to late-stage clinical development of AT-587 for the treatment of HEV.</w:t>
      </w:r>
    </w:p>
    <w:p>
      <w:pPr>
        <w:pStyle w:val="TextBody"/>
        <w:bidi w:val="0"/>
        <w:spacing w:before="120" w:after="283"/>
        <w:jc w:val="left"/>
        <w:rPr>
          <w:rFonts w:ascii="Arial" w:hAnsi="Arial"/>
          <w:color w:val="000000"/>
          <w:sz w:val="20"/>
        </w:rPr>
      </w:pPr>
      <w:r>
        <w:rPr>
          <w:rFonts w:ascii="Arial" w:hAnsi="Arial"/>
          <w:color w:val="000000"/>
          <w:sz w:val="20"/>
        </w:rPr>
        <w:t>We expect that our net cash used in operating activities will remain significant as we complete the clinical development of the regimen of bemnifosbuvir and ruzasvir for the treatment of HCV, seek regulatory approval, manufacture such product at commercial scale and prepare for and, if approved, pursue commercialization activities; advance AT-587, our HEV product candidate through preclinical and clinical development; acquire, discover, validate and develop additional product candidates; obtain, maintain, protect and enforce our intellectual property portfolio; and, if necessary, hire additional personnel. In addition, we may incur additional costs as we continue to operate as a public company. We believe that our available cash, cash equivalents and marketable securities will be sufficient to fund our planned operations through 2027. We have based this estimate on assumptions that may prove to be wrong and we could exhaust our available capital resources sooner than we expect.</w:t>
      </w:r>
    </w:p>
    <w:p>
      <w:pPr>
        <w:pStyle w:val="TextBody"/>
        <w:bidi w:val="0"/>
        <w:spacing w:before="120" w:after="283"/>
        <w:jc w:val="left"/>
        <w:rPr>
          <w:rFonts w:ascii="Arial" w:hAnsi="Arial"/>
          <w:color w:val="000000"/>
          <w:sz w:val="20"/>
        </w:rPr>
      </w:pPr>
      <w:r>
        <w:rPr>
          <w:rFonts w:ascii="Arial" w:hAnsi="Arial"/>
          <w:color w:val="000000"/>
          <w:sz w:val="20"/>
        </w:rPr>
        <w:t xml:space="preserve">We do not have any products approved for sale and have not generated any product revenue since inception. We do not anticipate generating any revenue from product sales for the foreseeable future. Our ability to generate product revenue will depend on the successful development, regulatory approval and eventual commercialization of one or more of our product candidates. Until such time as we can generate significant revenue from product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sales, if ever, we expect to finance our operations through private or public equity or debt financings, collaborative or other arrangements with third parties,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spacing w:before="120" w:after="283"/>
        <w:jc w:val="left"/>
        <w:rPr>
          <w:rFonts w:ascii="Arial" w:hAnsi="Arial"/>
          <w:color w:val="000000"/>
          <w:sz w:val="20"/>
        </w:rPr>
      </w:pPr>
      <w:r>
        <w:rPr>
          <w:rFonts w:ascii="Arial" w:hAnsi="Arial"/>
          <w:color w:val="000000"/>
          <w:sz w:val="20"/>
        </w:rPr>
        <w:t>We plan to continue to use third-party service providers, including clinical research organizations (“CROs”) to carry out our preclinical and clinical development, and contract manufacturing organizations (“CMOs”) to manufacture and supply the materials used during the development of our product candidates. Additionally, we expect to rely on CMOs for the manufacture of commercial supply of any product candidate we may successfully develop.</w:t>
      </w:r>
    </w:p>
    <w:p>
      <w:pPr>
        <w:pStyle w:val="TextBody"/>
        <w:bidi w:val="0"/>
        <w:spacing w:before="120" w:after="283"/>
        <w:jc w:val="left"/>
        <w:rPr>
          <w:rFonts w:ascii="Arial" w:hAnsi="Arial"/>
          <w:color w:val="000000"/>
          <w:sz w:val="20"/>
        </w:rPr>
      </w:pPr>
      <w:r>
        <w:rPr>
          <w:rFonts w:ascii="Arial" w:hAnsi="Arial"/>
          <w:color w:val="000000"/>
          <w:sz w:val="20"/>
        </w:rPr>
        <w:t>As we continue to advance our programs, we expect to incur significant expenses over the next several years,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complete the Phase 3 clinical development of the regimen of bemnifosbuvir and ruzasvir for the treatment of HCV;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complete non-clinical NDA enabling activities, including those associated with the manufacture of the regimen of bemnifosbuvir and ruzasvir at commercial scale;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seek marketing approval and prepare for potential commercialization of the regimen of bemnifosbuvir and ruzasvir for the treatment of HCV;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initiate clinical development of AT-587 for the treatment of chronic HEV;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continue discovery and preclinical activities to identify other potential product candidates for the treatment of diseases caused by other single stranded RNA viruses;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acquire or in-license clinical stage drug candidates, form strategic alliances or establish collaborations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 expand, protect and enforce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hire additional personnel, if necessary, to support our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commercialization capabilities if we are successful in developing our product candidates.</w:t>
      </w:r>
    </w:p>
    <w:p>
      <w:pPr>
        <w:pStyle w:val="TextBody"/>
        <w:bidi w:val="0"/>
        <w:spacing w:before="240" w:after="283"/>
        <w:jc w:val="left"/>
        <w:rPr>
          <w:rFonts w:ascii="Arial" w:hAnsi="Arial"/>
          <w:b/>
          <w:color w:val="000000"/>
          <w:sz w:val="20"/>
        </w:rPr>
      </w:pPr>
      <w:r>
        <w:rPr>
          <w:rFonts w:ascii="Arial" w:hAnsi="Arial"/>
          <w:b/>
          <w:color w:val="000000"/>
          <w:sz w:val="20"/>
        </w:rPr>
        <w:t>Components of Results of Operations</w:t>
      </w:r>
    </w:p>
    <w:p>
      <w:pPr>
        <w:pStyle w:val="TextBody"/>
        <w:bidi w:val="0"/>
        <w:spacing w:before="240" w:after="120"/>
        <w:jc w:val="left"/>
        <w:rPr>
          <w:rFonts w:ascii="Arial" w:hAnsi="Arial"/>
          <w:b/>
          <w:i/>
          <w:color w:val="000000"/>
          <w:sz w:val="20"/>
        </w:rPr>
      </w:pPr>
      <w:r>
        <w:rPr>
          <w:rFonts w:ascii="Arial" w:hAnsi="Arial"/>
          <w:b/>
          <w:i/>
          <w:color w:val="000000"/>
          <w:sz w:val="20"/>
        </w:rPr>
        <w:t>Revenue</w:t>
      </w:r>
    </w:p>
    <w:p>
      <w:pPr>
        <w:pStyle w:val="TextBody"/>
        <w:bidi w:val="0"/>
        <w:jc w:val="left"/>
        <w:rPr>
          <w:rFonts w:ascii="Arial" w:hAnsi="Arial"/>
          <w:color w:val="000000"/>
          <w:sz w:val="20"/>
        </w:rPr>
      </w:pPr>
      <w:r>
        <w:rPr>
          <w:rFonts w:ascii="Arial" w:hAnsi="Arial"/>
          <w:color w:val="000000"/>
          <w:sz w:val="20"/>
        </w:rPr>
        <w:t>We do not have any products approved for sale and we have not generated any revenue in the periods presented.</w:t>
      </w:r>
    </w:p>
    <w:p>
      <w:pPr>
        <w:pStyle w:val="TextBody"/>
        <w:bidi w:val="0"/>
        <w:spacing w:before="120" w:after="283"/>
        <w:jc w:val="left"/>
        <w:rPr>
          <w:rFonts w:ascii="Arial" w:hAnsi="Arial"/>
          <w:color w:val="000000"/>
          <w:sz w:val="20"/>
        </w:rPr>
      </w:pPr>
      <w:r>
        <w:rPr>
          <w:rFonts w:ascii="Arial" w:hAnsi="Arial"/>
          <w:color w:val="000000"/>
          <w:sz w:val="20"/>
        </w:rPr>
        <w:t>If our product candidate development efforts are successful and result in commercialization, we may generate revenue in the future from product sales. Additionally, we may generate revenue from collaboration or license agreements that we may enter into with third parties.</w:t>
      </w:r>
    </w:p>
    <w:p>
      <w:pPr>
        <w:pStyle w:val="TextBody"/>
        <w:bidi w:val="0"/>
        <w:spacing w:before="240" w:after="283"/>
        <w:jc w:val="left"/>
        <w:rPr>
          <w:rFonts w:ascii="Arial" w:hAnsi="Arial"/>
          <w:sz w:val="20"/>
        </w:rPr>
      </w:pPr>
      <w:r>
        <w:rPr>
          <w:rFonts w:ascii="Arial" w:hAnsi="Arial"/>
          <w:b/>
          <w:i/>
          <w:color w:val="000000"/>
          <w:sz w:val="20"/>
        </w:rPr>
        <w:t>Operating Expenses</w:t>
      </w:r>
      <w:r>
        <w:rPr>
          <w:rFonts w:ascii="Arial" w:hAnsi="Arial"/>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Substantially all of our research and development expenses consist of expenses incurred in connection with the discovery and development of our product candidates. These expenses include external costs consisting of fees paid to third parties, including CROs and CMOs, to conduct certain research and development activities on our behalf and consulting costs, as well as internal costs consisting of payroll and personnel-related expenses, including salaries and bonuses, employee benefit costs and stock-based compensation expenses for our research and development employees and allocated overhead, including rent, equipment, depreciation, information technology costs and utilities attributable to our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 significant portion of our research and development costs have been external costs, which we track by therapeutic area. We have not historically tracked our internal research and development expenses by therapeutic area as they are deployed across multiple programs. </w:t>
      </w:r>
    </w:p>
    <w:p>
      <w:pPr>
        <w:pStyle w:val="TextBody"/>
        <w:bidi w:val="0"/>
        <w:spacing w:before="120" w:after="283"/>
        <w:jc w:val="left"/>
        <w:rPr>
          <w:rFonts w:ascii="Arial" w:hAnsi="Arial"/>
          <w:color w:val="000000"/>
          <w:sz w:val="20"/>
        </w:rPr>
      </w:pPr>
      <w:r>
        <w:rPr>
          <w:rFonts w:ascii="Arial" w:hAnsi="Arial"/>
          <w:color w:val="000000"/>
          <w:sz w:val="20"/>
        </w:rPr>
        <w:t>The following table summarizes our external research and development expenses by indication and internal research and development expenses:</w:t>
      </w:r>
    </w:p>
    <w:p>
      <w:pPr>
        <w:pStyle w:val="TextBody"/>
        <w:bidi w:val="0"/>
        <w:jc w:val="left"/>
        <w:rPr/>
      </w:pPr>
      <w:r>
        <w:rPr/>
        <w:t> </w:t>
      </w:r>
    </w:p>
    <w:tbl>
      <w:tblPr>
        <w:tblW w:w="6094" w:type="dxa"/>
        <w:jc w:val="left"/>
        <w:tblInd w:w="0" w:type="dxa"/>
        <w:tblLayout w:type="fixed"/>
        <w:tblCellMar>
          <w:top w:w="28" w:type="dxa"/>
          <w:left w:w="28" w:type="dxa"/>
          <w:bottom w:w="28" w:type="dxa"/>
          <w:right w:w="28" w:type="dxa"/>
        </w:tblCellMar>
      </w:tblPr>
      <w:tblGrid>
        <w:gridCol w:w="3661"/>
        <w:gridCol w:w="146"/>
        <w:gridCol w:w="211"/>
        <w:gridCol w:w="691"/>
        <w:gridCol w:w="146"/>
        <w:gridCol w:w="146"/>
        <w:gridCol w:w="211"/>
        <w:gridCol w:w="691"/>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9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1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HCV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HEV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COVID-19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Early stage discovery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costs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41,134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29,584</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 xml:space="preserve">Substantially all of our resources are focused on the development of our product candidates. We expect our research and development expenses to vary quarter over quarter particularly as we complete our Phase 3 HCV clinical program, manufacture commercial launch supply for the possible commercialization of the regimen of bemnifosbuvir and ruzasvir and advance AT-587 for the treatment of HEV. Predicting the timing or cost to complete our clinical programs, validate our commercial manufacturing and supply processes and manufacture of product at commercial scale is difficult and delays may occur because of many factors, including factors outside of our control. For example, if the FDA or other regulatory authorities were to require us to conduct clinical trials beyond those that we currently anticipate or the time to complete planned clinical trials is extended due to delays in enrollment or otherwise, we could be required to expend significant additional financial resources and time on the completion of clinical development. Furthermore, we are unable to predict with any certainty when our HCV and HEV product candidates or any other product candidate we may develop will, if ever, receive regulatory approval. </w:t>
      </w:r>
    </w:p>
    <w:p>
      <w:pPr>
        <w:pStyle w:val="TextBody"/>
        <w:bidi w:val="0"/>
        <w:spacing w:before="120" w:after="283"/>
        <w:jc w:val="left"/>
        <w:rPr>
          <w:rFonts w:ascii="Arial" w:hAnsi="Arial"/>
          <w:color w:val="000000"/>
          <w:sz w:val="20"/>
        </w:rPr>
      </w:pPr>
      <w:r>
        <w:rPr>
          <w:rFonts w:ascii="Arial" w:hAnsi="Arial"/>
          <w:color w:val="000000"/>
          <w:sz w:val="20"/>
        </w:rPr>
        <w:t>Early stage discovery activities include assessing the antiviral activity, pharmacokinetics, toxicity and other properties of select compounds derived from our nucleos(t)ide library in an effort to identify promising potential product candidates for the treatment of RNA viral infections for which there is no currently approved DAA or for which we believe the current SOC can be improved to address unmet medical needs.</w:t>
      </w:r>
    </w:p>
    <w:p>
      <w:pPr>
        <w:pStyle w:val="TextBody"/>
        <w:bidi w:val="0"/>
        <w:spacing w:before="240" w:after="283"/>
        <w:jc w:val="left"/>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consist principally of payroll and personnel expenses, including salaries and bonuses, benefits and stock-based compensation expenses, professional fees for legal, consulting, accounting and tax services, business insurance, allocated overhead, including rent, equipment, depreciation, information technology costs and utilities, and other general operating expenses not otherwise classified as research and development expenses.</w:t>
      </w:r>
    </w:p>
    <w:p>
      <w:pPr>
        <w:pStyle w:val="TextBody"/>
        <w:bidi w:val="0"/>
        <w:spacing w:before="120" w:after="283"/>
        <w:jc w:val="left"/>
        <w:rPr>
          <w:rFonts w:ascii="Arial" w:hAnsi="Arial"/>
          <w:color w:val="000000"/>
          <w:sz w:val="20"/>
        </w:rPr>
      </w:pPr>
      <w:r>
        <w:rPr>
          <w:rFonts w:ascii="Arial" w:hAnsi="Arial"/>
          <w:color w:val="000000"/>
          <w:sz w:val="20"/>
        </w:rPr>
        <w:t>We anticipate that our general and administrative expenses may increase, including in connection with any future expansion of our organization for potential commercialization of our product candidates, as a result of increased personnel costs, expanded infrastructure, increased consulting, legal and accounting services, costs associated with complying with Nasdaq and SEC requirements and increased investor relations costs.</w:t>
      </w:r>
    </w:p>
    <w:p>
      <w:pPr>
        <w:pStyle w:val="TextBody"/>
        <w:bidi w:val="0"/>
        <w:spacing w:before="240" w:after="283"/>
        <w:jc w:val="left"/>
        <w:rPr>
          <w:rFonts w:ascii="Arial" w:hAnsi="Arial"/>
          <w:sz w:val="20"/>
        </w:rPr>
      </w:pPr>
      <w:r>
        <w:rPr>
          <w:rFonts w:ascii="Arial" w:hAnsi="Arial"/>
          <w:i/>
          <w:color w:val="000000"/>
          <w:sz w:val="20"/>
        </w:rPr>
        <w:t>Interest Income and Other, Net</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Interest income and other, net, consists primarily of interest income earned on our cash and investments.</w:t>
      </w:r>
    </w:p>
    <w:p>
      <w:pPr>
        <w:pStyle w:val="TextBody"/>
        <w:bidi w:val="0"/>
        <w:spacing w:before="240" w:after="283"/>
        <w:jc w:val="left"/>
        <w:rPr>
          <w:rFonts w:ascii="Arial" w:hAnsi="Arial"/>
          <w:i/>
          <w:color w:val="000000"/>
          <w:sz w:val="20"/>
        </w:rPr>
      </w:pPr>
      <w:r>
        <w:rPr>
          <w:rFonts w:ascii="Arial" w:hAnsi="Arial"/>
          <w:i/>
          <w:color w:val="000000"/>
          <w:sz w:val="20"/>
        </w:rPr>
        <w:t>Income Taxes</w:t>
      </w:r>
    </w:p>
    <w:p>
      <w:pPr>
        <w:pStyle w:val="TextBody"/>
        <w:bidi w:val="0"/>
        <w:spacing w:before="120" w:after="283"/>
        <w:jc w:val="left"/>
        <w:rPr>
          <w:rFonts w:ascii="Arial" w:hAnsi="Arial"/>
          <w:color w:val="000000"/>
          <w:sz w:val="20"/>
        </w:rPr>
      </w:pPr>
      <w:r>
        <w:rPr>
          <w:rFonts w:ascii="Arial" w:hAnsi="Arial"/>
          <w:color w:val="000000"/>
          <w:sz w:val="20"/>
        </w:rPr>
        <w:t>Income taxes consists primarily of federal and state current income taxes.</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color w:val="000000"/>
          <w:sz w:val="20"/>
        </w:rPr>
        <w:t>Results of Operations</w:t>
      </w:r>
      <w:r>
        <w:rPr>
          <w:rFonts w:ascii="Arial" w:hAnsi="Arial"/>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Comparison of the Three Months Ended March 31, 2026 and 2025</w:t>
      </w:r>
    </w:p>
    <w:p>
      <w:pPr>
        <w:pStyle w:val="TextBody"/>
        <w:bidi w:val="0"/>
        <w:spacing w:before="120" w:after="283"/>
        <w:jc w:val="left"/>
        <w:rPr>
          <w:rFonts w:ascii="Arial" w:hAnsi="Arial"/>
          <w:color w:val="000000"/>
          <w:sz w:val="20"/>
        </w:rPr>
      </w:pPr>
      <w:r>
        <w:rPr>
          <w:rFonts w:ascii="Arial" w:hAnsi="Arial"/>
          <w:color w:val="000000"/>
          <w:sz w:val="20"/>
        </w:rPr>
        <w:t xml:space="preserve">The following table summarizes our results of operations for the periods indicated: </w:t>
      </w:r>
    </w:p>
    <w:tbl>
      <w:tblPr>
        <w:tblW w:w="7158" w:type="dxa"/>
        <w:jc w:val="left"/>
        <w:tblInd w:w="0" w:type="dxa"/>
        <w:tblLayout w:type="fixed"/>
        <w:tblCellMar>
          <w:top w:w="28" w:type="dxa"/>
          <w:left w:w="28" w:type="dxa"/>
          <w:bottom w:w="28" w:type="dxa"/>
          <w:right w:w="28" w:type="dxa"/>
        </w:tblCellMar>
      </w:tblPr>
      <w:tblGrid>
        <w:gridCol w:w="3011"/>
        <w:gridCol w:w="146"/>
        <w:gridCol w:w="211"/>
        <w:gridCol w:w="751"/>
        <w:gridCol w:w="166"/>
        <w:gridCol w:w="146"/>
        <w:gridCol w:w="211"/>
        <w:gridCol w:w="751"/>
        <w:gridCol w:w="166"/>
        <w:gridCol w:w="146"/>
        <w:gridCol w:w="211"/>
        <w:gridCol w:w="751"/>
        <w:gridCol w:w="4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1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16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62"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9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(45,440</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(34,272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(11,168</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left"/>
        <w:rPr>
          <w:rFonts w:ascii="Arial" w:hAnsi="Arial"/>
          <w:color w:val="000000"/>
          <w:sz w:val="20"/>
        </w:rPr>
      </w:pPr>
      <w:r>
        <w:rPr>
          <w:rFonts w:ascii="Arial" w:hAnsi="Arial"/>
          <w:color w:val="000000"/>
          <w:sz w:val="20"/>
        </w:rPr>
        <w:t xml:space="preserve">Research and development expenses increased by $11.6 million from $29.6 million for the three months ended March 31, 2025 to $41.1 million for the three months ended March 31, 2026. The net increase was primarily driven by an increase in external spend for our HCV Phase 3 clinical development and HEV preclinical development activities. The increase was partially offset by lower internal research and development expenses primarily related to lower salaries and wages and lower stock-based compensation expense in the three months ended March 31, 2026. </w:t>
      </w:r>
    </w:p>
    <w:p>
      <w:pPr>
        <w:pStyle w:val="TextBody"/>
        <w:bidi w:val="0"/>
        <w:spacing w:before="240" w:after="283"/>
        <w:jc w:val="left"/>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left"/>
        <w:rPr>
          <w:rFonts w:ascii="Arial" w:hAnsi="Arial"/>
          <w:color w:val="000000"/>
          <w:sz w:val="20"/>
        </w:rPr>
      </w:pPr>
      <w:r>
        <w:rPr>
          <w:rFonts w:ascii="Arial" w:hAnsi="Arial"/>
          <w:color w:val="000000"/>
          <w:sz w:val="20"/>
        </w:rPr>
        <w:t>General and administrative expenses decreased by $2.6 million from $9.5 million for the three months ended March 31, 2025 to $6.9 million for the three months ended March 31, 2026. The net decrease was primarily related to lower salaries and wages, lower stock-based compensation expense and lower professional fees.</w:t>
      </w:r>
    </w:p>
    <w:p>
      <w:pPr>
        <w:pStyle w:val="TextBody"/>
        <w:bidi w:val="0"/>
        <w:spacing w:before="240" w:after="283"/>
        <w:jc w:val="left"/>
        <w:rPr>
          <w:rFonts w:ascii="Arial" w:hAnsi="Arial"/>
          <w:i/>
          <w:color w:val="000000"/>
          <w:sz w:val="20"/>
        </w:rPr>
      </w:pPr>
      <w:r>
        <w:rPr>
          <w:rFonts w:ascii="Arial" w:hAnsi="Arial"/>
          <w:i/>
          <w:color w:val="000000"/>
          <w:sz w:val="20"/>
        </w:rPr>
        <w:t>Interest Income and Other, Net</w:t>
      </w:r>
    </w:p>
    <w:p>
      <w:pPr>
        <w:pStyle w:val="TextBody"/>
        <w:bidi w:val="0"/>
        <w:spacing w:before="120" w:after="283"/>
        <w:jc w:val="left"/>
        <w:rPr>
          <w:rFonts w:ascii="Arial" w:hAnsi="Arial"/>
          <w:color w:val="000000"/>
          <w:sz w:val="20"/>
        </w:rPr>
      </w:pPr>
      <w:r>
        <w:rPr>
          <w:rFonts w:ascii="Arial" w:hAnsi="Arial"/>
          <w:color w:val="000000"/>
          <w:sz w:val="20"/>
        </w:rPr>
        <w:t>Interest income and other, net, decreased by $2.4 million for the three months ended March 31, 2026 compared to the three months ended March 31, 2025, primarily due to lower investment balances.</w:t>
      </w:r>
    </w:p>
    <w:p>
      <w:pPr>
        <w:pStyle w:val="TextBody"/>
        <w:bidi w:val="0"/>
        <w:spacing w:before="240" w:after="283"/>
        <w:jc w:val="left"/>
        <w:rPr>
          <w:rFonts w:ascii="Arial" w:hAnsi="Arial"/>
          <w:i/>
          <w:color w:val="000000"/>
          <w:sz w:val="20"/>
        </w:rPr>
      </w:pPr>
      <w:r>
        <w:rPr>
          <w:rFonts w:ascii="Arial" w:hAnsi="Arial"/>
          <w:i/>
          <w:color w:val="000000"/>
          <w:sz w:val="20"/>
        </w:rPr>
        <w:t>Income Taxes</w:t>
      </w:r>
    </w:p>
    <w:p>
      <w:pPr>
        <w:pStyle w:val="TextBody"/>
        <w:bidi w:val="0"/>
        <w:spacing w:before="120" w:after="283"/>
        <w:jc w:val="left"/>
        <w:rPr>
          <w:rFonts w:ascii="Arial" w:hAnsi="Arial"/>
          <w:color w:val="000000"/>
          <w:sz w:val="20"/>
        </w:rPr>
      </w:pPr>
      <w:r>
        <w:rPr>
          <w:rFonts w:ascii="Arial" w:hAnsi="Arial"/>
          <w:color w:val="000000"/>
          <w:sz w:val="20"/>
        </w:rPr>
        <w:t>Income tax expense was $0.1 and $0.2 million for the three months ended March 31, 2026 and 2025, respectively.</w:t>
      </w:r>
    </w:p>
    <w:p>
      <w:pPr>
        <w:pStyle w:val="TextBody"/>
        <w:bidi w:val="0"/>
        <w:spacing w:before="240" w:after="283"/>
        <w:jc w:val="left"/>
        <w:rPr>
          <w:rFonts w:ascii="Arial" w:hAnsi="Arial"/>
          <w:sz w:val="20"/>
        </w:rPr>
      </w:pPr>
      <w:r>
        <w:rPr>
          <w:rFonts w:ascii="Arial" w:hAnsi="Arial"/>
          <w:b/>
          <w:color w:val="000000"/>
          <w:sz w:val="20"/>
        </w:rPr>
        <w:t>Liquidity and Capital Resources</w:t>
      </w:r>
      <w:r>
        <w:rPr>
          <w:rFonts w:ascii="Arial" w:hAnsi="Arial"/>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Sources of Liquidity</w:t>
      </w:r>
    </w:p>
    <w:p>
      <w:pPr>
        <w:pStyle w:val="TextBody"/>
        <w:bidi w:val="0"/>
        <w:spacing w:before="120" w:after="283"/>
        <w:jc w:val="left"/>
        <w:rPr>
          <w:rFonts w:ascii="Arial" w:hAnsi="Arial"/>
          <w:color w:val="000000"/>
          <w:sz w:val="20"/>
        </w:rPr>
      </w:pPr>
      <w:r>
        <w:rPr>
          <w:rFonts w:ascii="Arial" w:hAnsi="Arial"/>
          <w:color w:val="000000"/>
          <w:sz w:val="20"/>
        </w:rPr>
        <w:t>As of March 31, 2026, we had cash, cash equivalents and marketable securities of $256.0 million. We believe that our available cash and investments will be sufficient to fund our planned operations through 2027 including the completion of the Phase 3 program evaluating the regimen of bemnifosbuvir and ruzasvir for the treatment of HCV. We have based this estimate on assumptions that may prove to be wrong and we could exhaust our available capital resources sooner than we expect.</w:t>
      </w:r>
    </w:p>
    <w:p>
      <w:pPr>
        <w:pStyle w:val="TextBody"/>
        <w:bidi w:val="0"/>
        <w:spacing w:before="120" w:after="283"/>
        <w:jc w:val="left"/>
        <w:rPr>
          <w:rFonts w:ascii="Arial" w:hAnsi="Arial"/>
          <w:color w:val="000000"/>
          <w:sz w:val="20"/>
        </w:rPr>
      </w:pPr>
      <w:r>
        <w:rPr>
          <w:rFonts w:ascii="Arial" w:hAnsi="Arial"/>
          <w:color w:val="000000"/>
          <w:sz w:val="20"/>
        </w:rPr>
        <w:t xml:space="preserve">We are party to an amended and restated open market sales agreement ("Sales Agreement") with Jefferies LLC ("Jefferies"), pursuant to which we may from time to time offer and sell shares of our Common Stock for an aggregate offering price of up to $200.0 million, through or to Jefferies, acting as sales agent or principal. We have agreed to pay Jefferies a commission of up to 3.0% of the aggregate gross proceeds from each sale of shares, reimburse legal fees and disbursements and provide Jefferies with customary indemnification and contribution rights. As of March 31, 2026, no shares have been issued under the Sales Agreement. The shares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will be offered and sold under the Company's shelf registration statement on Form S-3 declared effective by the SEC on November 19, 2024.</w:t>
      </w:r>
    </w:p>
    <w:p>
      <w:pPr>
        <w:pStyle w:val="TextBody"/>
        <w:bidi w:val="0"/>
        <w:spacing w:before="240" w:after="283"/>
        <w:jc w:val="left"/>
        <w:rPr>
          <w:rFonts w:ascii="Arial" w:hAnsi="Arial"/>
          <w:sz w:val="20"/>
        </w:rPr>
      </w:pPr>
      <w:r>
        <w:rPr>
          <w:rFonts w:ascii="Arial" w:hAnsi="Arial"/>
          <w:b/>
          <w:i/>
          <w:color w:val="000000"/>
          <w:sz w:val="20"/>
        </w:rPr>
        <w:t>Future Funding Requirements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To date, we have not generated any product revenue. We do not expect to generate any product revenue unless and until we obtain regulatory approval of and commercialize any of our product candidates and we do not know when, or if, this will occur. We expect to continue to incur significant expenditures for the foreseeable future as we continue the development of, and seek regulatory approvals for, our product candidates, and prepare for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general and administrative costs, including selling costs, as we continue to operate as a public company and potentially expand our organization to support and otherwise initiate additional activities in preparation for potential commercialization of the regimen of bemnifosbuvir and ruzasvir. </w:t>
      </w:r>
    </w:p>
    <w:p>
      <w:pPr>
        <w:pStyle w:val="TextBody"/>
        <w:bidi w:val="0"/>
        <w:spacing w:before="120" w:after="283"/>
        <w:jc w:val="left"/>
        <w:rPr>
          <w:rFonts w:ascii="Arial" w:hAnsi="Arial"/>
          <w:color w:val="000000"/>
          <w:sz w:val="20"/>
        </w:rPr>
      </w:pPr>
      <w:r>
        <w:rPr>
          <w:rFonts w:ascii="Arial" w:hAnsi="Arial"/>
          <w:color w:val="000000"/>
          <w:sz w:val="20"/>
        </w:rPr>
        <w:t xml:space="preserve">We will continue to invest significant capital to develop our product candidates and fund operations for the foreseeable future. To fund such investment, we may seek to raise capital through public or private equity or debt financings, collaborative arrangements with third parties, or through other sources of financing. We anticipate that we may need to raise substantial additional capital, the requirements for which will depend on many factors, including: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timing, rate of progress and costs of our Phase 3 program evaluating the combination of bemnifosbuvir and ruzasvir for the treatment of HCV and our other drug discovery efforts, preclinical development activities, laboratory testing and clinical trials for other product candidates including AT-587 for the treatment of HEV;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outcome of our search for strategic collaborations to strengthen our capabilities to commercialize the regimen of bemnifosbuvir and ruzasvir,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and scope of additional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timing and outcome of preparing for and undergoing regulatory review of our regimen of bemnifosbuvir and ruzasvir for the treatment of HCV and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and costs of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and timing associated with commercializing regimen of bemnifosbuvir and ruzasvir for the treatment of HCV and any other product candidates, if they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attract, hire and retain qualified personnel, including personnel to support the development of our product candidates and, if approved, the commercialization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maintenance and enhancement of operational, financial and management systems;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associated with being a public company. </w:t>
      </w:r>
    </w:p>
    <w:p>
      <w:pPr>
        <w:pStyle w:val="TextBody"/>
        <w:bidi w:val="0"/>
        <w:spacing w:before="120" w:after="283"/>
        <w:jc w:val="left"/>
        <w:rPr>
          <w:rFonts w:ascii="Arial" w:hAnsi="Arial"/>
          <w:color w:val="000000"/>
          <w:sz w:val="20"/>
        </w:rPr>
      </w:pPr>
      <w:r>
        <w:rPr>
          <w:rFonts w:ascii="Arial" w:hAnsi="Arial"/>
          <w:color w:val="000000"/>
          <w:sz w:val="20"/>
        </w:rPr>
        <w:t>A change in the outcome of any of these or other variables with respect to any of our product candidates could significantly change the costs and timing associated with the development or potential commercialization of one or more of our product candidates.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that we enter into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clinical trials and commercialization activities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 </w:t>
      </w:r>
    </w:p>
    <w:p>
      <w:pPr>
        <w:pStyle w:val="TextBody"/>
        <w:bidi w:val="0"/>
        <w:spacing w:before="120" w:after="283"/>
        <w:jc w:val="left"/>
        <w:rPr>
          <w:rFonts w:ascii="Arial" w:hAnsi="Arial"/>
          <w:color w:val="000000"/>
          <w:sz w:val="20"/>
        </w:rPr>
      </w:pPr>
      <w:r>
        <w:rPr>
          <w:rFonts w:ascii="Arial" w:hAnsi="Arial"/>
          <w:color w:val="000000"/>
          <w:sz w:val="20"/>
        </w:rPr>
        <w:t>Market volatility, inflation, interest rate fluctuations and other macroeconomic trends and geopolitical events, including civil or political unrest and terrorism, may have a significant impact on the availability of funding sources and the terms on which any funding may be available.</w:t>
      </w:r>
    </w:p>
    <w:p>
      <w:pPr>
        <w:pStyle w:val="TextBody"/>
        <w:bidi w:val="0"/>
        <w:spacing w:before="120" w:after="283"/>
        <w:jc w:val="left"/>
        <w:rPr>
          <w:rFonts w:ascii="Arial" w:hAnsi="Arial"/>
          <w:sz w:val="20"/>
        </w:rPr>
      </w:pPr>
      <w:r>
        <w:rPr>
          <w:rFonts w:ascii="Arial" w:hAnsi="Arial"/>
          <w:color w:val="000000"/>
          <w:sz w:val="20"/>
        </w:rPr>
        <w:t xml:space="preserve">See </w:t>
      </w:r>
      <w:r>
        <w:rPr>
          <w:rFonts w:ascii="Arial" w:hAnsi="Arial"/>
          <w:i/>
          <w:color w:val="000000"/>
          <w:sz w:val="20"/>
        </w:rPr>
        <w:t>Part II, Item 1A,“Risk Factors”</w:t>
      </w:r>
      <w:r>
        <w:rPr>
          <w:rFonts w:ascii="Arial" w:hAnsi="Arial"/>
          <w:color w:val="000000"/>
          <w:sz w:val="20"/>
        </w:rPr>
        <w:t xml:space="preserve"> for additional risks associated with our substantial capital requirements. </w:t>
      </w:r>
    </w:p>
    <w:p>
      <w:pPr>
        <w:pStyle w:val="TextBody"/>
        <w:bidi w:val="0"/>
        <w:spacing w:before="240" w:after="283"/>
        <w:jc w:val="left"/>
        <w:rPr>
          <w:rFonts w:ascii="Arial" w:hAnsi="Arial"/>
          <w:sz w:val="20"/>
        </w:rPr>
      </w:pPr>
      <w:r>
        <w:rPr>
          <w:rFonts w:ascii="Arial" w:hAnsi="Arial"/>
          <w:b/>
          <w:i/>
          <w:color w:val="000000"/>
          <w:sz w:val="20"/>
        </w:rPr>
        <w:t>Summary Statements of Cash Flows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following table sets forth the primary sources and uses of cash and cash equivalents for each of the periods presented below: </w:t>
      </w:r>
    </w:p>
    <w:tbl>
      <w:tblPr>
        <w:tblW w:w="7659" w:type="dxa"/>
        <w:jc w:val="left"/>
        <w:tblInd w:w="0" w:type="dxa"/>
        <w:tblLayout w:type="fixed"/>
        <w:tblCellMar>
          <w:top w:w="28" w:type="dxa"/>
          <w:left w:w="28" w:type="dxa"/>
          <w:bottom w:w="28" w:type="dxa"/>
          <w:right w:w="28" w:type="dxa"/>
        </w:tblCellMar>
      </w:tblPr>
      <w:tblGrid>
        <w:gridCol w:w="4786"/>
        <w:gridCol w:w="146"/>
        <w:gridCol w:w="211"/>
        <w:gridCol w:w="751"/>
        <w:gridCol w:w="166"/>
        <w:gridCol w:w="146"/>
        <w:gridCol w:w="211"/>
        <w:gridCol w:w="751"/>
        <w:gridCol w:w="4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8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6" w:type="dxa"/>
            <w:gridSpan w:val="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Three Months Ended</w:t>
              <w:br/>
              <w:t>March 31,</w:t>
            </w:r>
          </w:p>
        </w:tc>
        <w:tc>
          <w:tcPr>
            <w:tcW w:w="491"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4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(30,563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85,608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and cash equivalents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(16,396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54,698</w:t>
            </w:r>
          </w:p>
        </w:tc>
        <w:tc>
          <w:tcPr>
            <w:tcW w:w="4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Cash Flows from Operating Activities</w:t>
      </w:r>
    </w:p>
    <w:p>
      <w:pPr>
        <w:pStyle w:val="TextBody"/>
        <w:bidi w:val="0"/>
        <w:spacing w:before="120" w:after="283"/>
        <w:jc w:val="left"/>
        <w:rPr>
          <w:rFonts w:ascii="Arial" w:hAnsi="Arial"/>
          <w:color w:val="000000"/>
          <w:sz w:val="20"/>
        </w:rPr>
      </w:pPr>
      <w:r>
        <w:rPr>
          <w:rFonts w:ascii="Arial" w:hAnsi="Arial"/>
          <w:color w:val="000000"/>
          <w:sz w:val="20"/>
        </w:rPr>
        <w:t xml:space="preserve">Net cash used in operating activities for the three months ended March 31, 2026 was $46.4 million. Cash used in operating activities was primarily due to a net loss of $45.4 million, accretion of premium and discounts on marketable securities of $0.6 million, a decrease in accounts payable and accrued expenses and other liabilities of $6.2 million, partially offset by stock-based compensation expense of $3.7 million and a decrease in prepaid expenses and other assets of $2.0 million. </w:t>
      </w:r>
    </w:p>
    <w:p>
      <w:pPr>
        <w:pStyle w:val="TextBody"/>
        <w:bidi w:val="0"/>
        <w:spacing w:before="120" w:after="283"/>
        <w:jc w:val="left"/>
        <w:rPr>
          <w:rFonts w:ascii="Arial" w:hAnsi="Arial"/>
          <w:color w:val="000000"/>
          <w:sz w:val="20"/>
        </w:rPr>
      </w:pPr>
      <w:r>
        <w:rPr>
          <w:rFonts w:ascii="Arial" w:hAnsi="Arial"/>
          <w:color w:val="000000"/>
          <w:sz w:val="20"/>
        </w:rPr>
        <w:t>Net cash used in operating activities for the three months ended March 31, 2025 was $30.6 million. Cash used in operating activities was primarily due to a net loss of $34.3 million, accretion of premium and discounts on marketable securities of $1.7 million, and an increase in other assets of $4.2 million, partially offset by stock-based compensation expense of $7.0 million and an increase in accounts payable and accrued expenses of $3.3 million.</w:t>
      </w:r>
    </w:p>
    <w:p>
      <w:pPr>
        <w:pStyle w:val="TextBody"/>
        <w:bidi w:val="0"/>
        <w:spacing w:before="240" w:after="283"/>
        <w:jc w:val="left"/>
        <w:rPr>
          <w:rFonts w:ascii="Arial" w:hAnsi="Arial"/>
          <w:i/>
          <w:color w:val="000000"/>
          <w:sz w:val="20"/>
        </w:rPr>
      </w:pPr>
      <w:r>
        <w:rPr>
          <w:rFonts w:ascii="Arial" w:hAnsi="Arial"/>
          <w:i/>
          <w:color w:val="000000"/>
          <w:sz w:val="20"/>
        </w:rPr>
        <w:t>Cash Flows from Investing Activities</w:t>
      </w:r>
    </w:p>
    <w:p>
      <w:pPr>
        <w:pStyle w:val="TextBody"/>
        <w:bidi w:val="0"/>
        <w:spacing w:before="120" w:after="283"/>
        <w:jc w:val="left"/>
        <w:rPr>
          <w:rFonts w:ascii="Arial" w:hAnsi="Arial"/>
          <w:color w:val="000000"/>
          <w:sz w:val="20"/>
        </w:rPr>
      </w:pPr>
      <w:r>
        <w:rPr>
          <w:rFonts w:ascii="Arial" w:hAnsi="Arial"/>
          <w:color w:val="000000"/>
          <w:sz w:val="20"/>
        </w:rPr>
        <w:t xml:space="preserve">Net cash provided by investing activities for the three months ended March 31, 2026 was $29.7 million and consisted of sales and maturities of marketable securities of $104.3 million partially offset by purchases of marketable securities of $74.5 million. </w:t>
      </w:r>
    </w:p>
    <w:p>
      <w:pPr>
        <w:pStyle w:val="TextBody"/>
        <w:bidi w:val="0"/>
        <w:spacing w:before="120" w:after="283"/>
        <w:jc w:val="left"/>
        <w:rPr>
          <w:rFonts w:ascii="Arial" w:hAnsi="Arial"/>
          <w:color w:val="000000"/>
          <w:sz w:val="20"/>
        </w:rPr>
      </w:pPr>
      <w:r>
        <w:rPr>
          <w:rFonts w:ascii="Arial" w:hAnsi="Arial"/>
          <w:color w:val="000000"/>
          <w:sz w:val="20"/>
        </w:rPr>
        <w:t xml:space="preserve">Net cash provided by investing activities for the three months ended March 31, 2025 was $85.6 million and consisted of sales and maturities of marketable securities of $208.2 million partially offset by purchases of marketable securities of $122.6 million. </w:t>
      </w:r>
    </w:p>
    <w:p>
      <w:pPr>
        <w:pStyle w:val="TextBody"/>
        <w:bidi w:val="0"/>
        <w:spacing w:before="240" w:after="283"/>
        <w:jc w:val="left"/>
        <w:rPr>
          <w:rFonts w:ascii="Arial" w:hAnsi="Arial"/>
          <w:i/>
          <w:color w:val="000000"/>
          <w:sz w:val="20"/>
        </w:rPr>
      </w:pPr>
      <w:r>
        <w:rPr>
          <w:rFonts w:ascii="Arial" w:hAnsi="Arial"/>
          <w:i/>
          <w:color w:val="000000"/>
          <w:sz w:val="20"/>
        </w:rPr>
        <w:t>Cash Flows from Financing Activities</w:t>
      </w:r>
    </w:p>
    <w:p>
      <w:pPr>
        <w:pStyle w:val="TextBody"/>
        <w:bidi w:val="0"/>
        <w:spacing w:before="120" w:after="283"/>
        <w:jc w:val="left"/>
        <w:rPr>
          <w:rFonts w:ascii="Arial" w:hAnsi="Arial"/>
          <w:color w:val="000000"/>
          <w:sz w:val="20"/>
        </w:rPr>
      </w:pPr>
      <w:r>
        <w:rPr>
          <w:rFonts w:ascii="Arial" w:hAnsi="Arial"/>
          <w:color w:val="000000"/>
          <w:sz w:val="20"/>
        </w:rPr>
        <w:t xml:space="preserve">Net cash provided by financing activities for the three months ended March 31, 2026 was $0.3 million and consisted of $0.9 million in proceeds from the exercise of stock options and $0.1 million in proceeds from the issuance of our Common Stock under our employee stock purchase plan offset by $0.7 million used in connection with the net settlement of vested restricted stock units.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Net cash used in financing activities for the three months ended March 31, 2025 was $0.3 million and consisted of $0.4 million related to the net settlement of vested restricted stock units partially offset by proceeds of $0.1 million from the sale of our Common Stock under our employee stock purchase plan. </w:t>
      </w:r>
    </w:p>
    <w:p>
      <w:pPr>
        <w:pStyle w:val="TextBody"/>
        <w:bidi w:val="0"/>
        <w:spacing w:before="240" w:after="283"/>
        <w:jc w:val="left"/>
        <w:rPr>
          <w:rFonts w:ascii="Arial" w:hAnsi="Arial"/>
          <w:b/>
          <w:color w:val="000000"/>
          <w:sz w:val="20"/>
        </w:rPr>
      </w:pPr>
      <w:r>
        <w:rPr>
          <w:rFonts w:ascii="Arial" w:hAnsi="Arial"/>
          <w:b/>
          <w:color w:val="000000"/>
          <w:sz w:val="20"/>
        </w:rPr>
        <w:t>Contractual Obligations and Commitments</w:t>
      </w:r>
    </w:p>
    <w:p>
      <w:pPr>
        <w:pStyle w:val="TextBody"/>
        <w:bidi w:val="0"/>
        <w:spacing w:before="120" w:after="283"/>
        <w:jc w:val="left"/>
        <w:rPr>
          <w:rFonts w:ascii="Arial" w:hAnsi="Arial"/>
          <w:color w:val="000000"/>
          <w:sz w:val="20"/>
        </w:rPr>
      </w:pPr>
      <w:r>
        <w:rPr>
          <w:rFonts w:ascii="Arial" w:hAnsi="Arial"/>
          <w:color w:val="000000"/>
          <w:sz w:val="20"/>
        </w:rPr>
        <w:t>There have been no material changes to our contractual obligations during the three months ended March 31, 2026 from those previously disclosed in our Annual Report on Form 10-K for the year ended December 31, 2025.</w:t>
      </w:r>
    </w:p>
    <w:p>
      <w:pPr>
        <w:pStyle w:val="TextBody"/>
        <w:bidi w:val="0"/>
        <w:spacing w:before="120" w:after="283"/>
        <w:jc w:val="left"/>
        <w:rPr>
          <w:rFonts w:ascii="Arial" w:hAnsi="Arial"/>
          <w:color w:val="000000"/>
          <w:sz w:val="20"/>
        </w:rPr>
      </w:pPr>
      <w:r>
        <w:rPr>
          <w:rFonts w:ascii="Arial" w:hAnsi="Arial"/>
          <w:color w:val="000000"/>
          <w:sz w:val="20"/>
        </w:rPr>
        <w:t>We enter into contracts in the normal course of business with CROs for preclinical and clinical studies and testing, CMOs for manufacture and supply of our clinical trial materials and other third parties for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principally consist only of payments for services provided and expenses incurred up to the date of cancelation.</w:t>
      </w:r>
    </w:p>
    <w:p>
      <w:pPr>
        <w:pStyle w:val="TextBody"/>
        <w:bidi w:val="0"/>
        <w:spacing w:before="240" w:after="283"/>
        <w:jc w:val="left"/>
        <w:rPr>
          <w:rFonts w:ascii="Arial" w:hAnsi="Arial"/>
          <w:b/>
          <w:color w:val="000000"/>
          <w:sz w:val="20"/>
        </w:rPr>
      </w:pPr>
      <w:r>
        <w:rPr>
          <w:rFonts w:ascii="Arial" w:hAnsi="Arial"/>
          <w:b/>
          <w:color w:val="000000"/>
          <w:sz w:val="20"/>
        </w:rPr>
        <w:t>Critical Accounting Policies and Estimates</w:t>
      </w:r>
    </w:p>
    <w:p>
      <w:pPr>
        <w:pStyle w:val="TextBody"/>
        <w:bidi w:val="0"/>
        <w:spacing w:before="120" w:after="283"/>
        <w:jc w:val="left"/>
        <w:rPr>
          <w:rFonts w:ascii="Arial" w:hAnsi="Arial"/>
          <w:color w:val="000000"/>
          <w:sz w:val="20"/>
        </w:rPr>
      </w:pPr>
      <w:r>
        <w:rPr>
          <w:rFonts w:ascii="Arial" w:hAnsi="Arial"/>
          <w:color w:val="000000"/>
          <w:sz w:val="20"/>
        </w:rPr>
        <w:t>Our financial statements have been prepared in accordance with US generally accepted accounting principles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The effects of material revisions in estimates, if any, will be reflected in the consolidated financial statements prospectively from the date of change in estimates.</w:t>
      </w:r>
    </w:p>
    <w:p>
      <w:pPr>
        <w:pStyle w:val="TextBody"/>
        <w:bidi w:val="0"/>
        <w:spacing w:before="120" w:after="283"/>
        <w:jc w:val="left"/>
        <w:rPr>
          <w:rFonts w:ascii="Arial" w:hAnsi="Arial"/>
          <w:color w:val="000000"/>
          <w:sz w:val="20"/>
        </w:rPr>
      </w:pPr>
      <w:r>
        <w:rPr>
          <w:rFonts w:ascii="Arial" w:hAnsi="Arial"/>
          <w:color w:val="000000"/>
          <w:sz w:val="20"/>
        </w:rPr>
        <w:t>Our critical accounting policies are those policies that require the most significant judgments and estimates in the preparation of the financial statements. Management has determined that our most critical accounting policies are those relating to revenue recognition, accrued research and development expenses and stock-based compensation.</w:t>
      </w:r>
    </w:p>
    <w:p>
      <w:pPr>
        <w:pStyle w:val="TextBody"/>
        <w:bidi w:val="0"/>
        <w:spacing w:before="240" w:after="283"/>
        <w:jc w:val="left"/>
        <w:rPr>
          <w:rFonts w:ascii="Arial" w:hAnsi="Arial"/>
          <w:b/>
          <w:color w:val="000000"/>
          <w:sz w:val="20"/>
        </w:rPr>
      </w:pPr>
      <w:r>
        <w:rPr>
          <w:rFonts w:ascii="Arial" w:hAnsi="Arial"/>
          <w:b/>
          <w:color w:val="000000"/>
          <w:sz w:val="20"/>
        </w:rPr>
        <w:t>Indemnification Agreements</w:t>
      </w:r>
    </w:p>
    <w:p>
      <w:pPr>
        <w:pStyle w:val="TextBody"/>
        <w:bidi w:val="0"/>
        <w:spacing w:before="120" w:after="283"/>
        <w:jc w:val="left"/>
        <w:rPr>
          <w:rFonts w:ascii="Arial" w:hAnsi="Arial"/>
          <w:color w:val="000000"/>
          <w:sz w:val="20"/>
        </w:rPr>
      </w:pPr>
      <w:r>
        <w:rPr>
          <w:rFonts w:ascii="Arial" w:hAnsi="Arial"/>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pStyle w:val="TextBody"/>
        <w:bidi w:val="0"/>
        <w:spacing w:before="120" w:after="283"/>
        <w:jc w:val="left"/>
        <w:rPr>
          <w:rFonts w:ascii="Arial" w:hAnsi="Arial"/>
          <w:color w:val="000000"/>
          <w:sz w:val="20"/>
        </w:rPr>
      </w:pPr>
      <w:r>
        <w:rPr>
          <w:rFonts w:ascii="Arial" w:hAnsi="Arial"/>
          <w:color w:val="000000"/>
          <w:sz w:val="20"/>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is intended to reduce our exposure and enable us to recover a portion of any future amounts paid. We believe the estimated fair value of these indemnification agreements in excess of applicable insurance coverage is minimal.</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bookmarkStart w:id="14" w:name="item_3_quantitative_qualitative_disclosu"/>
      <w:bookmarkEnd w:id="14"/>
      <w:r>
        <w:rPr>
          <w:rFonts w:ascii="Arial" w:hAnsi="Arial"/>
          <w:b/>
          <w:color w:val="000000"/>
          <w:sz w:val="20"/>
        </w:rPr>
        <w:t>Item 3. Quantitative and Qualitative Disclosures About Market Risk.</w:t>
      </w:r>
    </w:p>
    <w:p>
      <w:pPr>
        <w:pStyle w:val="TextBody"/>
        <w:bidi w:val="0"/>
        <w:spacing w:before="240" w:after="283"/>
        <w:jc w:val="left"/>
        <w:rPr>
          <w:rFonts w:ascii="Arial" w:hAnsi="Arial"/>
          <w:b/>
          <w:i/>
          <w:color w:val="000000"/>
          <w:sz w:val="20"/>
        </w:rPr>
      </w:pPr>
      <w:r>
        <w:rPr>
          <w:rFonts w:ascii="Arial" w:hAnsi="Arial"/>
          <w:b/>
          <w:i/>
          <w:color w:val="000000"/>
          <w:sz w:val="20"/>
        </w:rPr>
        <w:t>Interest Rate Sensitivity</w:t>
      </w:r>
    </w:p>
    <w:p>
      <w:pPr>
        <w:pStyle w:val="TextBody"/>
        <w:bidi w:val="0"/>
        <w:spacing w:before="120" w:after="283"/>
        <w:jc w:val="left"/>
        <w:rPr>
          <w:rFonts w:ascii="Arial" w:hAnsi="Arial"/>
          <w:color w:val="000000"/>
          <w:sz w:val="20"/>
        </w:rPr>
      </w:pPr>
      <w:r>
        <w:rPr>
          <w:rFonts w:ascii="Arial" w:hAnsi="Arial"/>
          <w:color w:val="000000"/>
          <w:sz w:val="20"/>
        </w:rPr>
        <w:t>The market risk inherent in our financial instruments and in our financial position represents the potential loss arising from adverse changes in interest rates or exchange rates. As of March 31, 2026, we had cash, cash equivalents and marketable securities of $256.0 million, consisting of interest-bearing money market funds, US Treasury obligations, asset-backed securities, commercial paper and corporate bonds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pStyle w:val="TextBody"/>
        <w:bidi w:val="0"/>
        <w:spacing w:before="120" w:after="283"/>
        <w:jc w:val="left"/>
        <w:rPr>
          <w:rFonts w:ascii="Arial" w:hAnsi="Arial"/>
          <w:color w:val="000000"/>
          <w:sz w:val="20"/>
        </w:rPr>
      </w:pPr>
      <w:r>
        <w:rPr>
          <w:rFonts w:ascii="Arial" w:hAnsi="Arial"/>
          <w:color w:val="000000"/>
          <w:sz w:val="20"/>
        </w:rPr>
        <w:t>We do not believe that inflation, interest rate changes or foreign currency exchange rate fluctuations have had a significant impact on our results of operations for any periods presented herein.</w:t>
      </w:r>
    </w:p>
    <w:p>
      <w:pPr>
        <w:pStyle w:val="TextBody"/>
        <w:bidi w:val="0"/>
        <w:jc w:val="left"/>
        <w:rPr/>
      </w:pPr>
      <w:r>
        <w:rPr/>
        <w:t> </w:t>
      </w:r>
    </w:p>
    <w:p>
      <w:pPr>
        <w:pStyle w:val="TextBody"/>
        <w:bidi w:val="0"/>
        <w:spacing w:before="240" w:after="283"/>
        <w:jc w:val="left"/>
        <w:rPr>
          <w:rFonts w:ascii="Arial" w:hAnsi="Arial"/>
          <w:b/>
          <w:color w:val="000000"/>
          <w:sz w:val="20"/>
        </w:rPr>
      </w:pPr>
      <w:bookmarkStart w:id="15" w:name="item_4_controls_procedures"/>
      <w:bookmarkEnd w:id="15"/>
      <w:r>
        <w:rPr>
          <w:rFonts w:ascii="Arial" w:hAnsi="Arial"/>
          <w:b/>
          <w:color w:val="000000"/>
          <w:sz w:val="20"/>
        </w:rPr>
        <w:t>Item 4. Controls and Procedures.</w:t>
      </w:r>
    </w:p>
    <w:p>
      <w:pPr>
        <w:pStyle w:val="TextBody"/>
        <w:bidi w:val="0"/>
        <w:spacing w:before="240" w:after="283"/>
        <w:jc w:val="left"/>
        <w:rPr>
          <w:rFonts w:ascii="Arial" w:hAnsi="Arial"/>
          <w:b/>
          <w:color w:val="000000"/>
          <w:sz w:val="20"/>
        </w:rPr>
      </w:pPr>
      <w:r>
        <w:rPr>
          <w:rFonts w:ascii="Arial" w:hAnsi="Arial"/>
          <w:b/>
          <w:color w:val="000000"/>
          <w:sz w:val="20"/>
        </w:rPr>
        <w:t>Limitations on Effectiveness of Controls and Procedures</w:t>
      </w:r>
    </w:p>
    <w:p>
      <w:pPr>
        <w:pStyle w:val="TextBody"/>
        <w:bidi w:val="0"/>
        <w:spacing w:before="120" w:after="283"/>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principal executive officer and principal financial officer concluded that, as of March 31, 2026, our disclosure controls and procedures were effective at the reasonable assurance level.</w:t>
      </w:r>
    </w:p>
    <w:p>
      <w:pPr>
        <w:pStyle w:val="TextBody"/>
        <w:bidi w:val="0"/>
        <w:spacing w:before="24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0"/>
        </w:rPr>
      </w:pPr>
      <w:bookmarkStart w:id="16" w:name="part_iior_information"/>
      <w:bookmarkEnd w:id="16"/>
      <w:r>
        <w:rPr>
          <w:rFonts w:ascii="Arial" w:hAnsi="Arial"/>
          <w:b/>
          <w:color w:val="000000"/>
          <w:sz w:val="20"/>
        </w:rPr>
        <w:t>PART II—OTHER</w:t>
      </w:r>
      <w:r>
        <w:rPr>
          <w:rFonts w:ascii="Arial" w:hAnsi="Arial"/>
          <w:color w:val="000000"/>
          <w:sz w:val="20"/>
        </w:rPr>
        <w:t xml:space="preserve"> </w:t>
      </w:r>
      <w:r>
        <w:rPr>
          <w:rFonts w:ascii="Arial" w:hAnsi="Arial"/>
          <w:b/>
          <w:color w:val="000000"/>
          <w:sz w:val="20"/>
        </w:rPr>
        <w:t>INFORMATION</w:t>
      </w:r>
    </w:p>
    <w:p>
      <w:pPr>
        <w:pStyle w:val="TextBody"/>
        <w:bidi w:val="0"/>
        <w:spacing w:before="240" w:after="283"/>
        <w:jc w:val="left"/>
        <w:rPr>
          <w:rFonts w:ascii="Arial" w:hAnsi="Arial"/>
          <w:b/>
          <w:color w:val="000000"/>
          <w:sz w:val="20"/>
        </w:rPr>
      </w:pPr>
      <w:bookmarkStart w:id="17" w:name="item_1_legal_proceedings"/>
      <w:bookmarkEnd w:id="17"/>
      <w:r>
        <w:rPr>
          <w:rFonts w:ascii="Arial" w:hAnsi="Arial"/>
          <w:b/>
          <w:color w:val="000000"/>
          <w:sz w:val="20"/>
        </w:rPr>
        <w:t>Item 1. Legal Proceedings.</w:t>
      </w:r>
    </w:p>
    <w:p>
      <w:pPr>
        <w:pStyle w:val="TextBody"/>
        <w:bidi w:val="0"/>
        <w:spacing w:before="120" w:after="283"/>
        <w:jc w:val="left"/>
        <w:rPr>
          <w:rFonts w:ascii="Arial" w:hAnsi="Arial"/>
          <w:color w:val="000000"/>
          <w:sz w:val="20"/>
        </w:rPr>
      </w:pPr>
      <w:r>
        <w:rPr>
          <w:rFonts w:ascii="Arial" w:hAnsi="Arial"/>
          <w:color w:val="000000"/>
          <w:sz w:val="20"/>
        </w:rPr>
        <w:t>We are not subject to any material legal proceedings.</w:t>
      </w:r>
    </w:p>
    <w:p>
      <w:pPr>
        <w:pStyle w:val="TextBody"/>
        <w:bidi w:val="0"/>
        <w:spacing w:before="120" w:after="283"/>
        <w:jc w:val="left"/>
        <w:rPr>
          <w:rFonts w:ascii="Arial" w:hAnsi="Arial"/>
          <w:b/>
          <w:color w:val="000000"/>
          <w:sz w:val="20"/>
        </w:rPr>
      </w:pPr>
      <w:bookmarkStart w:id="18" w:name="item_1a_risk_factors"/>
      <w:bookmarkEnd w:id="18"/>
      <w:r>
        <w:rPr>
          <w:rFonts w:ascii="Arial" w:hAnsi="Arial"/>
          <w:b/>
          <w:color w:val="000000"/>
          <w:sz w:val="20"/>
        </w:rPr>
        <w:t>Item 1A. Risk Factors.</w:t>
      </w:r>
    </w:p>
    <w:p>
      <w:pPr>
        <w:pStyle w:val="TextBody"/>
        <w:bidi w:val="0"/>
        <w:spacing w:before="120" w:after="283"/>
        <w:jc w:val="left"/>
        <w:rPr>
          <w:rFonts w:ascii="Arial" w:hAnsi="Arial"/>
          <w:sz w:val="20"/>
        </w:rPr>
      </w:pPr>
      <w:r>
        <w:rPr>
          <w:rFonts w:ascii="Arial" w:hAnsi="Arial"/>
          <w:i/>
          <w:color w:val="000000"/>
          <w:sz w:val="20"/>
        </w:rPr>
        <w:t>You should carefully consider the risks and uncertainties described below, as well as the other information in this Quarterly Report on Form 10-Q, including our unaudited condensed consolidated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 Our actual results could differ materially and adversely from those anticipated in these forward-looking statements as a result of certain factors, including those set forth below.</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color w:val="000000"/>
          <w:sz w:val="20"/>
        </w:rPr>
        <w:t>Risks Related to Our Financial Condition and Capital Requirements</w:t>
      </w:r>
      <w:r>
        <w:rPr>
          <w:rFonts w:ascii="Arial" w:hAnsi="Arial"/>
          <w:color w:val="000000"/>
          <w:sz w:val="20"/>
        </w:rPr>
        <w:t xml:space="preserve"> </w:t>
      </w:r>
    </w:p>
    <w:p>
      <w:pPr>
        <w:pStyle w:val="TextBody"/>
        <w:bidi w:val="0"/>
        <w:spacing w:before="120" w:after="283"/>
        <w:jc w:val="left"/>
        <w:rPr>
          <w:rFonts w:ascii="Arial" w:hAnsi="Arial"/>
          <w:sz w:val="20"/>
        </w:rPr>
      </w:pPr>
      <w:r>
        <w:rPr>
          <w:rFonts w:ascii="Arial" w:hAnsi="Arial"/>
          <w:b/>
          <w:i/>
          <w:color w:val="000000"/>
          <w:sz w:val="20"/>
        </w:rPr>
        <w:t>We have a limited operating history and no history of successfully developing or commercializing any approved antiviral products, which may make it difficult to evaluate the success of our business to date and to assess the prospects for our future viability.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a late-stage clinical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successfully develop, obtain marketing approval, manufacture a product on a commercial-scale, or conduct sales and marketing activities necessary for successful product commercialization, or have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 </w:t>
      </w:r>
    </w:p>
    <w:p>
      <w:pPr>
        <w:pStyle w:val="TextBody"/>
        <w:bidi w:val="0"/>
        <w:spacing w:before="120" w:after="283"/>
        <w:jc w:val="left"/>
        <w:rPr>
          <w:rFonts w:ascii="Arial" w:hAnsi="Arial"/>
          <w:color w:val="000000"/>
          <w:sz w:val="20"/>
        </w:rPr>
      </w:pPr>
      <w:r>
        <w:rPr>
          <w:rFonts w:ascii="Arial" w:hAnsi="Arial"/>
          <w:color w:val="000000"/>
          <w:sz w:val="20"/>
        </w:rPr>
        <w:t>In addition, we may encounter unforeseen expenses, difficulties, complications, delays and other known and unknown obstacles in developing or commercializing our products. For example in September 2024, we announced that the SUNRISE-3 Phase 3 clinical trial we conducted to evaluate bemnifosbuvir versus placebo for the treatment of COVID-19 did not meet the primary endpoint of a statistically significant reduction in all cause hospitalization or death through Day 29 in the monotherapy cohort of 2,221 high risk patients with mild to moderate COVID-19. This led us to discontinue efforts to develop bemnifosbuvir for the treatment of COVID-19.</w:t>
      </w:r>
    </w:p>
    <w:p>
      <w:pPr>
        <w:pStyle w:val="TextBody"/>
        <w:bidi w:val="0"/>
        <w:spacing w:before="120" w:after="283"/>
        <w:jc w:val="left"/>
        <w:rPr>
          <w:rFonts w:ascii="Arial" w:hAnsi="Arial"/>
          <w:color w:val="000000"/>
          <w:sz w:val="20"/>
        </w:rPr>
      </w:pPr>
      <w:r>
        <w:rPr>
          <w:rFonts w:ascii="Arial" w:hAnsi="Arial"/>
          <w:color w:val="000000"/>
          <w:sz w:val="20"/>
        </w:rPr>
        <w:t xml:space="preserve">If we successfully develop and obtain approval of any product candidate, we will need to transition from a company with a research and development focus to a company capable of executing commercial activities. We may not be successful in this transition. </w:t>
      </w:r>
    </w:p>
    <w:p>
      <w:pPr>
        <w:pStyle w:val="TextBody"/>
        <w:bidi w:val="0"/>
        <w:spacing w:before="120" w:after="283"/>
        <w:jc w:val="left"/>
        <w:rPr>
          <w:rFonts w:ascii="Arial" w:hAnsi="Arial"/>
          <w:color w:val="000000"/>
          <w:sz w:val="20"/>
        </w:rPr>
      </w:pPr>
      <w:r>
        <w:rPr>
          <w:rFonts w:ascii="Arial" w:hAnsi="Arial"/>
          <w:color w:val="000000"/>
          <w:sz w:val="20"/>
        </w:rPr>
        <w:t>As we continue to build our business, including completing Phase 3 clinical trials and preparing and potentially submitting applications seeking marketing approval for our hepatitis C virus (“HCV”) product candidate, we expect our financial condition and operating results may fluctuate significantly from quarter to quarter and year to year due to a variety of factors, many of which are beyond our control. Accordingly, you should not rely upon the results included in this report or reports for any other particular prior quarterly or annual period as indications of future operating performance.</w:t>
      </w:r>
    </w:p>
    <w:p>
      <w:pPr>
        <w:pStyle w:val="TextBody"/>
        <w:bidi w:val="0"/>
        <w:spacing w:before="240" w:after="283"/>
        <w:jc w:val="left"/>
        <w:rPr>
          <w:rFonts w:ascii="Arial" w:hAnsi="Arial"/>
          <w:sz w:val="20"/>
        </w:rPr>
      </w:pPr>
      <w:r>
        <w:rPr>
          <w:rFonts w:ascii="Arial" w:hAnsi="Arial"/>
          <w:b/>
          <w:i/>
          <w:color w:val="000000"/>
          <w:sz w:val="20"/>
        </w:rPr>
        <w:t>We have incurred significant operating expenses since inception and expect to incur significant additional operating expenses for the foreseeable future. We have no products that have generated any commercial revenue. We expect to incur operating losses in 2026 and for the foreseeable future.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have incurred significant operating expenses since our inception. For the three months ended March 31, 2026 and the year ended December 31, 2025, our operating expenses were $48.0 million and $180.9 million, respectively. As of March 31, 2026, we had an accumulated deficit of $568.0 million. </w:t>
      </w:r>
    </w:p>
    <w:p>
      <w:pPr>
        <w:pStyle w:val="TextBody"/>
        <w:bidi w:val="0"/>
        <w:spacing w:before="120" w:after="283"/>
        <w:jc w:val="left"/>
        <w:rPr>
          <w:rFonts w:ascii="Arial" w:hAnsi="Arial"/>
          <w:color w:val="000000"/>
          <w:sz w:val="20"/>
        </w:rPr>
      </w:pPr>
      <w:r>
        <w:rPr>
          <w:rFonts w:ascii="Arial" w:hAnsi="Arial"/>
          <w:color w:val="000000"/>
          <w:sz w:val="20"/>
        </w:rPr>
        <w:t xml:space="preserve">We have not commercialized any products and have never generated any revenue from product sales. We have devoted almost all of our financial resources to research and development, including our clinical trials and preclinical development and manufacturing activities. We expect to continue to incur significant additional operating expenses and to incur operating losses for the foreseeable future as we seek to advance product candidates through clinical development, continue preclinical development, pursue research and development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activities, discover or acquire and develop product candidates, complete preclinical studies and clinical trials, scale up and complete manufacturing and supply chain activities, seek regulatory approval and, if we receive regulatory approval, commercialize our products.</w:t>
      </w:r>
    </w:p>
    <w:p>
      <w:pPr>
        <w:pStyle w:val="TextBody"/>
        <w:bidi w:val="0"/>
        <w:spacing w:before="120" w:after="283"/>
        <w:jc w:val="left"/>
        <w:rPr>
          <w:rFonts w:ascii="Arial" w:hAnsi="Arial"/>
          <w:sz w:val="20"/>
        </w:rPr>
      </w:pPr>
      <w:r>
        <w:rPr>
          <w:rFonts w:ascii="Arial" w:hAnsi="Arial"/>
          <w:color w:val="000000"/>
          <w:sz w:val="20"/>
        </w:rPr>
        <w:t xml:space="preserve">In order to obtain the FDA’s or a foreign regulatory authority’s approval to market any product candidate in the US or abroad, respectively, we must submit to the FDA a New Drug Application (“NDA”) or similar application to the foreign regulatory authority demonstrating to the FDA’s or foreign regulatory authority’s satisfaction that the product candidate is safe and effective for its intended use(s). This demonstration requires significant research and extensive data from </w:t>
      </w:r>
      <w:r>
        <w:rPr>
          <w:rFonts w:ascii="Arial" w:hAnsi="Arial"/>
          <w:i/>
          <w:color w:val="000000"/>
          <w:sz w:val="20"/>
        </w:rPr>
        <w:t>in vitro</w:t>
      </w:r>
      <w:r>
        <w:rPr>
          <w:rFonts w:ascii="Arial" w:hAnsi="Arial"/>
          <w:color w:val="000000"/>
          <w:sz w:val="20"/>
        </w:rPr>
        <w:t xml:space="preserve"> and </w:t>
      </w:r>
      <w:r>
        <w:rPr>
          <w:rFonts w:ascii="Arial" w:hAnsi="Arial"/>
          <w:i/>
          <w:color w:val="000000"/>
          <w:sz w:val="20"/>
        </w:rPr>
        <w:t xml:space="preserve">in vivo </w:t>
      </w:r>
      <w:r>
        <w:rPr>
          <w:rFonts w:ascii="Arial" w:hAnsi="Arial"/>
          <w:color w:val="000000"/>
          <w:sz w:val="20"/>
        </w:rPr>
        <w:t>laboratory experiments and animal tests, which are referred to as nonclinical or preclinical studies, as well as human tests, which are referred to as clinical trials. Additionally, extensive data related to the chemistry and physical characteristics of the product candidate, the intended packaging of the commercial product, the processes to be used for consistently manufacturing the product candidate in commercial quantities in accordance with certified Good Manufacturing Practices (“GMP”) and the results of stability studies to establish shelf life of the product must also be included in the NDA and similar foreign regulatory applications.</w:t>
      </w:r>
    </w:p>
    <w:p>
      <w:pPr>
        <w:pStyle w:val="TextBody"/>
        <w:bidi w:val="0"/>
        <w:spacing w:before="120" w:after="283"/>
        <w:jc w:val="left"/>
        <w:rPr>
          <w:rFonts w:ascii="Arial" w:hAnsi="Arial"/>
          <w:color w:val="000000"/>
          <w:sz w:val="20"/>
        </w:rPr>
      </w:pPr>
      <w:r>
        <w:rPr>
          <w:rFonts w:ascii="Arial" w:hAnsi="Arial"/>
          <w:color w:val="000000"/>
          <w:sz w:val="20"/>
        </w:rPr>
        <w:t>Furthermore, the costs of advancing product candidates into each succeeding clinical development phase tend to increase substantially over time. For example, the costs of our HCV Phase 3 development program are substantially greater than the costs we incurred in our HCV Phase 2 development program. These increased Phase 3 costs are attributable to a number of factors including a significantly increased number of patients enrolled in the Phase 3 program and costs associated with the use of an active comparator in the Phase 3 program which was not a part of the Phase 2 program. Because of the numerous risks and uncertainties associated with the development of our product candidates, we are unable to accurately predict the timing or amount of increased expenses or when, or if, we will be able to begin generating revenue from the commercialization of products or again achieve profitability.</w:t>
      </w:r>
    </w:p>
    <w:p>
      <w:pPr>
        <w:pStyle w:val="TextBody"/>
        <w:bidi w:val="0"/>
        <w:spacing w:before="120" w:after="283"/>
        <w:jc w:val="left"/>
        <w:rPr>
          <w:rFonts w:ascii="Arial" w:hAnsi="Arial"/>
          <w:color w:val="000000"/>
          <w:sz w:val="20"/>
        </w:rPr>
      </w:pPr>
      <w:r>
        <w:rPr>
          <w:rFonts w:ascii="Arial" w:hAnsi="Arial"/>
          <w:color w:val="000000"/>
          <w:sz w:val="20"/>
        </w:rPr>
        <w:t>Further, we expect we will continue to incur substantial operating expenses if or as we: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to discover and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successfully complete clinical trials and seek regulatory approval for the regimen of bemnifosbuvir and ruzasvir for the treatment of HCV, AT-587 for the treatment of hepatitis E virus (“HEV”) or other product candidates,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long-term manufacturing and supply chain capacity, including US domestic manufacturing capacity, sufficient to provide long term commercial quantities of any product candidates for which we may obtain marketing approval,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manufacture product in quantities sufficient to support product launch and commercialization,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 a sales, marketing, internal systems and distribution infrastructure to commercialize any products for which we may obtain regulatory approval, if any, in geographies in which we plan to commercialize our products ourselves or with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hire additional staff, including clinical, scientific, technical, regulatory, operational, financial, commercial and support personnel, to execute our business plan and support our product candidate discovery, development and potential future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more extensively utilize external vendors for support with respect to research, development, manufacturing, commercialization, regulatory, pharmacovigilance and other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acquire or in-license commercial products or additional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make milestone, royalty or other payments under the Merck License Agreement with respect to the development and commercialization of ruzasvir in combination with bemnifosbuvir for the treatment of HCV;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make upfront, milestone, royalty or other payments in connection with any future in-license agreements relating to other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incur continuing and increasing legal, accounting and other expenses in operating our business as a public company.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Furthermore, our ability to successfully develop, commercialize and license any products and generate product revenue is subject to substantial additional risks and uncertainties. Our HCV and HEV product candidates and any future product candidates we may discover, license or otherwise acquire, will require regulatory approval in not less than one jurisdiction, the securing of manufacturing supply, capacity, distribution channels and expertise, the use of external vendors, the building of or other access to a commercial organization, substantial investment and significant marketing efforts before we generate any revenue from product sales. Additionally, our HCV and HEV product candidates and any future product candidates require additional preclinical and clinical development. As a result, we expect to continue to use cash for operating activities and incur operating expenses and operating losses for the foreseeable future. The use of cash and incurrence of operating expenses and operating losses has had, and we expect will continue to have, an adverse effect on our working capital. </w:t>
      </w:r>
    </w:p>
    <w:p>
      <w:pPr>
        <w:pStyle w:val="TextBody"/>
        <w:bidi w:val="0"/>
        <w:spacing w:before="120" w:after="283"/>
        <w:jc w:val="left"/>
        <w:rPr>
          <w:rFonts w:ascii="Arial" w:hAnsi="Arial"/>
          <w:color w:val="000000"/>
          <w:sz w:val="20"/>
        </w:rPr>
      </w:pPr>
      <w:r>
        <w:rPr>
          <w:rFonts w:ascii="Arial" w:hAnsi="Arial"/>
          <w:color w:val="000000"/>
          <w:sz w:val="20"/>
        </w:rPr>
        <w:t xml:space="preserve">The amount of future expenses or losses and our ability to achieve or maintain profitability in future years, if ever, are uncertain. We have no products that have generated any commercial revenue, do not expect to generate revenues from the commercial sale of products in the near term, and might never generate revenues from the sale of products. Our ability to generate product revenue and maintain profitability will depend on, among other things, successful completion of the development of our HCV and HEV product candidates and other product candidates, if any; obtaining necessary regulatory approvals from the FDA and foreign regulatory authorities; establishing manufacturing and sales capabilities; successfully manufacturing commercial scale quantities of products, market acceptance of our products, if approved, and establishing marketing infrastructure or otherwise arranging to commercialize our product candidates for which we obtain approval; and raising sufficient funds to finance our activities. We might not succeed at any of these undertakings. If we are unsuccessful at some or all of these undertakings in the future, our business, prospects, and results of operations may be materially adversely affected. </w:t>
      </w:r>
    </w:p>
    <w:p>
      <w:pPr>
        <w:pStyle w:val="TextBody"/>
        <w:bidi w:val="0"/>
        <w:spacing w:before="240" w:after="283"/>
        <w:jc w:val="left"/>
        <w:rPr>
          <w:rFonts w:ascii="Arial" w:hAnsi="Arial"/>
          <w:b/>
          <w:i/>
          <w:color w:val="000000"/>
          <w:sz w:val="20"/>
        </w:rPr>
      </w:pPr>
      <w:r>
        <w:rPr>
          <w:rFonts w:ascii="Arial" w:hAnsi="Arial"/>
          <w:b/>
          <w:i/>
          <w:color w:val="000000"/>
          <w:sz w:val="20"/>
        </w:rPr>
        <w:t>We may require substantial additional financing, which may not be available on acceptable terms, or at all. A failure to obtain this necessary capital when needed could force us to delay, limit, reduce or terminate our product development or commercialization efforts.</w:t>
      </w:r>
    </w:p>
    <w:p>
      <w:pPr>
        <w:pStyle w:val="TextBody"/>
        <w:bidi w:val="0"/>
        <w:spacing w:before="120" w:after="283"/>
        <w:jc w:val="left"/>
        <w:rPr>
          <w:rFonts w:ascii="Arial" w:hAnsi="Arial"/>
          <w:color w:val="000000"/>
          <w:sz w:val="20"/>
        </w:rPr>
      </w:pPr>
      <w:r>
        <w:rPr>
          <w:rFonts w:ascii="Arial" w:hAnsi="Arial"/>
          <w:color w:val="000000"/>
          <w:sz w:val="20"/>
        </w:rPr>
        <w:t>Since inception, we have incurred substantial operating expenses. We expect to incur substantial expenses in connection with our current and planned business activities, particularly completing the late stage development of the regimen of bemnifosbuvir and ruzasvir, the manufacture of commercial launch supply, the preparation and submission of an NDA and other similar applications seeking marketing approval for our HCV product candidate. Also, we anticipate that we may incur substantial expenses in connection with the development of AT-587 for the treatment of HEV, and in connection with the discovery, license or other acquisition and potential development of other product candidates, if any. If we successfully develop and receive regulatory approval to market the regimen of bemnifosbuvir and ruzasvir for the treatment of HCV or any other product candidates, we expect we will also incur substantial expenses in connection with the establishment of sales, marketing, internal systems and distribution infrastructure to commercialize such products. Additionally, in 2025, our Board authorized and we completed a share repurchase program expending the total authorized amount of $25.0 million, net of transaction costs and excise taxes, in connection with the repurchase of 7,673,792 shares of our common stock.</w:t>
      </w:r>
    </w:p>
    <w:p>
      <w:pPr>
        <w:pStyle w:val="TextBody"/>
        <w:bidi w:val="0"/>
        <w:spacing w:before="120" w:after="283"/>
        <w:jc w:val="left"/>
        <w:rPr>
          <w:rFonts w:ascii="Arial" w:hAnsi="Arial"/>
          <w:color w:val="000000"/>
          <w:sz w:val="20"/>
        </w:rPr>
      </w:pPr>
      <w:r>
        <w:rPr>
          <w:rFonts w:ascii="Arial" w:hAnsi="Arial"/>
          <w:color w:val="000000"/>
          <w:sz w:val="20"/>
        </w:rPr>
        <w:t xml:space="preserve">If our cash, cash equivalents and marketable securities are not sufficient to fund our future operations, we will need additional capital to fund these activities,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for our product candidates from the FDA, or any foreign regulatory authorities, and could be forced to discontinue product development. In addition, attempting to secure additional financing could divert the time and attention of our management from day-to-day activities and may harm our product candidate development efforts. </w:t>
      </w:r>
    </w:p>
    <w:p>
      <w:pPr>
        <w:pStyle w:val="TextBody"/>
        <w:bidi w:val="0"/>
        <w:spacing w:before="120" w:after="283"/>
        <w:jc w:val="left"/>
        <w:rPr>
          <w:rFonts w:ascii="Arial" w:hAnsi="Arial"/>
          <w:color w:val="000000"/>
          <w:sz w:val="20"/>
        </w:rPr>
      </w:pPr>
      <w:r>
        <w:rPr>
          <w:rFonts w:ascii="Arial" w:hAnsi="Arial"/>
          <w:color w:val="000000"/>
          <w:sz w:val="20"/>
        </w:rPr>
        <w:t xml:space="preserve">The timing and amount of our future capital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progress, results and costs of our preclinical studies and clinical trials, in particular the Phase 3 development of the regimen of bemnifosbuvir and ruzasvir for the treatment of HCV;</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and costs associated with the development of AT-587 for the treatment of HEV and the discovery, license or acquisition of a product candidate for the treatment of other diseases resulting from infection with single stranded RNA viruses;</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and the costs involved in, obtaining marketing approvals for our current and future product candidates in regions where we choose to commercialize any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of future product candidates and potential additional indications that we may pursue and their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stability, scale, yield and cost of manufacturing our product candidates for clinical trials, in preparation for regulatory approval and in preparation for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manufacturing and commercialization activities for any approved product candidate to the extent such costs are not the responsibility of any future collaborators, including the costs and timing of manufacturing commercial supply at a scale to meet demand and the costs and timing of establishing commercialization capabilities for and conducting product sales, marketing, distribution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revenue, if any, received from commercial sales of our product candidates, should any of our product candidates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timing and changes in pharmaceutical pricing and reimbursement infrastructure resulting from, among other things, the enactment of the Inflation Reduction Act (“IRA”) and other legislation, regulations, executive orders and other initiatives and policies that may be subsequently enacted;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compete with other therapies in the indications we target;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to which we in-license or acquire rights to products, product candidates or technologies in addition to ruzasvir;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growth of our headcount and associated costs if and as we establish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preparing, filing and prosecuting patent applications and maintaining and protecting our intellectual property rights, including enforcing and defending intellectual property-related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continued costs of operating as a public company. </w:t>
      </w:r>
    </w:p>
    <w:p>
      <w:pPr>
        <w:pStyle w:val="TextBody"/>
        <w:bidi w:val="0"/>
        <w:spacing w:before="120" w:after="283"/>
        <w:jc w:val="left"/>
        <w:rPr>
          <w:rFonts w:ascii="Arial" w:hAnsi="Arial"/>
          <w:color w:val="000000"/>
          <w:sz w:val="20"/>
        </w:rPr>
      </w:pPr>
      <w:r>
        <w:rPr>
          <w:rFonts w:ascii="Arial" w:hAnsi="Arial"/>
          <w:color w:val="000000"/>
          <w:sz w:val="20"/>
        </w:rPr>
        <w:t>Currently, we do not have any committed external source of funds or other support and we cannot be certain that additional funding will be available on acceptable terms, if needed. Our ability to access potential sources of future liquidity and raise funds will depend upon financial, economic and geopolitical conditions and other factors, many of which are beyond our control. These external factors, including rates of interest and inflation, will also impact and may increase substantially costs we incur in connection with any potential fundraising.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w:t>
      </w:r>
    </w:p>
    <w:p>
      <w:pPr>
        <w:pStyle w:val="TextBody"/>
        <w:bidi w:val="0"/>
        <w:spacing w:before="240" w:after="283"/>
        <w:jc w:val="left"/>
        <w:rPr>
          <w:rFonts w:ascii="Arial" w:hAnsi="Arial"/>
          <w:sz w:val="20"/>
        </w:rPr>
      </w:pPr>
      <w:r>
        <w:rPr>
          <w:rFonts w:ascii="Arial" w:hAnsi="Arial"/>
          <w:b/>
          <w:i/>
          <w:color w:val="000000"/>
          <w:sz w:val="20"/>
        </w:rPr>
        <w:t>We may engage in strategic collaborations or other transactions that could disrupt our business, cause dilution to our stockholders, reduce our financial resources, and subject us to other risks.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the future, we may enter into strategic collaborations or other transactions. While we remain open to consideration of a broad range of strategic alternatives, including strategic partnerships, acquisition, merger, or other business combination, sale of assets or other strategic transactions, we believe that it is most likely that actionable alternatives may be available after we receive the results from the currently ongoing HCV Phase 3 clinical program. There is no assurance we will conclude any specific transaction or outcome. If we do identify suitable collaboration candidates or strategic partners, we may not be able to complete such collaborations or other strategic transactions timely or on favorable terms, or at all. Any collaborations or other strategic transactions may not strengthen our competitive position, and these transactions may be viewed negatively by stock research analysts or investors, and we may never realize the anticipated benefits of such transactions. We may decide to issue our common stock or other equity securities to a strategic partner or collaborator which would reduce the percentage ownership of our existing stockholders. In addition, we may not be able to successfully integrate with any collaborator or strategic partner in an effective, timely and non-disruptive manner. Collaborations or other strategic transactions may also divert management attention from day-to-day responsibilities, lead to a loss of key personnel, increase our expenses and reduce our cash and investments available for operations and other uses. We cannot predict the number, timing or size of future collaborations or strategic partnerships or the effect that any such transactions might have on our operating results.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We have not generated any revenue from product sales and may not be able to achieve profitability.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incurred a net loss of $45.4 million for the three months ended March 31, 2026. Our ability to achieve and sustain future profitability depends upon our ability to generate revenue from product sales. We have not generated product revenue and we do not expect to generate product revenue unless or until we successfully complete clinical development and obtain regulatory approval of, and then successfully commercialize, at least one of our product candidates. Our HCV and HEV product candidates and future product candidates, if any, require additional preclinical and clinical development, regulatory review and approval, substantial investment in and access to sufficient commercial manufacturing capacity and significant marketing efforts before we can generate any revenue from product sales. Currently, we do not anticipate generating revenue from product sales for at least the next few years. Our ability to generate revenue depends on a number of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timely completion of our clinical trials, including the Phase 3 clinical trials evaluating the regimen of bemnifosbuvir and ruzasvir for the treatment of HCV, as well as our preclinical studies and other clinical trials, each of which may be significantly slower or more costly than we currently anticipate and will depend substantially upon the performance of third-party 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complete additional investigational drug application (“IND”) enabling studies and successfully submit INDs, clinical trial application (“CTAs”) or comparable applications to allow us to initiate clinical trials for AT-587, our HEV product candidate, and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we are required by the FDA or similar foreign regulatory authorities to conduct additional clinical trials or other studies beyond those planned to support the approval and commercialization of our HCV and HEV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demonstrate to the satisfaction of the FDA or similar foreign regulatory authorities the safety and efficacy of our HCV and HEV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duration and severity of potential side effects or other safety issues experienced with our HCV and HEV product candidates or future product candidates,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timely receipt of necessary marketing approvals from the FDA, European Medicines Agency ("EMA") and other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availability, actual and perceived advantages and relative cost, convenience, safety and efficacy of our HCV and HEV product candidates or other product candidates we may be able to commercialize, compared to other commercially available therapies for the targeted indications, or, in the case of HEV other interventions, as well as the accuracy and sufficiency of clinical evidence supporting any such advantages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willingness of physicians, operators of clinics and patients to conduct or participate in clinical trials evaluating our product candidates and, if successfully developed, to utilize or adopt our HCV and HEV product candidates or any future product candidates, if approved as antiviral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and the ability of third parties with whom we contract to manufacture adequate clinical and commercial supplies of our HCV and HEV product candidates or future product candidates, remain in good standing with regulatory authorities and develop, validate and maintain commercially viable manufacturing processes that are compliant with current good manufacturing practices (“cGMP”) or similar requirements outside the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successfully establish a commercial strategy and thereafter commercialize our HCV and HEV product candidates or any future product candidates, in the US and internationally, if approved for marketing, reimbursement, sale and distribution in such countries and territories,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maintain, protect and enforce intellectual property rights in and to our HCV and HEV product candidates or any future product candidates.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Many of the factors listed above are beyond our control, and could cause us to experience significant delays, incur substantially greater expenses than anticipated or prevent us from obtaining regulatory approvals or commercializing our product candidates. Even if we are able to commercialize our product candidates, we may not be able to achieve and maintain profitability after generating product sales or meet outside expectations for our profitability. If we are unable to achieve or sustain profitability or to meet outside expectations for our profitability, the value of our common stock will be materially adversely affected. In addition, if we are unable to generate sufficient revenue through the sale of any products, we may be unable to continue operations. </w:t>
      </w:r>
    </w:p>
    <w:p>
      <w:pPr>
        <w:pStyle w:val="TextBody"/>
        <w:bidi w:val="0"/>
        <w:spacing w:before="240" w:after="283"/>
        <w:jc w:val="left"/>
        <w:rPr>
          <w:rFonts w:ascii="Arial" w:hAnsi="Arial"/>
          <w:b/>
          <w:i/>
          <w:color w:val="000000"/>
          <w:sz w:val="20"/>
        </w:rPr>
      </w:pPr>
      <w:r>
        <w:rPr>
          <w:rFonts w:ascii="Arial" w:hAnsi="Arial"/>
          <w:b/>
          <w:i/>
          <w:color w:val="000000"/>
          <w:sz w:val="20"/>
        </w:rPr>
        <w:t>We maintain our cash at financial institutions, often in balances that exceed federally insured limits.</w:t>
      </w:r>
    </w:p>
    <w:p>
      <w:pPr>
        <w:pStyle w:val="TextBody"/>
        <w:bidi w:val="0"/>
        <w:spacing w:before="120" w:after="283"/>
        <w:jc w:val="left"/>
        <w:rPr>
          <w:rFonts w:ascii="Arial" w:hAnsi="Arial"/>
          <w:color w:val="000000"/>
          <w:sz w:val="20"/>
        </w:rPr>
      </w:pPr>
      <w:r>
        <w:rPr>
          <w:rFonts w:ascii="Arial" w:hAnsi="Arial"/>
          <w:color w:val="000000"/>
          <w:sz w:val="20"/>
        </w:rPr>
        <w:t>The majority of our cash is held in accounts at US banking institutions. Cash held in depository accounts may exceed the Federal Deposit Insurance Corporation (“FDIC”) standard deposit insurance limit of $250,000. If such banking institutions were to fail, such as Silicon Valley Bank when the FDIC took control in March 2023, we could lose all or a portion of those amounts held in excess of such insured amounts. In the future, our access to our cash in amounts adequate to finance our operations could be significantly impaired if the financial institutions with which we have arrangements encounter liquidity constraints or failures. Any future limitation on timely access to our funds or any material loss that we may experience in the future could have a material adverse effect on our financial condition and could materially impact our ability to pay our operating expenses or make other payments.</w:t>
      </w:r>
    </w:p>
    <w:p>
      <w:pPr>
        <w:pStyle w:val="TextBody"/>
        <w:bidi w:val="0"/>
        <w:spacing w:before="240" w:after="283"/>
        <w:jc w:val="left"/>
        <w:rPr>
          <w:rFonts w:ascii="Arial" w:hAnsi="Arial"/>
          <w:b/>
          <w:i/>
          <w:color w:val="000000"/>
          <w:sz w:val="20"/>
        </w:rPr>
      </w:pPr>
      <w:r>
        <w:rPr>
          <w:rFonts w:ascii="Arial" w:hAnsi="Arial"/>
          <w:b/>
          <w:i/>
          <w:color w:val="000000"/>
          <w:sz w:val="20"/>
        </w:rPr>
        <w:t>Our ability to use our net operating loss carryforwards and other tax attributes to offset taxable income may be subject to certain limitations.</w:t>
      </w:r>
    </w:p>
    <w:p>
      <w:pPr>
        <w:pStyle w:val="TextBody"/>
        <w:bidi w:val="0"/>
        <w:spacing w:before="120" w:after="283"/>
        <w:jc w:val="left"/>
        <w:rPr>
          <w:rFonts w:ascii="Arial" w:hAnsi="Arial"/>
          <w:color w:val="000000"/>
          <w:sz w:val="20"/>
        </w:rPr>
      </w:pPr>
      <w:r>
        <w:rPr>
          <w:rFonts w:ascii="Arial" w:hAnsi="Arial"/>
          <w:color w:val="000000"/>
          <w:sz w:val="20"/>
        </w:rPr>
        <w:t xml:space="preserve">As of December 31, 2025, we had US federal and state net operating loss carryforwards (“NOLs”), of $202.8 million and $219.3 million, respectively. </w:t>
      </w:r>
    </w:p>
    <w:p>
      <w:pPr>
        <w:pStyle w:val="TextBody"/>
        <w:bidi w:val="0"/>
        <w:spacing w:before="120" w:after="283"/>
        <w:jc w:val="left"/>
        <w:rPr>
          <w:rFonts w:ascii="Arial" w:hAnsi="Arial"/>
          <w:color w:val="000000"/>
          <w:sz w:val="20"/>
        </w:rPr>
      </w:pPr>
      <w:r>
        <w:rPr>
          <w:rFonts w:ascii="Arial" w:hAnsi="Arial"/>
          <w:color w:val="000000"/>
          <w:sz w:val="20"/>
        </w:rPr>
        <w:t>In general, under Sections 382 and 383 of the Internal Revenue Code of 1986, as amended (“Code”), a corporation that undergoes an “ownership change,” which is generally defined as a greater than 50% change by value in its equity ownership over a three-year period, is subject to limitations on its ability to utilize its pre-change NOLs and its research and development credit carryforwards to offset future taxable income. Our NOLs and research and development credit carryforwards may be subject to limitations arising from previous ownership changes, and if we undergo an ownership change, our ability to utilize NOLs (to the extent not previously utilized) and research and development credit carryforwards could be further limited by Sections 382 and 383 of the Code.</w:t>
      </w:r>
    </w:p>
    <w:p>
      <w:pPr>
        <w:pStyle w:val="TextBody"/>
        <w:bidi w:val="0"/>
        <w:spacing w:before="120" w:after="283"/>
        <w:jc w:val="left"/>
        <w:rPr>
          <w:rFonts w:ascii="Arial" w:hAnsi="Arial"/>
          <w:color w:val="000000"/>
          <w:sz w:val="20"/>
        </w:rPr>
      </w:pPr>
      <w:r>
        <w:rPr>
          <w:rFonts w:ascii="Arial" w:hAnsi="Arial"/>
          <w:color w:val="000000"/>
          <w:sz w:val="20"/>
        </w:rPr>
        <w:t xml:space="preserve">For the years ended December 31, 2025 and 2024, we have completed a Section 382 study, the results of which indicated that no ownership shift occurred during such respective period. However, this conclusion could be challenged by tax authorities. In addition, future changes in our stock ownership, some of which might be beyond our control, could result in an ownership change under Sections 382 and 383 of the Code. For these reasons, we may not be able to utilize existing NOLs or research and development credit carryforwards or net operating losses and research and development credits that may be generated in the future. </w:t>
      </w:r>
    </w:p>
    <w:p>
      <w:pPr>
        <w:pStyle w:val="TextBody"/>
        <w:bidi w:val="0"/>
        <w:spacing w:before="240" w:after="283"/>
        <w:jc w:val="left"/>
        <w:rPr>
          <w:rFonts w:ascii="Arial" w:hAnsi="Arial"/>
          <w:sz w:val="20"/>
        </w:rPr>
      </w:pPr>
      <w:r>
        <w:rPr>
          <w:rFonts w:ascii="Arial" w:hAnsi="Arial"/>
          <w:b/>
          <w:i/>
          <w:color w:val="000000"/>
          <w:sz w:val="20"/>
        </w:rPr>
        <w:t>We may delay, suspend or terminate the development of a product candidate at any time if we believe the perceived market or commercial opportunity does not justify further investment or for other strategic business, financial or other reasons, which could materially harm our business and adversely affect our stock price.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Even if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For example, in September 2024, after the SUNRISE-3 Phase 3 clinical trial failed to reach its primary endpoint, we discontinued the development of bemnifosbuvir for the treatment of COVID-19. Any similar delays, suspensions or terminations of other clinical programs or product candidates, particularly our HCV product candidate, could materially harm our business, results of operations or financial condition.</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Risks Related to the Discovery, Development, Preclinical and Clinical Testing, Manufacturing and Regulatory Approval of Our Product Candidates</w:t>
      </w:r>
    </w:p>
    <w:p>
      <w:pPr>
        <w:pStyle w:val="TextBody"/>
        <w:bidi w:val="0"/>
        <w:spacing w:before="240" w:after="283"/>
        <w:jc w:val="left"/>
        <w:rPr>
          <w:rFonts w:ascii="Arial" w:hAnsi="Arial"/>
          <w:sz w:val="20"/>
        </w:rPr>
      </w:pPr>
      <w:r>
        <w:rPr>
          <w:rFonts w:ascii="Arial" w:hAnsi="Arial"/>
          <w:b/>
          <w:i/>
          <w:color w:val="000000"/>
          <w:sz w:val="20"/>
        </w:rPr>
        <w:t>Our business is highly dependent on the success of our lead product candidate, the regimen of bemnifosbuvir and ruzasvir for the treatment of HCV, which requires significant additional clinical testing, including successful completion of Phase 3 clinical testing, before we can seek regulatory approval and potentially launch commercial sales. If this product candidate fails in clinical development, does not receive regulatory approval or is not successfully commercialized, or is significantly delayed in doing so, our business will be harmed.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 substantial portion of our business and future success depends on our ability to develop, obtain regulatory approval for and successfully commercialize the regimen of bemnifosbuvir and ruzasvir for the treatment of HCV. We currently have no products that are approved for commercial sale and have not successfully completed the development of any of our product candidates, and we may never be able to develop marketable products. </w:t>
      </w:r>
    </w:p>
    <w:p>
      <w:pPr>
        <w:pStyle w:val="TextBody"/>
        <w:bidi w:val="0"/>
        <w:spacing w:before="120" w:after="283"/>
        <w:jc w:val="left"/>
        <w:rPr>
          <w:rFonts w:ascii="Arial" w:hAnsi="Arial"/>
          <w:color w:val="000000"/>
          <w:sz w:val="20"/>
        </w:rPr>
      </w:pPr>
      <w:r>
        <w:rPr>
          <w:rFonts w:ascii="Arial" w:hAnsi="Arial"/>
          <w:color w:val="000000"/>
          <w:sz w:val="20"/>
        </w:rPr>
        <w:t xml:space="preserve">During the near term, we expect to devote substantial efforts and financial resources to complete the Phase 3 clinical development of the regimen of bemnifosbuvir and ruzasvir for the treatment of HCV, manage clinical, medical affairs and manufacturing activities, including the manufacture of commercial launch supply, seek and obtain regulatory approvals in multiple jurisdictions, secure additional sources of manufacturing supply and capacity, build or otherwise access a commercial organization, and engage in significant pre-launch efforts. </w:t>
      </w:r>
    </w:p>
    <w:p>
      <w:pPr>
        <w:pStyle w:val="TextBody"/>
        <w:bidi w:val="0"/>
        <w:spacing w:before="120" w:after="283"/>
        <w:jc w:val="left"/>
        <w:rPr>
          <w:rFonts w:ascii="Arial" w:hAnsi="Arial"/>
          <w:color w:val="000000"/>
          <w:sz w:val="20"/>
        </w:rPr>
      </w:pPr>
      <w:r>
        <w:rPr>
          <w:rFonts w:ascii="Arial" w:hAnsi="Arial"/>
          <w:color w:val="000000"/>
          <w:sz w:val="20"/>
        </w:rPr>
        <w:t>We cannot be certain that our HCV product candidate, our HEV product candidate or any future product candidates will be successful in clinical trials, receive regulatory approval or be successfully commercialized even if we receive regulatory approval. Further, our development of any product candidate may be delayed or suspended, which may affect our ability to successfully commercialize such product candidate. Additionally, our ability to successfully commercialize a product will also be dependent upon our ability to timely manufacture at commercial scale the quantities of product that will satisfy market demand.</w:t>
      </w:r>
    </w:p>
    <w:p>
      <w:pPr>
        <w:pStyle w:val="TextBody"/>
        <w:bidi w:val="0"/>
        <w:spacing w:before="120" w:after="283"/>
        <w:jc w:val="left"/>
        <w:rPr>
          <w:rFonts w:ascii="Arial" w:hAnsi="Arial"/>
          <w:color w:val="000000"/>
          <w:sz w:val="20"/>
        </w:rPr>
      </w:pPr>
      <w:r>
        <w:rPr>
          <w:rFonts w:ascii="Arial" w:hAnsi="Arial"/>
          <w:color w:val="000000"/>
          <w:sz w:val="20"/>
        </w:rPr>
        <w:t>Even if we receive approval to market our HCV product candidate, our HEV product candidate or any other product candidate, we cannot be certain that such product candidate will be as or more effective than commercially available alternatives, successfully commercialized or widely accepted in the marketplace. There are currently approved and well established oral antiviral HCV products against which we would be required to compete if the regimen of bemnifosbuvir and ruzasvir is approved for the treatment of HCV.</w:t>
      </w:r>
    </w:p>
    <w:p>
      <w:pPr>
        <w:pStyle w:val="TextBody"/>
        <w:bidi w:val="0"/>
        <w:spacing w:before="120" w:after="283"/>
        <w:jc w:val="left"/>
        <w:rPr>
          <w:rFonts w:ascii="Arial" w:hAnsi="Arial"/>
          <w:color w:val="000000"/>
          <w:sz w:val="20"/>
        </w:rPr>
      </w:pPr>
      <w:r>
        <w:rPr>
          <w:rFonts w:ascii="Arial" w:hAnsi="Arial"/>
          <w:color w:val="000000"/>
          <w:sz w:val="20"/>
        </w:rPr>
        <w:t xml:space="preserve">We cannot be certain that, if approved, the safety and efficacy profile of the regimen of bemnifosbuvir and ruzasvir will be consistent with the results observed in clinical trials. If we are not successful in the clinical development of the regimen of bemnifosbuvir and ruzasvir for the treatment of HCV, if the required regulatory approvals for this product candidate are not obtained, if there are significant delays in the development or approval of this product candidate or in supplying commercial quantities of the regimen of bemnifosbuvir and ruzasvir or any other product, if approved, on an uninterrupted basis, or if we are otherwise not commercially successful, our business, financial condition and results of operations may be materially harmed. </w:t>
      </w:r>
    </w:p>
    <w:p>
      <w:pPr>
        <w:pStyle w:val="TextBody"/>
        <w:bidi w:val="0"/>
        <w:spacing w:before="240" w:after="283"/>
        <w:jc w:val="left"/>
        <w:rPr>
          <w:rFonts w:ascii="Arial" w:hAnsi="Arial"/>
          <w:sz w:val="20"/>
        </w:rPr>
      </w:pPr>
      <w:r>
        <w:rPr>
          <w:rFonts w:ascii="Arial" w:hAnsi="Arial"/>
          <w:b/>
          <w:i/>
          <w:color w:val="000000"/>
          <w:sz w:val="20"/>
        </w:rPr>
        <w:t>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not permitted to commercialize, market, promote or sell any product candidate in the US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and the disease or condition for which the product candidate is intended. </w:t>
      </w:r>
    </w:p>
    <w:p>
      <w:pPr>
        <w:pStyle w:val="TextBody"/>
        <w:bidi w:val="0"/>
        <w:spacing w:before="120" w:after="283"/>
        <w:jc w:val="left"/>
        <w:rPr>
          <w:rFonts w:ascii="Arial" w:hAnsi="Arial"/>
          <w:color w:val="000000"/>
          <w:sz w:val="20"/>
        </w:rPr>
      </w:pPr>
      <w:r>
        <w:rPr>
          <w:rFonts w:ascii="Arial" w:hAnsi="Arial"/>
          <w:color w:val="000000"/>
          <w:sz w:val="20"/>
        </w:rPr>
        <w:t xml:space="preserve">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Regulatory authorities have substantial discretion in the approval process and may refuse to accept any application or may decide that our data are insufficient for approval and require additional preclinical, clinical or other studies. Approval by any one regulatory authority does not ensure approval by any other regulatory authority.</w:t>
      </w:r>
    </w:p>
    <w:p>
      <w:pPr>
        <w:pStyle w:val="TextBody"/>
        <w:bidi w:val="0"/>
        <w:spacing w:before="120" w:after="283"/>
        <w:jc w:val="left"/>
        <w:rPr>
          <w:rFonts w:ascii="Arial" w:hAnsi="Arial"/>
          <w:color w:val="000000"/>
          <w:sz w:val="20"/>
        </w:rPr>
      </w:pPr>
      <w:r>
        <w:rPr>
          <w:rFonts w:ascii="Arial" w:hAnsi="Arial"/>
          <w:color w:val="000000"/>
          <w:sz w:val="20"/>
        </w:rPr>
        <w:t>We have not submitted an NDA for, or obtained regulatory approval of, any product candidate. We must complete additional clinical and preclinical studies to demonstrate the safety and efficacy of our product candidates in humans to the satisfaction of the regulatory authorities before we will be able to obtain these approvals, and it is possible that none of our product candidates will ever obtain regulatory approval. Applications for our product candidates could fail to receive regulatory approval for many reasons,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the design, implementation or interpretation of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unable to demonstrate to the FDA or comparable foreign regulatory authorities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data collected from clinical trials of our product candidates may not be sufficient to support the submission of an NDA or other submission or to obtain regulatory approval in the US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120" w:after="283"/>
        <w:jc w:val="left"/>
        <w:rPr>
          <w:rFonts w:ascii="Arial" w:hAnsi="Arial"/>
          <w:color w:val="000000"/>
          <w:sz w:val="20"/>
        </w:rPr>
      </w:pPr>
      <w:r>
        <w:rPr>
          <w:rFonts w:ascii="Arial" w:hAnsi="Arial"/>
          <w:color w:val="000000"/>
          <w:sz w:val="20"/>
        </w:rPr>
        <w:t xml:space="preserve">The lengthy regulatory process, as well as the unpredictability of the results of clinical trials, may result in our failing to obtain regulatory approval to market our HCV product candidate and any future product candidates, which may seriously harm our business. In addition, even if we were to obtain approval, regulatory authorities may approve any of our product candidates for fewer or more limited indications than we request, may impose significant limitations in the form of narrow indications, warnings, or a Risk Evaluation and Mitigation Strategy (“REMS”) or similar risk management measures.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 </w:t>
      </w:r>
    </w:p>
    <w:p>
      <w:pPr>
        <w:pStyle w:val="TextBody"/>
        <w:bidi w:val="0"/>
        <w:spacing w:before="240" w:after="283"/>
        <w:jc w:val="left"/>
        <w:rPr>
          <w:rFonts w:ascii="Arial" w:hAnsi="Arial"/>
          <w:sz w:val="20"/>
        </w:rPr>
      </w:pPr>
      <w:r>
        <w:rPr>
          <w:rFonts w:ascii="Arial" w:hAnsi="Arial"/>
          <w:b/>
          <w:i/>
          <w:color w:val="000000"/>
          <w:sz w:val="20"/>
        </w:rPr>
        <w:t>Clinical development, including enrollment and retention of patients in clinical trials, is an expensive, lengthy and uncertain process. We may encounter substantial delays and costs in our clinical trials or may not be able to conduct or complete our clinical trials on the timelines we expect, if at all.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such as the failure in September 2024 of bemnifosbuvir to meet the primary endpoint in the COVID-19 Phase 3 SUNRISE-3 clinical trial. The outcome of preclinical studies and early-stage clinical trials may not be predictive of the success of later clinical trials. Moreover, preclinical and clinical data, particularly the analysis of exploratory endpoints and analysis of data derived from patient subgroups, including in the case of HCV, patients infected with varying viral genotypes, are often susceptible to varying interpretations, and many companies that have believed their product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candidates performed satisfactorily in preclinical studies and varying stages of clinical trials have nonetheless failed to obtain marketing approval of their drugs. </w:t>
      </w:r>
    </w:p>
    <w:p>
      <w:pPr>
        <w:pStyle w:val="TextBody"/>
        <w:bidi w:val="0"/>
        <w:spacing w:before="120" w:after="283"/>
        <w:jc w:val="left"/>
        <w:rPr>
          <w:rFonts w:ascii="Arial" w:hAnsi="Arial"/>
          <w:color w:val="000000"/>
          <w:sz w:val="20"/>
        </w:rPr>
      </w:pPr>
      <w:r>
        <w:rPr>
          <w:rFonts w:ascii="Arial" w:hAnsi="Arial"/>
          <w:color w:val="000000"/>
          <w:sz w:val="20"/>
        </w:rPr>
        <w:t xml:space="preserve">To date, we have not successfully concluded any 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for AT-587 or any future product candidate will result in the FDA or other regulatory authority, as applicable, allowing future clinical trials to begin in a timely manner, if at all. Moreover, even for trials that begin or have begun, issues may arise that could cause regulatory authorities to suspend or terminate such clinical trials. </w:t>
      </w:r>
    </w:p>
    <w:p>
      <w:pPr>
        <w:pStyle w:val="TextBody"/>
        <w:bidi w:val="0"/>
        <w:spacing w:before="120" w:after="283"/>
        <w:jc w:val="left"/>
        <w:rPr>
          <w:rFonts w:ascii="Arial" w:hAnsi="Arial"/>
          <w:color w:val="000000"/>
          <w:sz w:val="20"/>
        </w:rPr>
      </w:pPr>
      <w:r>
        <w:rPr>
          <w:rFonts w:ascii="Arial" w:hAnsi="Arial"/>
          <w:color w:val="000000"/>
          <w:sz w:val="20"/>
        </w:rPr>
        <w:t xml:space="preserve">Events that may prevent successful or timely initiation or completion of clinical trials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 xml:space="preserve">inability to generate sufficient preclinical, toxicology, or other </w:t>
      </w:r>
      <w:r>
        <w:rPr>
          <w:rFonts w:ascii="Arial" w:hAnsi="Arial"/>
          <w:i/>
          <w:color w:val="000000"/>
          <w:sz w:val="20"/>
        </w:rPr>
        <w:t xml:space="preserve">in vivo </w:t>
      </w:r>
      <w:r>
        <w:rPr>
          <w:rFonts w:ascii="Arial" w:hAnsi="Arial"/>
          <w:color w:val="000000"/>
          <w:sz w:val="20"/>
        </w:rPr>
        <w:t xml:space="preserve">or </w:t>
      </w:r>
      <w:r>
        <w:rPr>
          <w:rFonts w:ascii="Arial" w:hAnsi="Arial"/>
          <w:i/>
          <w:color w:val="000000"/>
          <w:sz w:val="20"/>
        </w:rPr>
        <w:t>in vitro</w:t>
      </w:r>
      <w:r>
        <w:rPr>
          <w:color w:val="000000"/>
        </w:rPr>
        <w:t xml:space="preserve"> </w:t>
      </w:r>
      <w:r>
        <w:rPr>
          <w:rFonts w:ascii="Arial" w:hAnsi="Arial"/>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a consensus with regulatory authorities on study design or implementation of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or failure in obtaining regulatory allowance to commence or amend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agreement on acceptable terms with prospective contract research organizations (“CROs”) and clinical trial sites, the terms of which can be subject to extensive negotiation and may vary significantly among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obtaining required institutional review board or ethics committee approval or positive opinion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recruiting, screening and enrolling a suitable number and diversity of patients to participate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subjects enrolled in our clinical trials or clinical sites deviating from the clinical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insufficient or inadequate supply or quality of product candidates or other materials necessary for use in clinical trials, or delays in sufficiently developing, characterizing or controlling a manufacturing process suitable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on trials conducted by competitors for related technology that raises FDA or foreign regulatory authority concerns about risk to patients of the technology broadly;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during the course of a clinical trial that cause the FDA, a foreign regulatory authority or the clinical trial data safety monitoring board (“DSMB”) to find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by our CROs, other third parties or us to adhere to clinical trial protocols; failure to perform in accordance with the FDA’s or any other regulatory authority’s good clinical practices (“GCPs”), or applicable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occurrence of adverse events associated with the product candidate that are viewed to outweigh its potential benefits, or occurrence of adverse events in trial of the same class of agents conducted by other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to the clinical trial protocols;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caused by patients withdrawing from clinical trials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regulatory requirements and guidance that require amending or submitting new clinical protocols or otherwise impact the conduct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standard of care or rate of event occurrence upon which a clinical development plan was based, which may require discontinuation of current trials or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selection of clinical endpoints that require prolonged periods of observation or analyses of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transfer of manufacturing processes to larger-scale facilities operated by a contract manufacturing organization (“CMO”)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third parties being unwilling or unable to satisfy their contractual obligations to us. </w:t>
      </w:r>
    </w:p>
    <w:p>
      <w:pPr>
        <w:pStyle w:val="TextBody"/>
        <w:bidi w:val="0"/>
        <w:spacing w:before="120" w:after="283"/>
        <w:jc w:val="left"/>
        <w:rPr>
          <w:rFonts w:ascii="Arial" w:hAnsi="Arial"/>
          <w:color w:val="000000"/>
          <w:sz w:val="20"/>
        </w:rPr>
      </w:pPr>
      <w:r>
        <w:rPr>
          <w:rFonts w:ascii="Arial" w:hAnsi="Arial"/>
          <w:color w:val="000000"/>
          <w:sz w:val="20"/>
        </w:rPr>
        <w:t xml:space="preserve">Any inability to successfully complete our Phase 3 clinical trials evaluating the regimen of bemnifosbuvir and ruzasvir for the treatment of HCV or the completion of any planned clinical trials we may initiate for our HEV product candidate or otherwise could result in additional costs to us or impair our ability to seek approval for our HCV and HEV product candidate or any future product candidates and ultimately generate revenue from product sales. </w:t>
      </w:r>
    </w:p>
    <w:p>
      <w:pPr>
        <w:pStyle w:val="TextBody"/>
        <w:bidi w:val="0"/>
        <w:spacing w:before="120" w:after="283"/>
        <w:jc w:val="left"/>
        <w:rPr>
          <w:rFonts w:ascii="Arial" w:hAnsi="Arial"/>
          <w:color w:val="000000"/>
          <w:sz w:val="20"/>
        </w:rPr>
      </w:pPr>
      <w:r>
        <w:rPr>
          <w:rFonts w:ascii="Arial" w:hAnsi="Arial"/>
          <w:color w:val="000000"/>
          <w:sz w:val="20"/>
        </w:rPr>
        <w:t xml:space="preserve">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any approved products have patent protection and may allow our competitors to further strengthen the market position of their current products or bring new products to market before we do, which could impair our ability to successfully commercialize our product candidates and may seriously harm our business. </w:t>
      </w:r>
    </w:p>
    <w:p>
      <w:pPr>
        <w:pStyle w:val="TextBody"/>
        <w:bidi w:val="0"/>
        <w:spacing w:before="120" w:after="283"/>
        <w:jc w:val="left"/>
        <w:rPr>
          <w:rFonts w:ascii="Arial" w:hAnsi="Arial"/>
          <w:color w:val="000000"/>
          <w:sz w:val="20"/>
        </w:rPr>
      </w:pPr>
      <w:r>
        <w:rPr>
          <w:rFonts w:ascii="Arial" w:hAnsi="Arial"/>
          <w:color w:val="000000"/>
          <w:sz w:val="20"/>
        </w:rPr>
        <w:t xml:space="preserve">We could also encounter delays if a clinical trial is suspended or terminated by us, by the DSMB for such trial, or by the FDA or any other regulatory authority, or if the institutional review boards of the institutions at which such trials are being conducted suspend or terminate the participation of the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t>
      </w:r>
    </w:p>
    <w:p>
      <w:pPr>
        <w:pStyle w:val="TextBody"/>
        <w:bidi w:val="0"/>
        <w:spacing w:before="120" w:after="283"/>
        <w:jc w:val="left"/>
        <w:rPr>
          <w:rFonts w:ascii="Arial" w:hAnsi="Arial"/>
          <w:color w:val="000000"/>
          <w:sz w:val="20"/>
        </w:rPr>
      </w:pPr>
      <w:r>
        <w:rPr>
          <w:rFonts w:ascii="Arial" w:hAnsi="Arial"/>
          <w:color w:val="000000"/>
          <w:sz w:val="20"/>
        </w:rPr>
        <w:t>Further, conducting clinical trials in foreign countries for our HCV and HEV product candidates or other product candidates, if any,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For example, as part of our C-FORWARD HCV Phase 3 clinical trial, clinical trial sites in Ukraine are enrolling patients in the study. To the extent that these patients are not able to complete the study or there is a loss of data related to those patients as a result of the ongoing conflict in that area or otherwise, there may be a delay in completing the study or an adverse impact on the results from the study.</w:t>
      </w:r>
    </w:p>
    <w:p>
      <w:pPr>
        <w:pStyle w:val="TextBody"/>
        <w:bidi w:val="0"/>
        <w:spacing w:before="120" w:after="283"/>
        <w:jc w:val="left"/>
        <w:rPr>
          <w:rFonts w:ascii="Arial" w:hAnsi="Arial"/>
          <w:color w:val="000000"/>
          <w:sz w:val="20"/>
        </w:rPr>
      </w:pPr>
      <w:r>
        <w:rPr>
          <w:rFonts w:ascii="Arial" w:hAnsi="Arial"/>
          <w:color w:val="000000"/>
          <w:sz w:val="20"/>
        </w:rPr>
        <w:t xml:space="preserve">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further strengthen the market position of their current products or bring new or additional products to market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before we do, which could significantly reduce the commercial viability of our product candidates. Any of these occurrences may harm our business, financial condition and prospects significantly. </w:t>
      </w:r>
    </w:p>
    <w:p>
      <w:pPr>
        <w:pStyle w:val="TextBody"/>
        <w:bidi w:val="0"/>
        <w:spacing w:before="120" w:after="283"/>
        <w:jc w:val="left"/>
        <w:rPr>
          <w:rFonts w:ascii="Arial" w:hAnsi="Arial"/>
          <w:color w:val="000000"/>
          <w:sz w:val="20"/>
        </w:rPr>
      </w:pPr>
      <w:r>
        <w:rPr>
          <w:rFonts w:ascii="Arial" w:hAnsi="Arial"/>
          <w:color w:val="000000"/>
          <w:sz w:val="20"/>
        </w:rPr>
        <w:t>In addition, the FDA’s and other regulatory authorities’ policies with respect to clinical trials being conducted outside North America may change and additional government regulations may be enacted. For instance, with very limited exception for certain EU countries and certain clinical trials, the regulatory landscape related to clinical trials in the EU recently evolved. The EU CTR which was adopted in April 2014 and repeals the EU Clinical Trials Directive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introduced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With very limited exception for certain EU countries and certain clinical trials, all CTAs and clinical trials conducted in the EU (including those which are ongoing) are subject to the provisions of the CTR. As a result, the CTAs we have submitted in connection with the conduct of our HCV Phase 3 clinical trial in the EU were prepared in compliance with the CTR requirements. We have limited experience submitting applications under the CTR. If we or our third-party service providers, such as CROs, encounter difficulties or are unable to comply with the CTR requirements our developments plans would be adversely impacted.</w:t>
      </w:r>
    </w:p>
    <w:p>
      <w:pPr>
        <w:pStyle w:val="TextBody"/>
        <w:bidi w:val="0"/>
        <w:spacing w:before="120" w:after="283"/>
        <w:jc w:val="left"/>
        <w:rPr>
          <w:rFonts w:ascii="Arial" w:hAnsi="Arial"/>
          <w:color w:val="000000"/>
          <w:sz w:val="20"/>
        </w:rPr>
      </w:pPr>
      <w:r>
        <w:rPr>
          <w:rFonts w:ascii="Arial" w:hAnsi="Arial"/>
          <w:color w:val="000000"/>
          <w:sz w:val="20"/>
        </w:rPr>
        <w:t xml:space="preserve">In April 2025, the UK government adopted the Medicines for Human Use (Clinical Trials) Amendment Regulations. The amendment, which will take full effect from April 2026, aims to provide a more flexible regime to make it easier to conduct clinical trials in the UK, increase the transparency of clinical trials conducted in the UK and make clinical trials more patient centered. </w:t>
      </w:r>
    </w:p>
    <w:p>
      <w:pPr>
        <w:pStyle w:val="TextBody"/>
        <w:bidi w:val="0"/>
        <w:spacing w:before="120" w:after="283"/>
        <w:jc w:val="left"/>
        <w:rPr>
          <w:rFonts w:ascii="Arial" w:hAnsi="Arial"/>
          <w:color w:val="000000"/>
          <w:sz w:val="20"/>
        </w:rPr>
      </w:pPr>
      <w:r>
        <w:rPr>
          <w:rFonts w:ascii="Arial" w:hAnsi="Arial"/>
          <w:color w:val="000000"/>
          <w:sz w:val="20"/>
        </w:rPr>
        <w:t>If we are slow or unable to adapt to changes in existing requirements or the adoption of new requirements or policies governing clinical trials, our development plans may also be impacted.</w:t>
      </w:r>
    </w:p>
    <w:p>
      <w:pPr>
        <w:pStyle w:val="TextBody"/>
        <w:bidi w:val="0"/>
        <w:spacing w:before="240" w:after="283"/>
        <w:jc w:val="left"/>
        <w:rPr>
          <w:rFonts w:ascii="Arial" w:hAnsi="Arial"/>
          <w:b/>
          <w:i/>
          <w:color w:val="000000"/>
          <w:sz w:val="20"/>
        </w:rPr>
      </w:pPr>
      <w:r>
        <w:rPr>
          <w:rFonts w:ascii="Arial" w:hAnsi="Arial"/>
          <w:b/>
          <w:i/>
          <w:color w:val="000000"/>
          <w:sz w:val="20"/>
        </w:rPr>
        <w:t>We are developing certain of our product candidates in combination with other therapies, which exposes us to additional risks.</w:t>
      </w:r>
    </w:p>
    <w:p>
      <w:pPr>
        <w:pStyle w:val="TextBody"/>
        <w:bidi w:val="0"/>
        <w:spacing w:before="120" w:after="283"/>
        <w:jc w:val="left"/>
        <w:rPr>
          <w:rFonts w:ascii="Arial" w:hAnsi="Arial"/>
          <w:color w:val="000000"/>
          <w:sz w:val="20"/>
        </w:rPr>
      </w:pPr>
      <w:r>
        <w:rPr>
          <w:rFonts w:ascii="Arial" w:hAnsi="Arial"/>
          <w:color w:val="000000"/>
          <w:sz w:val="20"/>
        </w:rPr>
        <w:t>Combination therapies are commonly used for the treatment of viral infections. Developing combination therapies exposes us to additional clinical risks, such as the requirement that we demonstrate the safety and efficacy of each active component of any combination regimen we may develop.</w:t>
      </w:r>
    </w:p>
    <w:p>
      <w:pPr>
        <w:pStyle w:val="TextBody"/>
        <w:bidi w:val="0"/>
        <w:spacing w:before="120" w:after="283"/>
        <w:jc w:val="left"/>
        <w:rPr>
          <w:rFonts w:ascii="Arial" w:hAnsi="Arial"/>
          <w:color w:val="000000"/>
          <w:sz w:val="20"/>
        </w:rPr>
      </w:pPr>
      <w:r>
        <w:rPr>
          <w:rFonts w:ascii="Arial" w:hAnsi="Arial"/>
          <w:color w:val="000000"/>
          <w:sz w:val="20"/>
        </w:rPr>
        <w:t>For the treatment of HCV, we are currently developing bemnifosbuvir in combination with ruzasvir, a product candidate that has not yet been approved for marketing by the FDA or similar foreign regulatory authorities.</w:t>
      </w:r>
    </w:p>
    <w:p>
      <w:pPr>
        <w:pStyle w:val="TextBody"/>
        <w:bidi w:val="0"/>
        <w:spacing w:before="120" w:after="283"/>
        <w:jc w:val="left"/>
        <w:rPr>
          <w:rFonts w:ascii="Arial" w:hAnsi="Arial"/>
          <w:color w:val="000000"/>
          <w:sz w:val="20"/>
        </w:rPr>
      </w:pPr>
      <w:r>
        <w:rPr>
          <w:rFonts w:ascii="Arial" w:hAnsi="Arial"/>
          <w:color w:val="000000"/>
          <w:sz w:val="20"/>
        </w:rPr>
        <w:t>If the FDA or similar foreign regulatory authorities do not approve the combination agents or revoke the approval thereof, or if safety, efficacy, manufacturing, or supply issues arise with the drugs we choose to evaluate in combination with our product candidates, we may be unable to obtain approval of or market our product candidates for combination therapy regimens.</w:t>
      </w:r>
    </w:p>
    <w:p>
      <w:pPr>
        <w:pStyle w:val="TextBody"/>
        <w:bidi w:val="0"/>
        <w:spacing w:before="120" w:after="283"/>
        <w:jc w:val="left"/>
        <w:rPr>
          <w:rFonts w:ascii="Arial" w:hAnsi="Arial"/>
          <w:color w:val="000000"/>
          <w:sz w:val="20"/>
        </w:rPr>
      </w:pPr>
      <w:r>
        <w:rPr>
          <w:rFonts w:ascii="Arial" w:hAnsi="Arial"/>
          <w:color w:val="000000"/>
          <w:sz w:val="20"/>
        </w:rPr>
        <w:t>Additionally, if the third-party manufacturers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240" w:after="283"/>
        <w:jc w:val="left"/>
        <w:rPr>
          <w:rFonts w:ascii="Arial" w:hAnsi="Arial"/>
          <w:sz w:val="20"/>
        </w:rPr>
      </w:pPr>
      <w:r>
        <w:rPr>
          <w:rFonts w:ascii="Arial" w:hAnsi="Arial"/>
          <w:b/>
          <w:i/>
          <w:color w:val="000000"/>
          <w:sz w:val="20"/>
        </w:rPr>
        <w:t>Our product candidates may be associated with serious adverse events (“SAEs”), undesirable side effects or have other properties that could halt their clinical development, prevent their regulatory approval, limit their commercial potential or result in significant negative consequences.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Adverse events (“AEs”)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t>
      </w:r>
    </w:p>
    <w:p>
      <w:pPr>
        <w:pStyle w:val="TextBody"/>
        <w:bidi w:val="0"/>
        <w:spacing w:before="120" w:after="283"/>
        <w:jc w:val="left"/>
        <w:rPr>
          <w:rFonts w:ascii="Arial" w:hAnsi="Arial"/>
          <w:color w:val="000000"/>
          <w:sz w:val="20"/>
        </w:rPr>
      </w:pPr>
      <w:r>
        <w:rPr>
          <w:rFonts w:ascii="Arial" w:hAnsi="Arial"/>
          <w:color w:val="000000"/>
          <w:sz w:val="20"/>
        </w:rPr>
        <w:t xml:space="preserve">If any SAEs occur, clinical trials or commercial distribution of any product we successfully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 or product for any or all targeted indications. If we are required to delay, suspend or terminate any clinical trial or commercialization efforts, the commercial prospects of such product candidate or product may be harmed, and our ability to generate revenues from such product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authorities may suspend, limit or withdraw approvals of such product, or seek an injunction against its manufacture or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create a REMS or similar risk management measures which could include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subject to fines, injunctions or the imposition of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reputation may suffer. </w:t>
      </w:r>
    </w:p>
    <w:p>
      <w:pPr>
        <w:pStyle w:val="TextBody"/>
        <w:bidi w:val="0"/>
        <w:spacing w:before="120" w:after="283"/>
        <w:jc w:val="left"/>
        <w:rPr>
          <w:rFonts w:ascii="Arial" w:hAnsi="Arial"/>
          <w:color w:val="000000"/>
          <w:sz w:val="20"/>
        </w:rPr>
      </w:pPr>
      <w:r>
        <w:rPr>
          <w:rFonts w:ascii="Arial" w:hAnsi="Arial"/>
          <w:color w:val="000000"/>
          <w:sz w:val="20"/>
        </w:rPr>
        <w:t xml:space="preserve">Any of these events could prevent us from achieving or maintaining market acceptance of the particular product candidate, if approved, and could seriously harm our business, financial condition and results of operations. </w:t>
      </w:r>
    </w:p>
    <w:p>
      <w:pPr>
        <w:pStyle w:val="TextBody"/>
        <w:bidi w:val="0"/>
        <w:spacing w:before="240" w:after="283"/>
        <w:jc w:val="left"/>
        <w:rPr>
          <w:rFonts w:ascii="Arial" w:hAnsi="Arial"/>
          <w:sz w:val="20"/>
        </w:rPr>
      </w:pPr>
      <w:r>
        <w:rPr>
          <w:rFonts w:ascii="Arial" w:hAnsi="Arial"/>
          <w:b/>
          <w:i/>
          <w:color w:val="000000"/>
          <w:sz w:val="20"/>
        </w:rPr>
        <w:t>If we encounter difficulties enrolling and retaining enrolled patients in our clinical trials and having patients comply with the clinical trial protocol, our clinical development activities could be delayed or otherwise adversely affected.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may experience difficulties in patient enrollment in our clinical trials for a variety of reasons. The timely completion of clinical trials in accordance with their protocols depends, among other things, on our ability to enroll a sufficient number of patients who remain adherent to the protocol and in the trial until its conclusion. A delay in the completion of the study would also delay our ability to seek regulatory approval to commercialize the product candidate which is being evaluated in the clinical trial. </w:t>
      </w:r>
    </w:p>
    <w:p>
      <w:pPr>
        <w:pStyle w:val="TextBody"/>
        <w:bidi w:val="0"/>
        <w:spacing w:before="120" w:after="283"/>
        <w:jc w:val="left"/>
        <w:rPr>
          <w:rFonts w:ascii="Arial" w:hAnsi="Arial"/>
          <w:color w:val="000000"/>
          <w:sz w:val="20"/>
        </w:rPr>
      </w:pPr>
      <w:r>
        <w:rPr>
          <w:rFonts w:ascii="Arial" w:hAnsi="Arial"/>
          <w:color w:val="000000"/>
          <w:sz w:val="20"/>
        </w:rPr>
        <w:t xml:space="preserve">Enrollment of patients and timely completion of our clinical trials depends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of the target disease population and rates of diagnostic testing among the target disease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proximity of patients to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recruit clinical trial investigators with the appropriate competencies and experience;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clinicians’ and patients’ perceptions as to the potential advantages of the product candidate being studied in relation to other available therapies, including any products that may be approved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obtain and maintain patient consents;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risk that patients enrolled in clinical trials will drop out of the trials before trial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 that patients enrolled in the clinical trial will fail to adhere to the protocol;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factors outside of our control, such as political unrest, war, terrorism and the occurrence of a global health crisis such as COVID-19 which, among other things, created substantial burdens on healthcare providers who were required to prioritize immediate critical patient care over clinical research. </w:t>
      </w:r>
    </w:p>
    <w:p>
      <w:pPr>
        <w:pStyle w:val="TextBody"/>
        <w:bidi w:val="0"/>
        <w:spacing w:before="120" w:after="283"/>
        <w:jc w:val="left"/>
        <w:rPr>
          <w:rFonts w:ascii="Arial" w:hAnsi="Arial"/>
          <w:color w:val="000000"/>
          <w:sz w:val="20"/>
        </w:rPr>
      </w:pPr>
      <w:r>
        <w:rPr>
          <w:rFonts w:ascii="Arial" w:hAnsi="Arial"/>
          <w:color w:val="000000"/>
          <w:sz w:val="20"/>
        </w:rPr>
        <w:t xml:space="preserve">In addition, our clinical trials may compete with other clinical trials sponsored by third parties, including potential competitors, that are in the same or substantially similar therapeutic areas as our product candidates, and this competition may reduce the number and types of patients available to us because some patients who might have opted to enroll in our trials may instead opt to enroll in a trial being conducted by one of our competitors. Since the number of qualified clinical investigators is limited, it is possible that we will conduct some of our clinical trials at the same clinical trial sites that some of our competitors use, which will reduce the number of patients who are available for our clinical trials at such clinical trial sites. </w:t>
      </w:r>
    </w:p>
    <w:p>
      <w:pPr>
        <w:pStyle w:val="TextBody"/>
        <w:bidi w:val="0"/>
        <w:spacing w:before="120" w:after="283"/>
        <w:jc w:val="left"/>
        <w:rPr>
          <w:rFonts w:ascii="Arial" w:hAnsi="Arial"/>
          <w:color w:val="000000"/>
          <w:sz w:val="20"/>
        </w:rPr>
      </w:pPr>
      <w:r>
        <w:rPr>
          <w:rFonts w:ascii="Arial" w:hAnsi="Arial"/>
          <w:color w:val="000000"/>
          <w:sz w:val="20"/>
        </w:rPr>
        <w:t>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w:t>
      </w:r>
    </w:p>
    <w:p>
      <w:pPr>
        <w:pStyle w:val="TextBody"/>
        <w:bidi w:val="0"/>
        <w:spacing w:before="120" w:after="283"/>
        <w:jc w:val="left"/>
        <w:rPr>
          <w:rFonts w:ascii="Arial" w:hAnsi="Arial"/>
          <w:color w:val="000000"/>
          <w:sz w:val="20"/>
        </w:rPr>
      </w:pPr>
      <w:r>
        <w:rPr>
          <w:rFonts w:ascii="Arial" w:hAnsi="Arial"/>
          <w:color w:val="000000"/>
          <w:sz w:val="20"/>
        </w:rPr>
        <w:t>Patients failing to adhere to the protocol, whether as a result of failing to take the drug as directed or otherwise, may adversely impact the clinical trial results if the lack of adherence or other failure to follow the protocol contributes to or results in the patient failing to meet the clinical trial primary endpoint.</w:t>
      </w:r>
    </w:p>
    <w:p>
      <w:pPr>
        <w:pStyle w:val="TextBody"/>
        <w:bidi w:val="0"/>
        <w:spacing w:before="240" w:after="283"/>
        <w:jc w:val="left"/>
        <w:rPr>
          <w:rFonts w:ascii="Arial" w:hAnsi="Arial"/>
          <w:sz w:val="20"/>
        </w:rPr>
      </w:pPr>
      <w:r>
        <w:rPr>
          <w:rFonts w:ascii="Arial" w:hAnsi="Arial"/>
          <w:b/>
          <w:i/>
          <w:color w:val="000000"/>
          <w:sz w:val="20"/>
        </w:rPr>
        <w:t>A Fast Track designation by the FDA may not lead to a faster development or regulatory review or approval process and does not increase the likelihood that our product candidates will receive marketing approval.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If a product candidate is intended for the treatment of a serious or life-threatening condition and the product candidate demonstrates the potential to address unmet medical needs for such condition, the product candidate sponsor may apply for Fast Track designation. The sponsor of a product candidate that has received Fast Track designation may have opportunities for more frequent interactions with the FDA review team during product development and, once an NDA is submitted, the NDA may be eligible for priority review. An NDA for a Fast Track designated product candidate may also be eligible for rolling review, where the FDA may consider review of sections of the NDA on a rolling basis before the complete NDA is submitted. </w:t>
      </w:r>
    </w:p>
    <w:p>
      <w:pPr>
        <w:pStyle w:val="TextBody"/>
        <w:bidi w:val="0"/>
        <w:spacing w:before="120" w:after="283"/>
        <w:jc w:val="left"/>
        <w:rPr>
          <w:rFonts w:ascii="Arial" w:hAnsi="Arial"/>
          <w:color w:val="000000"/>
          <w:sz w:val="20"/>
        </w:rPr>
      </w:pPr>
      <w:r>
        <w:rPr>
          <w:rFonts w:ascii="Arial" w:hAnsi="Arial"/>
          <w:color w:val="000000"/>
          <w:sz w:val="20"/>
        </w:rPr>
        <w:t>The FDA has broad discretion whether or not to grant Fast Track designation to any particular product candidate. As a result, we may seek such Fast Track designation for our product candidates, but cannot assure you that the FDA would decide to grant it. Even if a Fast Track designation has been received, we may not experience a faster development process, review or approval compared to conventional FDA procedures. The FDA may withdraw Fast Track designation if it believes that the designation is no longer supported by data from our clinical development program. Many product candidates that have received Fast Track designation have nevertheless failed to obtain approval.</w:t>
      </w:r>
    </w:p>
    <w:p>
      <w:pPr>
        <w:pStyle w:val="TextBody"/>
        <w:bidi w:val="0"/>
        <w:spacing w:before="240" w:after="283"/>
        <w:jc w:val="left"/>
        <w:rPr>
          <w:rFonts w:ascii="Arial" w:hAnsi="Arial"/>
          <w:sz w:val="20"/>
        </w:rPr>
      </w:pPr>
      <w:r>
        <w:rPr>
          <w:rFonts w:ascii="Arial" w:hAnsi="Arial"/>
          <w:b/>
          <w:i/>
          <w:color w:val="000000"/>
          <w:sz w:val="20"/>
        </w:rPr>
        <w:t>We currently conduct clinical trials, and may in the future choose to conduct additional clinical trials, of our product candidates in sites outside the US, and the FDA may not accept data from trials conducted in foreign locations.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currently conduct, and expect in the future to conduct, clinical trials outside the US for our product candidates. The acceptance of study data from clinical trials conducted outside the US or another jurisdiction by the FDA or comparable foreign regulatory authorities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(“GCP”) regulations; and (iii) the data may be considered valid without the need for an on-site inspection by the FDA, or if the FDA considers such inspection to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120" w:after="283"/>
        <w:jc w:val="left"/>
        <w:rPr>
          <w:rFonts w:ascii="Arial" w:hAnsi="Arial"/>
          <w:color w:val="000000"/>
          <w:sz w:val="20"/>
        </w:rPr>
      </w:pPr>
      <w:r>
        <w:rPr>
          <w:rFonts w:ascii="Arial" w:hAnsi="Arial"/>
          <w:color w:val="000000"/>
          <w:sz w:val="20"/>
        </w:rPr>
        <w:t xml:space="preserve">In addition, there are risks inherent in conducting clinical trials in multiple jurisdictions, inside and outside of the US,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and administrative requirements of the jurisdiction where the trial is conducted that could burden or limit our ability to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foreign exchange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manufacturing, customs, shipment and storage requirements for clinical trial materials and supplies as well as shipment and storage of biological samples;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cultural differences in medical practice and clinical research;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risk that the patient populations in such trials are not considered representative as compared to the patient population in the target markets where approval is being sought. </w:t>
      </w:r>
    </w:p>
    <w:p>
      <w:pPr>
        <w:pStyle w:val="TextBody"/>
        <w:bidi w:val="0"/>
        <w:spacing w:before="240" w:after="283"/>
        <w:jc w:val="left"/>
        <w:rPr>
          <w:rFonts w:ascii="Arial" w:hAnsi="Arial"/>
          <w:sz w:val="20"/>
        </w:rPr>
      </w:pPr>
      <w:r>
        <w:rPr>
          <w:rFonts w:ascii="Arial" w:hAnsi="Arial"/>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From time to time, we may publicly disclose preliminary or top-line data from our preclinical studies and clinical trials, which is based on a preliminary analysis of then-available data. Similar to all preliminary and then-available data, these results and related findings and conclusions are subject to change as additional data becomes available or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Consequently, the top-line or preliminary data that we report may differ from final results reported from the same studies, or different conclusions or considerations may qualify such preliminary or topline data, once additional data have been received and fully evaluated. Top-line and preliminary data also remain subject to audit and verification procedures that may result in the final results being materially different from the preliminary or topline data we previously published. As a result, top-line and preliminary data should be viewed with caution until the final data are available.</w:t>
      </w:r>
    </w:p>
    <w:p>
      <w:pPr>
        <w:pStyle w:val="TextBody"/>
        <w:bidi w:val="0"/>
        <w:spacing w:before="120" w:after="283"/>
        <w:jc w:val="left"/>
        <w:rPr>
          <w:rFonts w:ascii="Arial" w:hAnsi="Arial"/>
          <w:color w:val="000000"/>
          <w:sz w:val="20"/>
        </w:rPr>
      </w:pPr>
      <w:r>
        <w:rPr>
          <w:rFonts w:ascii="Arial" w:hAnsi="Arial"/>
          <w:color w:val="000000"/>
          <w:sz w:val="20"/>
        </w:rPr>
        <w:t xml:space="preserve">From time to time, we may also disclose interim data from our preclinical studies and clinical trials. Interim data from clinical trials that we may subsequently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 </w:t>
      </w:r>
    </w:p>
    <w:p>
      <w:pPr>
        <w:pStyle w:val="TextBody"/>
        <w:bidi w:val="0"/>
        <w:spacing w:before="120" w:after="283"/>
        <w:jc w:val="left"/>
        <w:rPr>
          <w:rFonts w:ascii="Arial" w:hAnsi="Arial"/>
          <w:color w:val="000000"/>
          <w:sz w:val="20"/>
        </w:rPr>
      </w:pPr>
      <w:r>
        <w:rPr>
          <w:rFonts w:ascii="Arial" w:hAnsi="Arial"/>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w:t>
      </w:r>
    </w:p>
    <w:p>
      <w:pPr>
        <w:pStyle w:val="TextBody"/>
        <w:bidi w:val="0"/>
        <w:spacing w:before="120" w:after="283"/>
        <w:jc w:val="left"/>
        <w:rPr>
          <w:rFonts w:ascii="Arial" w:hAnsi="Arial"/>
          <w:color w:val="000000"/>
          <w:sz w:val="20"/>
        </w:rPr>
      </w:pPr>
      <w:r>
        <w:rPr>
          <w:rFonts w:ascii="Arial" w:hAnsi="Arial"/>
          <w:color w:val="000000"/>
          <w:sz w:val="20"/>
        </w:rPr>
        <w:t xml:space="preserve">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reached, our ability to obtain approval for, and commercialize, our product candidates may be harmed, which could harm our business, operating results, prospects or financial condition. </w:t>
      </w:r>
    </w:p>
    <w:p>
      <w:pPr>
        <w:pStyle w:val="TextBody"/>
        <w:bidi w:val="0"/>
        <w:spacing w:before="240" w:after="283"/>
        <w:jc w:val="left"/>
        <w:rPr>
          <w:rFonts w:ascii="Arial" w:hAnsi="Arial"/>
          <w:sz w:val="20"/>
        </w:rPr>
      </w:pPr>
      <w:r>
        <w:rPr>
          <w:rFonts w:ascii="Arial" w:hAnsi="Arial"/>
          <w:b/>
          <w:i/>
          <w:color w:val="000000"/>
          <w:sz w:val="20"/>
        </w:rPr>
        <w:t>We may not be successful in our efforts to identify and successfully develop additional product candidates.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Part of our strategy involves identifying novel product candidates. </w:t>
      </w:r>
    </w:p>
    <w:p>
      <w:pPr>
        <w:pStyle w:val="TextBody"/>
        <w:bidi w:val="0"/>
        <w:spacing w:before="120" w:after="283"/>
        <w:jc w:val="left"/>
        <w:rPr>
          <w:rFonts w:ascii="Arial" w:hAnsi="Arial"/>
          <w:color w:val="000000"/>
          <w:sz w:val="20"/>
        </w:rPr>
      </w:pPr>
      <w:r>
        <w:rPr>
          <w:rFonts w:ascii="Arial" w:hAnsi="Arial"/>
          <w:color w:val="000000"/>
          <w:sz w:val="20"/>
        </w:rPr>
        <w:t xml:space="preserve">Our efforts to discover additional product candidates may fail to yield product candidates for clinical development for a number of reasons, including those discussed in these risk factors and also: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be able to assemble sufficient resources to acquire or discover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competitors may develop alternatives that render our potential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product candidates we develop may nevertheless be covered by third-parties’ patent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product candidates may, in further study, be shown to have harmful side effects, toxicities or other characteristics that indicate that they are unlikely to be products that will receive marketing approval or achieve market acceptance,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product candidates may not be effective in treating their targeted diseases or symptoms;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market for a potential product candidate may change so that the continued development of that product candidate is no longer reasonable;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potential product candidate may not be capable of being produced in commercial quantities at an acceptable cost, or at all;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regulatory pathway for a potential product candidate is highly complex and difficult to navigate successfully or economically. </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identify and successfully develop and commercialize additional suitable product candidates, this would adversely impact our business strategy and our financial position. </w:t>
      </w:r>
    </w:p>
    <w:p>
      <w:pPr>
        <w:pStyle w:val="TextBody"/>
        <w:bidi w:val="0"/>
        <w:spacing w:before="240" w:after="283"/>
        <w:jc w:val="left"/>
        <w:rPr>
          <w:rFonts w:ascii="Arial" w:hAnsi="Arial"/>
          <w:sz w:val="20"/>
        </w:rPr>
      </w:pPr>
      <w:r>
        <w:rPr>
          <w:rFonts w:ascii="Arial" w:hAnsi="Arial"/>
          <w:b/>
          <w:i/>
          <w:color w:val="000000"/>
          <w:sz w:val="20"/>
        </w:rPr>
        <w:t>We may focus on potential product candidates that may prove to be unsuccessful and we may have to forego opportunities to develop other product candidates that may prove to be more successful.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may choose to focus our efforts and resources on one or more potential product candidates that ultimately prove to be unsuccessful as was the case with the failure of bemnifosbuvir to meet the primary endpoint in the COVID-19 Phase 3 SUNRISE-3 clinical trial. Further, we may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 </w:t>
      </w:r>
    </w:p>
    <w:p>
      <w:pPr>
        <w:pStyle w:val="TextBody"/>
        <w:bidi w:val="0"/>
        <w:spacing w:before="120" w:after="283"/>
        <w:jc w:val="left"/>
        <w:rPr>
          <w:rFonts w:ascii="Arial" w:hAnsi="Arial"/>
          <w:color w:val="000000"/>
          <w:sz w:val="20"/>
        </w:rPr>
      </w:pPr>
      <w:r>
        <w:rPr>
          <w:rFonts w:ascii="Arial" w:hAnsi="Arial"/>
          <w:color w:val="000000"/>
          <w:sz w:val="20"/>
        </w:rPr>
        <w:t xml:space="preserve">Furthermore, we have limited financial and personnel resources and are placing significant focus on the development of our lead product candidate, the regimen of bemnifosbuvir and ruzasvir for the treatment of HCV, and the development of AT-587 for the treatment of HEV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product candidate, we may relinquish valuable rights to such product candidate through collaboration, licensing or other royalty arrangements in cases in which it would have been more advantageous for us to retain sole development and commercialization rights to such future product candidates.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We may attempt to secure FDA approval of certain product candidates through the use of the accelerated approval pathway or similar expedited approval pathways outside the US.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similar expedited approval by foreign regulatory authorities, if our confirmatory trials do not verify clinical benefit, or if we do not comply with rigorous post-marketing requirements, the FDA or foreign regulatory authorities may seek to withdraw accelerated approval or similar conditional approval.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developing our product candidates for the treatment of serious conditions and therefore may decide to seek approval of such product candidates under the FDA’s accelerated approval pathway. A product candidate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120" w:after="283"/>
        <w:jc w:val="left"/>
        <w:rPr>
          <w:rFonts w:ascii="Arial" w:hAnsi="Arial"/>
          <w:color w:val="000000"/>
          <w:sz w:val="20"/>
        </w:rPr>
      </w:pPr>
      <w:r>
        <w:rPr>
          <w:rFonts w:ascii="Arial" w:hAnsi="Arial"/>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confirmatory studies to verify and describe the drug’s clinical benefit. If the sponsor fails to conduct such studies in a timely manner, or if such confirmatory studies fail to verify the drug’s predicted clinical benefit, the FDA may withdraw its approval of the drug on an expedited basis. Additionally, as a part of the Food and Drug Omnibus Reform Act of 2022, the FDA obtained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spacing w:before="120" w:after="283"/>
        <w:jc w:val="left"/>
        <w:rPr>
          <w:rFonts w:ascii="Arial" w:hAnsi="Arial"/>
          <w:color w:val="000000"/>
          <w:sz w:val="20"/>
        </w:rPr>
      </w:pPr>
      <w:r>
        <w:rPr>
          <w:rFonts w:ascii="Arial" w:hAnsi="Arial"/>
          <w:color w:val="000000"/>
          <w:sz w:val="20"/>
        </w:rPr>
        <w:t>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for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pStyle w:val="TextBody"/>
        <w:bidi w:val="0"/>
        <w:spacing w:before="120" w:after="283"/>
        <w:jc w:val="left"/>
        <w:rPr>
          <w:rFonts w:ascii="Arial" w:hAnsi="Arial"/>
          <w:color w:val="000000"/>
          <w:sz w:val="20"/>
        </w:rPr>
      </w:pPr>
      <w:r>
        <w:rPr>
          <w:rFonts w:ascii="Arial" w:hAnsi="Arial"/>
          <w:color w:val="000000"/>
          <w:sz w:val="20"/>
        </w:rPr>
        <w:t>The competent regulatory authorities in the EU have broad discretion whether to grant such a conditional marketing authorization or marketing authorization under exceptional circumstances, and, even if such assessment or authorization is granted, we may not experience a faster development process, review or authorization compared to conventional procedures. Moreover, the removal or threat of removal of such marketing authorizations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pStyle w:val="TextBody"/>
        <w:bidi w:val="0"/>
        <w:spacing w:before="120" w:after="283"/>
        <w:jc w:val="left"/>
        <w:rPr>
          <w:rFonts w:ascii="Arial" w:hAnsi="Arial"/>
          <w:color w:val="000000"/>
          <w:sz w:val="20"/>
        </w:rPr>
      </w:pPr>
      <w:r>
        <w:rPr>
          <w:rFonts w:ascii="Arial" w:hAnsi="Arial"/>
          <w:color w:val="000000"/>
          <w:sz w:val="20"/>
        </w:rPr>
        <w:t xml:space="preserve">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accelerated approval or any other form of expedited development, review or approval for a product candidate would result in a longer time period prior to commercialization of such product candidate, if any, and could increase the cost of development of such product candidate, which could harm our competitive position in the marketplace. </w:t>
      </w:r>
    </w:p>
    <w:p>
      <w:pPr>
        <w:pStyle w:val="TextBody"/>
        <w:bidi w:val="0"/>
        <w:spacing w:before="240" w:after="283"/>
        <w:jc w:val="left"/>
        <w:rPr>
          <w:rFonts w:ascii="Arial" w:hAnsi="Arial"/>
          <w:sz w:val="20"/>
        </w:rPr>
      </w:pPr>
      <w:r>
        <w:rPr>
          <w:rFonts w:ascii="Arial" w:hAnsi="Arial"/>
          <w:b/>
          <w:i/>
          <w:color w:val="000000"/>
          <w:sz w:val="20"/>
        </w:rPr>
        <w:t>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We have not received approval to market any product candidates from regulatory authorities in any jurisdiction. It is possible that neither the HCV product candidate or the HEV product candidate we are developing or other product candidates, if any, that we may seek to develop in the future, will ever obtain regulatory approval. We, as a company,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w:t>
      </w:r>
    </w:p>
    <w:p>
      <w:pPr>
        <w:pStyle w:val="TextBody"/>
        <w:bidi w:val="0"/>
        <w:spacing w:before="120" w:after="283"/>
        <w:jc w:val="left"/>
        <w:rPr>
          <w:rFonts w:ascii="Arial" w:hAnsi="Arial"/>
          <w:sz w:val="20"/>
        </w:rPr>
      </w:pPr>
      <w:r>
        <w:rPr>
          <w:rFonts w:ascii="Arial" w:hAnsi="Arial"/>
          <w:color w:val="000000"/>
          <w:sz w:val="20"/>
        </w:rPr>
        <w:t>The process of obtaining marketing approvals, both in the US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w:t>
      </w:r>
      <w:r>
        <w:rPr>
          <w:rFonts w:ascii="Arial" w:hAnsi="Arial"/>
          <w:b/>
          <w:color w:val="000000"/>
          <w:sz w:val="20"/>
        </w:rPr>
        <w:t xml:space="preserve">. </w:t>
      </w:r>
      <w:r>
        <w:rPr>
          <w:rFonts w:ascii="Arial" w:hAnsi="Arial"/>
          <w:color w:val="000000"/>
          <w:sz w:val="20"/>
        </w:rPr>
        <w:t>For instance, the EU pharmaceutical legislation has been undergoing a complete review process. The European Commission’s proposed changes would affect the duration of regulatory data protection and market protection, including for orphan medicinal products, revising the eligibility for expedited pathways, etc. The changes have not yet been formally adopted. The proposed changes are not expected to enter into application before 2028 and may have a significant impact on the pharmaceutical industry and our business in the long term.</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bidi w:val="0"/>
        <w:spacing w:before="120" w:after="283"/>
        <w:jc w:val="left"/>
        <w:rPr>
          <w:rFonts w:ascii="Arial" w:hAnsi="Arial"/>
          <w:color w:val="000000"/>
          <w:sz w:val="20"/>
        </w:rPr>
      </w:pPr>
      <w:r>
        <w:rPr>
          <w:rFonts w:ascii="Arial" w:hAnsi="Arial"/>
          <w:color w:val="000000"/>
          <w:sz w:val="20"/>
        </w:rPr>
        <w:t xml:space="preserve">If we experience delays in obtaining approval or if we fail to obtain approval of any product candidates we may develop, the commercial prospects for those product candidates may be harmed, and our ability to generate product revenue will be materially impaired. </w:t>
      </w:r>
    </w:p>
    <w:p>
      <w:pPr>
        <w:pStyle w:val="TextBody"/>
        <w:bidi w:val="0"/>
        <w:spacing w:before="240" w:after="283"/>
        <w:jc w:val="left"/>
        <w:rPr>
          <w:rFonts w:ascii="Arial" w:hAnsi="Arial"/>
          <w:sz w:val="20"/>
        </w:rPr>
      </w:pPr>
      <w:r>
        <w:rPr>
          <w:rFonts w:ascii="Arial" w:hAnsi="Arial"/>
          <w:b/>
          <w:i/>
          <w:color w:val="000000"/>
          <w:sz w:val="20"/>
        </w:rPr>
        <w:t>Even if we obtain FDA approval of any of our product candidates, we may never obtain approval or commercialize such products outside of the US, which would limit our ability to realize their full market potential.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order to market any products outside of the US,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as an organization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 </w:t>
      </w:r>
    </w:p>
    <w:p>
      <w:pPr>
        <w:pStyle w:val="TextBody"/>
        <w:bidi w:val="0"/>
        <w:spacing w:before="240" w:after="283"/>
        <w:jc w:val="left"/>
        <w:rPr>
          <w:rFonts w:ascii="Arial" w:hAnsi="Arial"/>
          <w:sz w:val="20"/>
        </w:rPr>
      </w:pPr>
      <w:r>
        <w:rPr>
          <w:rFonts w:ascii="Arial" w:hAnsi="Arial"/>
          <w:b/>
          <w:i/>
          <w:color w:val="000000"/>
          <w:sz w:val="20"/>
        </w:rPr>
        <w:t>Even if a current or future product candidate receives marketing approval, it may fail to achieve the degree of market acceptance by physicians, patients, third-party payors and others in the medical community necessary for commercial success.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oral antiviral products are well established in the medical community for the treatment of HCV and doctors and other prescribers may continue to rely on these therapies.</w:t>
      </w:r>
    </w:p>
    <w:p>
      <w:pPr>
        <w:pStyle w:val="TextBody"/>
        <w:bidi w:val="0"/>
        <w:spacing w:before="120" w:after="283"/>
        <w:jc w:val="left"/>
        <w:rPr>
          <w:rFonts w:ascii="Arial" w:hAnsi="Arial"/>
          <w:color w:val="000000"/>
          <w:sz w:val="20"/>
        </w:rPr>
      </w:pPr>
      <w:r>
        <w:rPr>
          <w:rFonts w:ascii="Arial" w:hAnsi="Arial"/>
          <w:color w:val="000000"/>
          <w:sz w:val="20"/>
        </w:rPr>
        <w:t xml:space="preserve">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continued longevity of any market for which we develop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efficacy and potential advantages, including convenience, duration of treatment and ease of administration, of our product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prevalence and severity of any side effects associated with our product relative to any alternative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willingness of the target patient population to try new therapies and of physicians and other healthcare providers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strength and effectiveness of sales,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to patients of our treatment regimens in relation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to obtain sufficient adequate reimbursement from third-parties as well as the impact of any agreements among any competitor and any third party payor limiting access to our product.</w:t>
      </w:r>
    </w:p>
    <w:p>
      <w:pPr>
        <w:pStyle w:val="TextBody"/>
        <w:bidi w:val="0"/>
        <w:spacing w:before="240" w:after="283"/>
        <w:jc w:val="left"/>
        <w:rPr>
          <w:rFonts w:ascii="Arial" w:hAnsi="Arial"/>
          <w:b/>
          <w:i/>
          <w:color w:val="000000"/>
          <w:sz w:val="20"/>
        </w:rPr>
      </w:pPr>
      <w:r>
        <w:rPr>
          <w:rFonts w:ascii="Arial" w:hAnsi="Arial"/>
          <w:b/>
          <w:i/>
          <w:color w:val="000000"/>
          <w:sz w:val="20"/>
        </w:rPr>
        <w:t>If the market opportunities for our product candidates are smaller than we believe they are or any approval we obtain is based on a narrower definition of the patient population, our business may suffer.</w:t>
      </w:r>
    </w:p>
    <w:p>
      <w:pPr>
        <w:pStyle w:val="TextBody"/>
        <w:bidi w:val="0"/>
        <w:spacing w:before="120" w:after="283"/>
        <w:jc w:val="left"/>
        <w:rPr>
          <w:rFonts w:ascii="Arial" w:hAnsi="Arial"/>
          <w:color w:val="000000"/>
          <w:sz w:val="20"/>
        </w:rPr>
      </w:pPr>
      <w:r>
        <w:rPr>
          <w:rFonts w:ascii="Arial" w:hAnsi="Arial"/>
          <w:color w:val="000000"/>
          <w:sz w:val="20"/>
        </w:rPr>
        <w:t>We currently focus on the discovery and development of product candidates for the treatment of serious viral diseases. Our eligible patient population, pricing estimates and available coverage and reimbursement may differ significantly from the actual market addressable by our product candidates. Our estimates of the number of people who have these diseases, the subset of people with these diseases who have the potential to benefit from treatment with our product candidates, and the market demand for our product candidates are based on our beliefs and analyses. These estimates have been derived from a variety of sources, including the scientific literature, current third-party data regarding prescriptions dispensed, and market research, and may prove to be incorrect. The number of patients may turn out to be lower than expected. Likewise, the potentially addressable patient population for our product candidates may be limited or may not be receptive to treatment with our product candidates, and new patients may become increasingly difficult to identify or access. Additionally, the availability of superior or competitive therapies from our competitors could negatively impact or eliminate market demand for our product candidates. If the market opportunities for our product candidates are smaller than we estimate, it could have an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Disruptions at the FDA and foreign regulatory authorities caused by funding shortages, staffing limitations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ability of the FDA and foreign regulatory authorities to review or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including a rapid substantial influx of applications from numerous sponsors as occurred with COVID-19.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in recent years, the US government has shut down and certain regulatory agencies, such as the FDA, have had to furlough critical FDA employees and stop critical activities. Additionally, government efficiency initiatives, including initiatives and programs recently undertaken in the US, have resulted in a number of employees leaving the FDA which may affect the ability of the agency to process our regulatory submissions which may adversely impact our ability to timely complete critical activities associated with the development of our HCV product candidate.</w:t>
      </w:r>
    </w:p>
    <w:p>
      <w:pPr>
        <w:pStyle w:val="TextBody"/>
        <w:bidi w:val="0"/>
        <w:spacing w:before="120" w:after="283"/>
        <w:jc w:val="left"/>
        <w:rPr>
          <w:rFonts w:ascii="Arial" w:hAnsi="Arial"/>
          <w:color w:val="000000"/>
          <w:sz w:val="20"/>
        </w:rPr>
      </w:pPr>
      <w:r>
        <w:rPr>
          <w:rFonts w:ascii="Arial" w:hAnsi="Arial"/>
          <w:color w:val="000000"/>
          <w:sz w:val="20"/>
        </w:rPr>
        <w:t xml:space="preserve">If a prolonged government shutdown occurs, or funding shortages, staffing limitations, or global health concerns similar to the COVID-19 pandemic prevent the FDA or other regulatory authorities from conducting their regular inspections, reviews, or other regulatory activities on a timely basis, it could significantly impact the ability of the FDA or other regulatory authorities to timely review and process our regulatory submissions, which could have a material adverse effect on our business. </w:t>
      </w:r>
    </w:p>
    <w:p>
      <w:pPr>
        <w:pStyle w:val="TextBody"/>
        <w:bidi w:val="0"/>
        <w:spacing w:before="240" w:after="283"/>
        <w:jc w:val="left"/>
        <w:rPr>
          <w:rFonts w:ascii="Arial" w:hAnsi="Arial"/>
          <w:sz w:val="20"/>
        </w:rPr>
      </w:pPr>
      <w:r>
        <w:rPr>
          <w:rFonts w:ascii="Arial" w:hAnsi="Arial"/>
          <w:b/>
          <w:i/>
          <w:color w:val="000000"/>
          <w:sz w:val="20"/>
        </w:rPr>
        <w:t>Our insurance policies are expensive and protect us only from some business risks, which leaves us exposed to significant uninsured liabilities.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Though we have insurance coverage for clinical trial product liability, we do not carry insurance for all categories of risk that our business may encounter. Some of the additional policies we currently maintain include general liability, property, auto, workers’ compensation, cybersecurity, umbrella, and directors’ and officers’ insurance. </w:t>
      </w:r>
    </w:p>
    <w:p>
      <w:pPr>
        <w:pStyle w:val="TextBody"/>
        <w:bidi w:val="0"/>
        <w:spacing w:before="120" w:after="283"/>
        <w:jc w:val="left"/>
        <w:rPr>
          <w:rFonts w:ascii="Arial" w:hAnsi="Arial"/>
          <w:color w:val="000000"/>
          <w:sz w:val="20"/>
        </w:rPr>
      </w:pPr>
      <w:r>
        <w:rPr>
          <w:rFonts w:ascii="Arial" w:hAnsi="Arial"/>
          <w:color w:val="000000"/>
          <w:sz w:val="20"/>
        </w:rPr>
        <w:t xml:space="preserve">As a part of the clinical trial regulatory submission process, in many countries, we are required to provide local insurance coverage covering claims that persons associated with the clinical trial may assert if they are or believe they are injured as a result of participation in the clinical trial or contact with the investigational product candidate being studied in the clinical trial. These local insurance policies can be time consuming to obtain which may delay the anticipated start of a clinical trial in a particular country. Additionally, these local insurance policies may not cover all the claims an injured party may assert and may be insufficient to cover the losses associated with our defense of the claim and any judgment against us that may result. </w:t>
      </w:r>
    </w:p>
    <w:p>
      <w:pPr>
        <w:pStyle w:val="TextBody"/>
        <w:bidi w:val="0"/>
        <w:spacing w:before="120" w:after="283"/>
        <w:jc w:val="left"/>
        <w:rPr>
          <w:rFonts w:ascii="Arial" w:hAnsi="Arial"/>
          <w:color w:val="000000"/>
          <w:sz w:val="20"/>
        </w:rPr>
      </w:pPr>
      <w:r>
        <w:rPr>
          <w:rFonts w:ascii="Arial" w:hAnsi="Arial"/>
          <w:color w:val="000000"/>
          <w:sz w:val="20"/>
        </w:rPr>
        <w:t xml:space="preserve">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are for claims not covered by or are in amounts that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from biological or hazardous waste, we could be held liable for damages or be penalized with fines in an amount exceeding our resources, and our clinical trials or regulatory approvals could be suspended. </w:t>
      </w:r>
    </w:p>
    <w:p>
      <w:pPr>
        <w:pStyle w:val="TextBody"/>
        <w:bidi w:val="0"/>
        <w:spacing w:before="120" w:after="283"/>
        <w:jc w:val="left"/>
        <w:rPr>
          <w:rFonts w:ascii="Arial" w:hAnsi="Arial"/>
          <w:color w:val="000000"/>
          <w:sz w:val="20"/>
        </w:rPr>
      </w:pPr>
      <w:r>
        <w:rPr>
          <w:rFonts w:ascii="Arial" w:hAnsi="Arial"/>
          <w:color w:val="000000"/>
          <w:sz w:val="20"/>
        </w:rPr>
        <w:t xml:space="preserve">Operating as a public company has in the past and may in the future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executive officers. We do not know if we will be able to maintain existing insurance with adequate levels of coverage. Any significant uninsured liability may require us to pay substantial amounts, which would adversely affect our cash and cash equivalents position and results of operations. </w:t>
      </w:r>
    </w:p>
    <w:p>
      <w:pPr>
        <w:pStyle w:val="TextBody"/>
        <w:bidi w:val="0"/>
        <w:spacing w:before="240" w:after="283"/>
        <w:jc w:val="left"/>
        <w:rPr>
          <w:rFonts w:ascii="Arial" w:hAnsi="Arial"/>
          <w:sz w:val="20"/>
        </w:rPr>
      </w:pPr>
      <w:r>
        <w:rPr>
          <w:rFonts w:ascii="Arial" w:hAnsi="Arial"/>
          <w:b/>
          <w:i/>
          <w:color w:val="000000"/>
          <w:sz w:val="20"/>
        </w:rPr>
        <w:t>Our business and operations may suffer in the event of information technology system failures, cyberattacks, or deficiencies, which could materially affect our results.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information technology systems, as well as those of our CROs and other contractors and consultants, are vulnerable to attack, failure and damage from computer viruses and other malware (e.g., ransomware), unauthorized access or other cybersecurity attacks, malfeasance by external or internal parties, human error (e.g., social engineering, phishing),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w:t>
      </w:r>
    </w:p>
    <w:p>
      <w:pPr>
        <w:pStyle w:val="TextBody"/>
        <w:bidi w:val="0"/>
        <w:spacing w:before="120" w:after="283"/>
        <w:jc w:val="left"/>
        <w:rPr>
          <w:rFonts w:ascii="Arial" w:hAnsi="Arial"/>
          <w:color w:val="000000"/>
          <w:sz w:val="20"/>
        </w:rPr>
      </w:pPr>
      <w:r>
        <w:rPr>
          <w:rFonts w:ascii="Arial" w:hAnsi="Arial"/>
          <w:color w:val="000000"/>
          <w:sz w:val="20"/>
        </w:rPr>
        <w:t xml:space="preserve">Despite security measures that we and our critical third parties (e.g., service providers and collaborators) implement, our information technology systems may be vulnerable to attacks by hackers or internal bad actors, or breached due to human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We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(“AI”), that are designed to circumvent controls, to avoid detection, and to remove or obfuscate forensic evidence. </w:t>
      </w:r>
    </w:p>
    <w:p>
      <w:pPr>
        <w:pStyle w:val="TextBody"/>
        <w:bidi w:val="0"/>
        <w:spacing w:before="120" w:after="283"/>
        <w:jc w:val="left"/>
        <w:rPr>
          <w:rFonts w:ascii="Arial" w:hAnsi="Arial"/>
          <w:color w:val="000000"/>
          <w:sz w:val="20"/>
        </w:rPr>
      </w:pPr>
      <w:r>
        <w:rPr>
          <w:rFonts w:ascii="Arial" w:hAnsi="Arial"/>
          <w:color w:val="000000"/>
          <w:sz w:val="20"/>
        </w:rPr>
        <w:t xml:space="preserve">Additionally, integration of AI in our or any third party’s operations, products or services is expected to pose new or unknown cybersecurity risks and challenges. We cannot assure you that our data protection efforts and our investment in information technology will prevent significant breakdowns, data leakages or breaches in our systems or those of our CROs and other contractors and consultants or that any such significant breakdowns, data leakages or breaches will be timely discovered, disclosed (if applicable) and remediated. </w:t>
      </w:r>
    </w:p>
    <w:p>
      <w:pPr>
        <w:pStyle w:val="TextBody"/>
        <w:bidi w:val="0"/>
        <w:spacing w:before="120" w:after="283"/>
        <w:jc w:val="left"/>
        <w:rPr>
          <w:rFonts w:ascii="Arial" w:hAnsi="Arial"/>
          <w:color w:val="000000"/>
          <w:sz w:val="20"/>
        </w:rPr>
      </w:pPr>
      <w:r>
        <w:rPr>
          <w:rFonts w:ascii="Arial" w:hAnsi="Arial"/>
          <w:color w:val="000000"/>
          <w:sz w:val="20"/>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product candidate development programs. For example, the loss of data from completed, ongoing or planned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the further development of our product candidates could be delayed and the cost of such further product candidate development could be increased. There can be no assurance that our cybersecurity risk management program and processes, including our policies, controls or procedures, will be fully implemented, complied with or effective in protecting our information technology systems and confidential information.</w:t>
      </w:r>
    </w:p>
    <w:p>
      <w:pPr>
        <w:pStyle w:val="TextBody"/>
        <w:bidi w:val="0"/>
        <w:spacing w:before="120" w:after="283"/>
        <w:jc w:val="left"/>
        <w:rPr>
          <w:rFonts w:ascii="Arial" w:hAnsi="Arial"/>
          <w:color w:val="000000"/>
          <w:sz w:val="20"/>
        </w:rPr>
      </w:pPr>
      <w:r>
        <w:rPr>
          <w:rFonts w:ascii="Arial" w:hAnsi="Arial"/>
          <w:color w:val="000000"/>
          <w:sz w:val="20"/>
        </w:rPr>
        <w:t xml:space="preserve">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and increase the cost of our clinical development of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our product candidates. Further, our insurance coverage may not be sufficient to cover the financial, legal, business or reputational losses that may result from an interruption or breach of our systems.</w:t>
      </w:r>
    </w:p>
    <w:p>
      <w:pPr>
        <w:pStyle w:val="TextBody"/>
        <w:bidi w:val="0"/>
        <w:spacing w:before="240" w:after="283"/>
        <w:jc w:val="left"/>
        <w:rPr>
          <w:rFonts w:ascii="Arial" w:hAnsi="Arial"/>
          <w:sz w:val="20"/>
        </w:rPr>
      </w:pPr>
      <w:r>
        <w:rPr>
          <w:rFonts w:ascii="Arial" w:hAnsi="Arial"/>
          <w:b/>
          <w:color w:val="000000"/>
          <w:sz w:val="20"/>
        </w:rPr>
        <w:t>Risks Related to Healthcare Laws and Other Legal Compliance Matters</w:t>
      </w:r>
      <w:r>
        <w:rPr>
          <w:rFonts w:ascii="Arial" w:hAnsi="Arial"/>
          <w:color w:val="000000"/>
          <w:sz w:val="20"/>
        </w:rPr>
        <w:t xml:space="preserve"> </w:t>
      </w:r>
    </w:p>
    <w:p>
      <w:pPr>
        <w:pStyle w:val="TextBody"/>
        <w:bidi w:val="0"/>
        <w:spacing w:before="120" w:after="283"/>
        <w:jc w:val="left"/>
        <w:rPr>
          <w:rFonts w:ascii="Arial" w:hAnsi="Arial"/>
          <w:sz w:val="20"/>
        </w:rPr>
      </w:pPr>
      <w:r>
        <w:rPr>
          <w:rFonts w:ascii="Arial" w:hAnsi="Arial"/>
          <w:b/>
          <w:i/>
          <w:color w:val="000000"/>
          <w:sz w:val="20"/>
        </w:rPr>
        <w:t>We are subject to extensive and costly government regulation.</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product candidates will be subject to extensive and rigorous domestic government regulation, including regulation and oversight by the FDA, the US Centers for Medicare &amp; Medicaid Services (“CMS”), other divisions of US Department of Health &amp; Human Services (“HHS”), the US Department of Justice, state and local governments, and their respective equivalents outside of the US. The FDA regulates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Such foreign regulation may be equally or more demanding than corresponding US regulation. </w:t>
      </w:r>
    </w:p>
    <w:p>
      <w:pPr>
        <w:pStyle w:val="TextBody"/>
        <w:bidi w:val="0"/>
        <w:spacing w:before="120" w:after="283"/>
        <w:jc w:val="left"/>
        <w:rPr>
          <w:rFonts w:ascii="Arial" w:hAnsi="Arial"/>
          <w:color w:val="000000"/>
          <w:sz w:val="20"/>
        </w:rPr>
      </w:pPr>
      <w:r>
        <w:rPr>
          <w:rFonts w:ascii="Arial" w:hAnsi="Arial"/>
          <w:color w:val="000000"/>
          <w:sz w:val="20"/>
        </w:rPr>
        <w:t xml:space="preserve">Government regulation substantially increases the cost and risk of researching, developing, manufacturing and, if approved, selling our products. The regulatory review and approval process, which includes preclinical testing and clinical trials of each product candidate, is lengthy, expensive and uncertain. We must obtain and maintain regulatory authorization to conduct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 </w:t>
      </w:r>
    </w:p>
    <w:p>
      <w:pPr>
        <w:pStyle w:val="TextBody"/>
        <w:bidi w:val="0"/>
        <w:spacing w:before="120" w:after="283"/>
        <w:jc w:val="left"/>
        <w:rPr>
          <w:rFonts w:ascii="Arial" w:hAnsi="Arial"/>
          <w:color w:val="000000"/>
          <w:sz w:val="20"/>
        </w:rPr>
      </w:pPr>
      <w:r>
        <w:rPr>
          <w:rFonts w:ascii="Arial" w:hAnsi="Arial"/>
          <w:color w:val="000000"/>
          <w:sz w:val="20"/>
        </w:rPr>
        <w:t xml:space="preserve">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 </w:t>
      </w:r>
    </w:p>
    <w:p>
      <w:pPr>
        <w:pStyle w:val="TextBody"/>
        <w:bidi w:val="0"/>
        <w:spacing w:before="120" w:after="283"/>
        <w:jc w:val="left"/>
        <w:rPr>
          <w:rFonts w:ascii="Arial" w:hAnsi="Arial"/>
          <w:color w:val="000000"/>
          <w:sz w:val="20"/>
        </w:rPr>
      </w:pPr>
      <w:r>
        <w:rPr>
          <w:rFonts w:ascii="Arial" w:hAnsi="Arial"/>
          <w:color w:val="000000"/>
          <w:sz w:val="20"/>
        </w:rPr>
        <w:t xml:space="preserve">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 </w:t>
      </w:r>
    </w:p>
    <w:p>
      <w:pPr>
        <w:pStyle w:val="TextBody"/>
        <w:bidi w:val="0"/>
        <w:spacing w:before="120" w:after="200"/>
        <w:jc w:val="both"/>
        <w:rPr>
          <w:rFonts w:ascii="Arial" w:hAnsi="Arial"/>
          <w:color w:val="000000"/>
          <w:sz w:val="20"/>
        </w:rPr>
      </w:pPr>
      <w:r>
        <w:rPr>
          <w:rFonts w:ascii="Arial" w:hAnsi="Arial"/>
          <w:color w:val="000000"/>
          <w:sz w:val="20"/>
        </w:rPr>
        <w:t>Moreover, our operations are broadly subject to an evolving regulatory environment. New and changing laws, regulations, executive orders and enforcement priorities can also create uncertainty about how such laws and regulations will be interpreted and applied, which may increase our costs or otherwise adversely impact our business and results of operations.</w:t>
      </w:r>
    </w:p>
    <w:p>
      <w:pPr>
        <w:pStyle w:val="TextBody"/>
        <w:bidi w:val="0"/>
        <w:spacing w:before="40" w:after="283"/>
        <w:jc w:val="left"/>
        <w:rPr>
          <w:rFonts w:ascii="Arial" w:hAnsi="Arial"/>
          <w:sz w:val="20"/>
        </w:rPr>
      </w:pPr>
      <w:r>
        <w:rPr>
          <w:rFonts w:ascii="Arial" w:hAnsi="Arial"/>
          <w:b/>
          <w:i/>
          <w:color w:val="000000"/>
          <w:sz w:val="20"/>
        </w:rPr>
        <w:t>Enacted and future legislation and policies may increase the difficulty and cost for us to commercialize our product candidates and could adversely affect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the US, the EU and other jurisdictions, there have been, and we expect there will continue to be, a number of legislative and regulatory changes and proposed changes to the healthcare system that could prevent or delay marketing approval of our product candidates,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including initiatives with the express purpose of eradicating HCV in the US. In addition, new regulations and interpretations of existing healthcare statutes and regulations are frequently adopted. We expect that current laws, as well as other healthcare reform measures that may be adopted in the future, may result in more rigorous coverage criteria and in additional downward pressure on the price that we may receive for our product. New and changing laws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and regulations may also create uncertainty about how such laws and regulations will be interpreted and applied. If we are found to have violated laws and regulations, it could materially adversely affect our business, results of operations and financial condition.</w:t>
      </w:r>
    </w:p>
    <w:p>
      <w:pPr>
        <w:pStyle w:val="TextBody"/>
        <w:bidi w:val="0"/>
        <w:spacing w:before="120" w:after="283"/>
        <w:jc w:val="left"/>
        <w:rPr>
          <w:rFonts w:ascii="Arial" w:hAnsi="Arial"/>
          <w:color w:val="000000"/>
          <w:sz w:val="20"/>
        </w:rPr>
      </w:pPr>
      <w:r>
        <w:rPr>
          <w:rFonts w:ascii="Arial" w:hAnsi="Arial"/>
          <w:color w:val="000000"/>
          <w:sz w:val="20"/>
        </w:rPr>
        <w:t xml:space="preserve">In March 2010, the Patient Protection and Affordable Care Act ("ACA"), was enacted, which substantially changed the way healthcare is financed in the US by both governmental and private insurers. Among the provisions of the ACA, those of greatest importance to the pharmaceutical and biotechnology industries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increases and changes in the statutory minimum rebates a manufacturer must pay under the Medicaid Drug Rebate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extension of a manufacturer’s Medicaid rebate liability to covered outpatient drugs dispensed to individuals who are enrolled in Medicaid managed care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Patient-Centered Outcomes Research Institute to oversee, identify priorities in, and conduct comparative clinical effectiveness research, along with funding for such research;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establishment of the Center for Medicare and Medicaid Innovation at CMS to test innovative payment and service delivery models to lower Medicare and Medicaid spending, potentially including prescription drug spending. </w:t>
      </w:r>
    </w:p>
    <w:p>
      <w:pPr>
        <w:pStyle w:val="TextBody"/>
        <w:bidi w:val="0"/>
        <w:spacing w:before="120" w:after="283"/>
        <w:jc w:val="left"/>
        <w:rPr>
          <w:rFonts w:ascii="Arial" w:hAnsi="Arial"/>
          <w:color w:val="000000"/>
          <w:sz w:val="20"/>
        </w:rPr>
      </w:pPr>
      <w:r>
        <w:rPr>
          <w:rFonts w:ascii="Arial" w:hAnsi="Arial"/>
          <w:color w:val="000000"/>
          <w:sz w:val="20"/>
        </w:rPr>
        <w:t xml:space="preserve">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120" w:after="283"/>
        <w:jc w:val="left"/>
        <w:rPr>
          <w:rFonts w:ascii="Arial" w:hAnsi="Arial"/>
          <w:sz w:val="20"/>
        </w:rPr>
      </w:pPr>
      <w:r>
        <w:rPr>
          <w:rFonts w:ascii="Arial" w:hAnsi="Arial"/>
          <w:color w:val="000000"/>
          <w:sz w:val="20"/>
        </w:rPr>
        <w:t>In addition, other legislative changes have been proposed and adopted in the US since the ACA was enacted. Most recently, t</w:t>
      </w:r>
      <w:r>
        <w:rPr>
          <w:rFonts w:ascii="Arial" w:hAnsi="Arial"/>
          <w:color w:val="231F20"/>
          <w:sz w:val="20"/>
        </w:rPr>
        <w:t xml:space="preserve">he One Big Beautiful Bill Act (the “OBBBA”), which was enacted in July 2025, imposes significant reductions in the funding of the Medicaid program. Such reductions in Medicaid funding are expected to decrease the number of persons enrolled in Medicaid and reduce the services covered by Medicaid, which could adversely affect demand for any products for which we receive approval. </w:t>
      </w:r>
      <w:r>
        <w:rPr>
          <w:rFonts w:ascii="Arial" w:hAnsi="Arial"/>
          <w:color w:val="000000"/>
          <w:sz w:val="20"/>
        </w:rPr>
        <w:t xml:space="preserve">The OBBBA </w:t>
      </w:r>
      <w:r>
        <w:rPr>
          <w:rFonts w:ascii="Arial" w:hAnsi="Arial"/>
          <w:color w:val="231F20"/>
          <w:sz w:val="20"/>
        </w:rPr>
        <w:t xml:space="preserve">also </w:t>
      </w:r>
      <w:r>
        <w:rPr>
          <w:rFonts w:ascii="Arial" w:hAnsi="Arial"/>
          <w:color w:val="000000"/>
          <w:sz w:val="20"/>
        </w:rPr>
        <w:t xml:space="preserve">modified federal income tax rules relating to the expensing of research and development costs, certain other capital expenditures and certain business interest expense. There can be no assurance that the OBBBA and any resulting administrative guidance would not adversely affect us and the tax consequences to an investor. </w:t>
      </w:r>
    </w:p>
    <w:p>
      <w:pPr>
        <w:pStyle w:val="TextBody"/>
        <w:bidi w:val="0"/>
        <w:spacing w:before="120" w:after="283"/>
        <w:jc w:val="left"/>
        <w:rPr>
          <w:rFonts w:ascii="Arial" w:hAnsi="Arial"/>
          <w:color w:val="000000"/>
          <w:sz w:val="20"/>
        </w:rPr>
      </w:pPr>
      <w:r>
        <w:rPr>
          <w:rFonts w:ascii="Arial" w:hAnsi="Arial"/>
          <w:color w:val="000000"/>
          <w:sz w:val="20"/>
        </w:rPr>
        <w:t xml:space="preserve">In August 2011, the Budget Control Act of 2011 imposed aggregate reductions of Medicare payments to providers, effective April 1, 2013, which, due to subsequent legislative amendments, will stay in effect through 2032. Further, on March 11, 2021, the American Rescue Plan Act of 2021 was signed into law, which eliminated the statutory Medicaid drug rebate cap, beginning January 1, 2024. The rebate was previously capped at 100% of a drug’s average manufacturer price. </w:t>
      </w:r>
    </w:p>
    <w:p>
      <w:pPr>
        <w:pStyle w:val="TextBody"/>
        <w:bidi w:val="0"/>
        <w:spacing w:before="120" w:after="283"/>
        <w:jc w:val="left"/>
        <w:rPr>
          <w:rFonts w:ascii="Arial" w:hAnsi="Arial"/>
          <w:color w:val="000000"/>
          <w:sz w:val="20"/>
        </w:rPr>
      </w:pPr>
      <w:r>
        <w:rPr>
          <w:rFonts w:ascii="Arial" w:hAnsi="Arial"/>
          <w:color w:val="000000"/>
          <w:sz w:val="20"/>
        </w:rPr>
        <w:t xml:space="preserve">Moreover, payment methodologies may be subject to other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executive orders and other executive branch initiatives, Congressional inquiries and proposed and enacted federal legislation designed to, among other things, bring more transparency to drug pricing, reduce the cost of prescription drugs under Medicare, and review the relationship between pricing and manufacturer patient programs. </w:t>
      </w:r>
    </w:p>
    <w:p>
      <w:pPr>
        <w:pStyle w:val="TextBody"/>
        <w:bidi w:val="0"/>
        <w:spacing w:before="120" w:after="283"/>
        <w:jc w:val="left"/>
        <w:rPr>
          <w:rFonts w:ascii="Arial" w:hAnsi="Arial"/>
          <w:color w:val="000000"/>
          <w:sz w:val="20"/>
        </w:rPr>
      </w:pPr>
      <w:r>
        <w:rPr>
          <w:rFonts w:ascii="Arial" w:hAnsi="Arial"/>
          <w:color w:val="000000"/>
          <w:sz w:val="20"/>
        </w:rPr>
        <w:t xml:space="preserve">Additionally, on August 16,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program (which began in 2025). The IRA permits the HHS Secretary to implement many of these provisions through guidance, as opposed to regulation, for the initial years. HHS has and will continue to issue and update guidance as these programs are implemented. CMS has published the negotiated prices for the initial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ten drugs, which went into effect in 2026, and the subsequent 15 drugs, which will first be effective in 2027. Each year thereafter, more Part B and Part D products will become subject to the HHS price negotiation program, although the program is currently subject to legal challenges. HHS has issued and will continue to issue guidance implementing the IRA. While the impact of the IRA on us and the pharmaceutical industry cannot yet be fully determined, it is likely to be significant. </w:t>
      </w:r>
    </w:p>
    <w:p>
      <w:pPr>
        <w:pStyle w:val="TextBody"/>
        <w:bidi w:val="0"/>
        <w:spacing w:before="120" w:after="283"/>
        <w:jc w:val="left"/>
        <w:rPr>
          <w:rFonts w:ascii="Arial" w:hAnsi="Arial"/>
          <w:color w:val="000000"/>
          <w:sz w:val="20"/>
        </w:rPr>
      </w:pPr>
      <w:r>
        <w:rPr>
          <w:rFonts w:ascii="Arial" w:hAnsi="Arial"/>
          <w:color w:val="000000"/>
          <w:sz w:val="20"/>
        </w:rPr>
        <w:t xml:space="preserve">The Trump administration is pursuing a two-fold strategy to reduce drug costs in the US. While it is unclear whether and how the Trump administration proposals will be implemented, the Trump administration policies are likely to have a negative impact on the pharmaceutical industry and on our ability to receive adequate revenues for our product candidates, if approved.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final regulations have not yet been published. Pharmaceutical pricing and marketing has long been the subject of considerable discussion in Congress and among policymakers, and it is possible that Congress could enact additional laws that negatively affect the pharmaceutical industry. </w:t>
      </w:r>
    </w:p>
    <w:p>
      <w:pPr>
        <w:pStyle w:val="TextBody"/>
        <w:bidi w:val="0"/>
        <w:spacing w:before="120" w:after="283"/>
        <w:jc w:val="left"/>
        <w:rPr>
          <w:rFonts w:ascii="Arial" w:hAnsi="Arial"/>
          <w:color w:val="000000"/>
          <w:sz w:val="20"/>
        </w:rPr>
      </w:pPr>
      <w:r>
        <w:rPr>
          <w:rFonts w:ascii="Arial" w:hAnsi="Arial"/>
          <w:color w:val="000000"/>
          <w:sz w:val="20"/>
        </w:rPr>
        <w:t xml:space="preserve">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w:t>
      </w:r>
    </w:p>
    <w:p>
      <w:pPr>
        <w:pStyle w:val="TextBody"/>
        <w:bidi w:val="0"/>
        <w:spacing w:before="120" w:after="283"/>
        <w:jc w:val="left"/>
        <w:rPr>
          <w:rFonts w:ascii="Arial" w:hAnsi="Arial"/>
          <w:color w:val="000000"/>
          <w:sz w:val="20"/>
        </w:rPr>
      </w:pPr>
      <w:r>
        <w:rPr>
          <w:rFonts w:ascii="Arial" w:hAnsi="Arial"/>
          <w:color w:val="000000"/>
          <w:sz w:val="20"/>
        </w:rPr>
        <w:t xml:space="preserve">Individual states in the US have also increasingly passed legislation and implemented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states and other regional healthcare authorities and individual hospitals are increasingly using bidding procedures to determine what pharmaceutical products and which suppliers will be included in their prescription drug and other healthcare programs. The states of Louisiana and Washington used bidding procedures in 2019 and more recently Minnesota did so in 2021 to secure contracts with suppliers of HCV antiviral therapeutics for certain populations including those covered by Medicare and those in correctional institutions. Other states are currently engaged in similar discussions, and similar programs are being proposed by US federal government legislators. The existing and future state, regional and individual hospital programs, and if enacted, any future federal program, could reduce the ultimate demand for our product candidates or put pressure on our product pricing. </w:t>
      </w:r>
    </w:p>
    <w:p>
      <w:pPr>
        <w:pStyle w:val="TextBody"/>
        <w:bidi w:val="0"/>
        <w:spacing w:before="120" w:after="283"/>
        <w:jc w:val="left"/>
        <w:rPr>
          <w:rFonts w:ascii="Arial" w:hAnsi="Arial"/>
          <w:color w:val="000000"/>
          <w:sz w:val="20"/>
        </w:rPr>
      </w:pPr>
      <w:r>
        <w:rPr>
          <w:rFonts w:ascii="Arial" w:hAnsi="Arial"/>
          <w:color w:val="000000"/>
          <w:sz w:val="20"/>
        </w:rPr>
        <w:t xml:space="preserve">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w:t>
      </w:r>
    </w:p>
    <w:p>
      <w:pPr>
        <w:pStyle w:val="TextBody"/>
        <w:bidi w:val="0"/>
        <w:spacing w:before="120" w:after="283"/>
        <w:jc w:val="left"/>
        <w:rPr>
          <w:rFonts w:ascii="Arial" w:hAnsi="Arial"/>
          <w:color w:val="000000"/>
          <w:sz w:val="20"/>
        </w:rPr>
      </w:pPr>
      <w:r>
        <w:rPr>
          <w:rFonts w:ascii="Arial" w:hAnsi="Arial"/>
          <w:color w:val="000000"/>
          <w:sz w:val="20"/>
        </w:rPr>
        <w:t xml:space="preserve">In markets outside of the US and the EU, reimbursement and healthcare payment systems vary significantly by country, and many countries have instituted price ceilings on specific products and therapies. </w:t>
      </w:r>
    </w:p>
    <w:p>
      <w:pPr>
        <w:pStyle w:val="TextBody"/>
        <w:bidi w:val="0"/>
        <w:spacing w:before="240" w:after="283"/>
        <w:jc w:val="left"/>
        <w:rPr>
          <w:rFonts w:ascii="Arial" w:hAnsi="Arial"/>
          <w:sz w:val="20"/>
        </w:rPr>
      </w:pPr>
      <w:r>
        <w:rPr>
          <w:rFonts w:ascii="Arial" w:hAnsi="Arial"/>
          <w:b/>
          <w:i/>
          <w:color w:val="000000"/>
          <w:sz w:val="20"/>
        </w:rPr>
        <w:t>Enacted and future legislation and policies may increase the difficulty and cost for us to obtain marketing approval of our product candidates and could adversely affect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the US,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w:t>
      </w:r>
    </w:p>
    <w:p>
      <w:pPr>
        <w:pStyle w:val="TextBody"/>
        <w:bidi w:val="0"/>
        <w:spacing w:before="120" w:after="283"/>
        <w:jc w:val="left"/>
        <w:rPr>
          <w:rFonts w:ascii="Arial" w:hAnsi="Arial"/>
          <w:color w:val="000000"/>
          <w:sz w:val="20"/>
        </w:rPr>
      </w:pPr>
      <w:r>
        <w:rPr>
          <w:rFonts w:ascii="Arial" w:hAnsi="Arial"/>
          <w:color w:val="000000"/>
          <w:sz w:val="20"/>
        </w:rPr>
        <w:t xml:space="preserve">We cannot predict the likelihood, nature or extent of government regulation that may arise from future legislation or administrative action in the US, the EU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 </w:t>
      </w:r>
    </w:p>
    <w:p>
      <w:pPr>
        <w:pStyle w:val="TextBody"/>
        <w:bidi w:val="0"/>
        <w:spacing w:before="240" w:after="283"/>
        <w:jc w:val="left"/>
        <w:rPr>
          <w:rFonts w:ascii="Arial" w:hAnsi="Arial"/>
          <w:sz w:val="20"/>
        </w:rPr>
      </w:pPr>
      <w:r>
        <w:rPr>
          <w:rFonts w:ascii="Arial" w:hAnsi="Arial"/>
          <w:b/>
          <w:i/>
          <w:color w:val="000000"/>
          <w:sz w:val="20"/>
        </w:rPr>
        <w:t>Even if we obtain regulatory approval for a product candidate, our products will remain subject to regulatory scrutiny and post-marketing requirements.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groups specified by, among other things, age or medical condition, warnings, precautions or contraindications, and may include burdensome post-approval study or risk management requirements. For example, the FDA may require a Risk Evaluation and Mitigation Strategy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any of our product candidates is approved, it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Manufacturers and manufacturers’ facilities are required to comply with extensive FDA and comparable foreign regulatory authority requirements, including ensuring that quality control and manufacturing procedures conform to cGMP and similar regulations. As such, we and our CMOs will be subject to continual review and inspections to assess compliance with cGMP and similar requirements and adherence to commitments made in any approved marketing application.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Arial" w:hAnsi="Arial"/>
          <w:color w:val="000000"/>
          <w:sz w:val="20"/>
        </w:rPr>
      </w:pPr>
      <w:r>
        <w:rPr>
          <w:rFonts w:ascii="Arial" w:hAnsi="Arial"/>
          <w:color w:val="000000"/>
          <w:sz w:val="20"/>
        </w:rPr>
        <w:t xml:space="preserve">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issue 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suspend or withdraw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suspend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impose restrictions on our operations, including closing our CMO’s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seize or detain products, or require a product recall. </w:t>
      </w:r>
    </w:p>
    <w:p>
      <w:pPr>
        <w:pStyle w:val="TextBody"/>
        <w:bidi w:val="0"/>
        <w:spacing w:before="120" w:after="283"/>
        <w:jc w:val="left"/>
        <w:rPr>
          <w:rFonts w:ascii="Arial" w:hAnsi="Arial"/>
          <w:color w:val="000000"/>
          <w:sz w:val="20"/>
        </w:rPr>
      </w:pPr>
      <w:r>
        <w:rPr>
          <w:rFonts w:ascii="Arial" w:hAnsi="Arial"/>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any regulatory approval is withdrawn, our business will be seriously harmed. </w:t>
      </w:r>
    </w:p>
    <w:p>
      <w:pPr>
        <w:pStyle w:val="TextBody"/>
        <w:bidi w:val="0"/>
        <w:spacing w:before="120" w:after="283"/>
        <w:jc w:val="left"/>
        <w:rPr>
          <w:rFonts w:ascii="Arial" w:hAnsi="Arial"/>
          <w:color w:val="000000"/>
          <w:sz w:val="20"/>
        </w:rPr>
      </w:pPr>
      <w:r>
        <w:rPr>
          <w:rFonts w:ascii="Arial" w:hAnsi="Arial"/>
          <w:color w:val="000000"/>
          <w:sz w:val="20"/>
        </w:rPr>
        <w:t xml:space="preserve">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If we are slow or unable to adapt to changes in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existing requirements or the adoption of new requirements or policies, or if we are not able to maintain regulatory compliance, we may be subject to enforcement action, and we may not achieve or sustain profitability.</w:t>
      </w:r>
    </w:p>
    <w:p>
      <w:pPr>
        <w:pStyle w:val="TextBody"/>
        <w:bidi w:val="0"/>
        <w:spacing w:before="240" w:after="283"/>
        <w:jc w:val="left"/>
        <w:rPr>
          <w:rFonts w:ascii="Arial" w:hAnsi="Arial"/>
          <w:sz w:val="20"/>
        </w:rPr>
      </w:pPr>
      <w:r>
        <w:rPr>
          <w:rFonts w:ascii="Arial" w:hAnsi="Arial"/>
          <w:b/>
          <w:i/>
          <w:color w:val="000000"/>
          <w:sz w:val="20"/>
        </w:rPr>
        <w:t>The FDA and other regulatory agencies actively enforce the laws and regulations prohibiting the promotion of off-label uses.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 </w:t>
      </w:r>
    </w:p>
    <w:p>
      <w:pPr>
        <w:pStyle w:val="TextBody"/>
        <w:bidi w:val="0"/>
        <w:spacing w:before="240" w:after="283"/>
        <w:jc w:val="left"/>
        <w:rPr>
          <w:rFonts w:ascii="Arial" w:hAnsi="Arial"/>
          <w:sz w:val="20"/>
        </w:rPr>
      </w:pPr>
      <w:r>
        <w:rPr>
          <w:rFonts w:ascii="Arial" w:hAnsi="Arial"/>
          <w:b/>
          <w:i/>
          <w:color w:val="000000"/>
          <w:sz w:val="20"/>
        </w:rPr>
        <w:t>Our business operations and current and future relationships with clinical trial investigators, healthcare professionals, consultants, third-party payors, patient organizations and customers will be subject to applicable healthcare regulatory laws, which could expose us to penalties.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business operations and current and future arrangements with clinical trial investigators, other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and if approved, market, sell and distribute our product candidates. Such laws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civil and criminal false claims laws, including the civil False Claims Act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Arial" w:hAnsi="Arial"/>
          <w:color w:val="000000"/>
          <w:sz w:val="20"/>
        </w:rPr>
        <w:t>practitioner or supplier of services reimbursable by Medicare or a state healthcare program, unless an exception applies;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FDCA, which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 federal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the physicians described above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US federal price reporting laws, which require manufacturers to calculate and report complex pricing metrics to government programs, where reported prices may be used in the calculation of reimbursement and/or discounts on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US federal consumer protection and unfair competition laws, which broadly regulate marketplace activities and activities that potentially harm consumers;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similar healthcare laws and regulations in the EU and other jurisdictions, including reporting requirements detailing interactions with and payments to healthcare providers. </w:t>
      </w:r>
    </w:p>
    <w:p>
      <w:pPr>
        <w:pStyle w:val="TextBody"/>
        <w:bidi w:val="0"/>
        <w:spacing w:before="120" w:after="283"/>
        <w:jc w:val="left"/>
        <w:rPr>
          <w:rFonts w:ascii="Arial" w:hAnsi="Arial"/>
          <w:color w:val="000000"/>
          <w:sz w:val="20"/>
        </w:rPr>
      </w:pPr>
      <w:r>
        <w:rPr>
          <w:rFonts w:ascii="Arial" w:hAnsi="Arial"/>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left"/>
        <w:rPr>
          <w:rFonts w:ascii="Arial" w:hAnsi="Arial"/>
          <w:sz w:val="20"/>
        </w:rPr>
      </w:pPr>
      <w:r>
        <w:rPr>
          <w:rFonts w:ascii="Arial" w:hAnsi="Arial"/>
          <w:b/>
          <w:i/>
          <w:color w:val="000000"/>
          <w:sz w:val="20"/>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subject to diverse laws and regulations relating to data privacy and security. New privacy rules are being enacted in the US and globally, and existing ones are being updated and strengthened.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Any liability from failure to comply with the requirements of applicable data privacy and data protection laws could adversely affect our financial condition. </w:t>
      </w:r>
    </w:p>
    <w:p>
      <w:pPr>
        <w:pStyle w:val="TextBody"/>
        <w:bidi w:val="0"/>
        <w:spacing w:before="120" w:after="283"/>
        <w:jc w:val="left"/>
        <w:rPr>
          <w:rFonts w:ascii="Arial" w:hAnsi="Arial"/>
          <w:color w:val="000000"/>
          <w:sz w:val="20"/>
        </w:rPr>
      </w:pPr>
      <w:r>
        <w:rPr>
          <w:rFonts w:ascii="Arial" w:hAnsi="Arial"/>
          <w:color w:val="000000"/>
          <w:sz w:val="20"/>
        </w:rPr>
        <w:t xml:space="preserve">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third-party, could adversely affect our business, our operations abroad, financial condition and results of operations. Such adverse effects may include, but are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w:t>
      </w:r>
    </w:p>
    <w:p>
      <w:pPr>
        <w:pStyle w:val="TextBody"/>
        <w:bidi w:val="0"/>
        <w:spacing w:before="120" w:after="283"/>
        <w:jc w:val="left"/>
        <w:rPr>
          <w:rFonts w:ascii="Arial" w:hAnsi="Arial"/>
          <w:color w:val="000000"/>
          <w:sz w:val="20"/>
        </w:rPr>
      </w:pPr>
      <w:r>
        <w:rPr>
          <w:rFonts w:ascii="Arial" w:hAnsi="Arial"/>
          <w:color w:val="000000"/>
          <w:sz w:val="20"/>
        </w:rPr>
        <w:t>Our operations abroad, including the clinical trials we conduct outside the US, may also be subject to scrutiny or attention from data protection authorities. For example, the EU General Data Protection Regulation ("GDPR") went into effect in May 2018, and imposes strict requirements for processing the personal data of individuals within the EEA or in the context of our activities in the EEA. The GDPR and related implementing laws in individual EU member states govern the collection and use of health data and other personal data in the EU including the personal data processed by companies outside the EU in connection with the offering of goods or services to individuals in the EU or the monitoring of their behavior (including in the context of clinical trials). We and other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the foregoing, a breach of the GDPR could result in regulatory investigations, reputational damage, orders to cease / change our processing of our data, enforcement notices, and/ or assessment notices (for a compulsory audit). We and other companies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pStyle w:val="TextBody"/>
        <w:bidi w:val="0"/>
        <w:spacing w:before="120" w:after="283"/>
        <w:jc w:val="left"/>
        <w:rPr>
          <w:rFonts w:ascii="Arial" w:hAnsi="Arial"/>
          <w:color w:val="000000"/>
          <w:sz w:val="20"/>
        </w:rPr>
      </w:pPr>
      <w:r>
        <w:rPr>
          <w:rFonts w:ascii="Arial" w:hAnsi="Arial"/>
          <w:color w:val="000000"/>
          <w:sz w:val="20"/>
        </w:rPr>
        <w:t xml:space="preserve">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US remains uncertain. On July 10, 2023, the European Commission adopted its Adequacy Decision in relation to the new EU-US Data Privacy Framework (“DPF”), rendering the DPF effective as a GDPR transfer mechanism to US entities self-certified under the DPF. As supervisory authorities issue further guidance on personal data export mechanisms, including circumstances where the standard contractual clauses cannot be used, and/or start taking enforcement action, we could incur additional costs, and may be subject to complaints and/or regulatory investigations or fines, and/or if we are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otherwise unable to transfer personal data between and among countries and regions in which we operate, it could affect the manner in which we conduct our business, the geographical location or segregation of our relevant systems and operations, and could adversely affect our financial results.</w:t>
      </w:r>
    </w:p>
    <w:p>
      <w:pPr>
        <w:pStyle w:val="TextBody"/>
        <w:bidi w:val="0"/>
        <w:spacing w:before="120" w:after="283"/>
        <w:jc w:val="left"/>
        <w:rPr>
          <w:rFonts w:ascii="Arial" w:hAnsi="Arial"/>
          <w:color w:val="000000"/>
          <w:sz w:val="20"/>
        </w:rPr>
      </w:pPr>
      <w:r>
        <w:rPr>
          <w:rFonts w:ascii="Arial" w:hAnsi="Arial"/>
          <w:color w:val="000000"/>
          <w:sz w:val="20"/>
        </w:rPr>
        <w:t>In addition, since January 1, 2021, after the end of the transition period following the UK’s departure from the EU, we are also subject to the UK data protection regime (the UK GDPR and UK Data Protection Act 2018), which imposes separate but similar obligations to those under the GDPR and comparable penalties, including fines of up to £17.5 million or 4% of a noncompliant company’s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pStyle w:val="TextBody"/>
        <w:bidi w:val="0"/>
        <w:spacing w:before="120" w:after="283"/>
        <w:jc w:val="left"/>
        <w:rPr>
          <w:rFonts w:ascii="Arial" w:hAnsi="Arial"/>
          <w:color w:val="000000"/>
          <w:sz w:val="20"/>
        </w:rPr>
      </w:pPr>
      <w:r>
        <w:rPr>
          <w:rFonts w:ascii="Arial" w:hAnsi="Arial"/>
          <w:color w:val="000000"/>
          <w:sz w:val="20"/>
        </w:rPr>
        <w:t xml:space="preserve">We cannot assure you that our CROs or other third-party service providers with access to our or our suppliers’, trial patients’, investigators and clinical site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We face potential liability related to the privacy of health information we obtain from clinical trials sponsored by us.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p>
      <w:pPr>
        <w:pStyle w:val="TextBody"/>
        <w:bidi w:val="0"/>
        <w:spacing w:before="120" w:after="283"/>
        <w:jc w:val="left"/>
        <w:rPr>
          <w:rFonts w:ascii="Arial" w:hAnsi="Arial"/>
          <w:color w:val="000000"/>
          <w:sz w:val="20"/>
        </w:rPr>
      </w:pPr>
      <w:r>
        <w:rPr>
          <w:rFonts w:ascii="Arial" w:hAnsi="Arial"/>
          <w:color w:val="000000"/>
          <w:sz w:val="20"/>
        </w:rPr>
        <w:t>We, our CROs and third-party service providers receive and maintain sensitive information, including health-related information, that we receive throughout the clinical trial process and in the course of our research collaborations. As such, we may also be subject to state laws, requiring notification of affected individuals and state regulators in the event of a breach of personal information, which is a broader class of information than the health information protected by HIPAA. Our clinical trial programs and other activities outside the US may implicate international data protection laws, including the UK GDPR, GDPR and legislation of the EU member states implementing it. In addition, the EU imposes obligations on the use of data generated from clinical trials and enables European patients to have the opportunity to access their personal data processed in the context of clinical trials.</w:t>
      </w:r>
    </w:p>
    <w:p>
      <w:pPr>
        <w:pStyle w:val="TextBody"/>
        <w:bidi w:val="0"/>
        <w:spacing w:before="120" w:after="283"/>
        <w:jc w:val="left"/>
        <w:rPr>
          <w:rFonts w:ascii="Arial" w:hAnsi="Arial"/>
          <w:color w:val="000000"/>
          <w:sz w:val="20"/>
        </w:rPr>
      </w:pPr>
      <w:r>
        <w:rPr>
          <w:rFonts w:ascii="Arial" w:hAnsi="Arial"/>
          <w:color w:val="000000"/>
          <w:sz w:val="20"/>
        </w:rPr>
        <w:t xml:space="preserve">Our activities outside the US impose additional compliance requirements and generate additional risks of enforcement for noncompliance. Failure by our CROs and other third-party contractors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Moreover, patients from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 </w:t>
      </w:r>
    </w:p>
    <w:p>
      <w:pPr>
        <w:pStyle w:val="TextBody"/>
        <w:bidi w:val="0"/>
        <w:spacing w:before="120" w:after="283"/>
        <w:jc w:val="left"/>
        <w:rPr>
          <w:rFonts w:ascii="Arial" w:hAnsi="Arial"/>
          <w:color w:val="000000"/>
          <w:sz w:val="20"/>
        </w:rPr>
      </w:pPr>
      <w:r>
        <w:rPr>
          <w:rFonts w:ascii="Arial" w:hAnsi="Arial"/>
          <w:color w:val="000000"/>
          <w:sz w:val="20"/>
        </w:rPr>
        <w:t xml:space="preserve">If we or third-party CMOs, CROs or other contractors or consultants fail to comply with applicable federal, state or foreign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 </w:t>
      </w:r>
    </w:p>
    <w:p>
      <w:pPr>
        <w:pStyle w:val="TextBody"/>
        <w:bidi w:val="0"/>
        <w:spacing w:before="240" w:after="283"/>
        <w:jc w:val="left"/>
        <w:rPr>
          <w:rFonts w:ascii="Arial" w:hAnsi="Arial"/>
          <w:b/>
          <w:i/>
          <w:color w:val="000000"/>
          <w:sz w:val="20"/>
        </w:rPr>
      </w:pPr>
      <w:r>
        <w:rPr>
          <w:rFonts w:ascii="Arial" w:hAnsi="Arial"/>
          <w:b/>
          <w:i/>
          <w:color w:val="000000"/>
          <w:sz w:val="20"/>
        </w:rPr>
        <w:t>Our business may be affected by the evolving regulatory framework relating to the use of AI.</w:t>
      </w:r>
    </w:p>
    <w:p>
      <w:pPr>
        <w:pStyle w:val="TextBody"/>
        <w:bidi w:val="0"/>
        <w:spacing w:before="120" w:after="283"/>
        <w:jc w:val="left"/>
        <w:rPr>
          <w:rFonts w:ascii="Arial" w:hAnsi="Arial"/>
          <w:color w:val="000000"/>
          <w:sz w:val="20"/>
        </w:rPr>
      </w:pPr>
      <w:r>
        <w:rPr>
          <w:rFonts w:ascii="Arial" w:hAnsi="Arial"/>
          <w:color w:val="000000"/>
          <w:sz w:val="20"/>
        </w:rPr>
        <w:t xml:space="preserve">We are increasing our use of AI tools and technology throughout our business. The regulatory framework for AI is rapidly evolving as many federal, state, and foreign government bodies and agencies have introduced or are currently considering additional laws and regulations. Additionally, existing laws and regulations may be interpreted in ways that would affect our use of AI. </w:t>
      </w:r>
    </w:p>
    <w:p>
      <w:pPr>
        <w:pStyle w:val="TextBody"/>
        <w:bidi w:val="0"/>
        <w:spacing w:before="120" w:after="283"/>
        <w:jc w:val="left"/>
        <w:rPr>
          <w:rFonts w:ascii="Arial" w:hAnsi="Arial"/>
          <w:color w:val="000000"/>
          <w:sz w:val="20"/>
        </w:rPr>
      </w:pPr>
      <w:r>
        <w:rPr>
          <w:rFonts w:ascii="Arial" w:hAnsi="Arial"/>
          <w:color w:val="000000"/>
          <w:sz w:val="20"/>
        </w:rPr>
        <w:t xml:space="preserve">It is possible that new laws and regulations will be adopted in the US and in other non-US jurisdictions, or that existing laws and regulations, including competition and antitrust laws, may be interpreted in ways that would limit our ability to use AI for our business. The cost of compliance with such laws, regulations, or decisions and/or guidance interpreting existing laws could be significant and would increase our operating expenses (such as by imposing additional reporting obligations regarding our use of AI. Such an increase in operating expenses, as well as any actual or perceived failure to comply with such laws and regulations, could adversely affect our business, financial condition and results of operations. </w:t>
      </w:r>
    </w:p>
    <w:p>
      <w:pPr>
        <w:pStyle w:val="TextBody"/>
        <w:bidi w:val="0"/>
        <w:spacing w:before="240" w:after="283"/>
        <w:jc w:val="left"/>
        <w:rPr>
          <w:rFonts w:ascii="Arial" w:hAnsi="Arial"/>
          <w:sz w:val="20"/>
        </w:rPr>
      </w:pPr>
      <w:r>
        <w:rPr>
          <w:rFonts w:ascii="Arial" w:hAnsi="Arial"/>
          <w:b/>
          <w:i/>
          <w:color w:val="000000"/>
          <w:sz w:val="20"/>
        </w:rPr>
        <w:t>We are subject to environmental, health and safety laws and regulations, and we may become exposed to liability and substantial expenses in connection with environmental compliance or remediation activities.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 Moreover, certain environmental laws may impose liability without regard to fault or legality of the action at the time of its occurrence.</w:t>
      </w:r>
    </w:p>
    <w:p>
      <w:pPr>
        <w:pStyle w:val="TextBody"/>
        <w:bidi w:val="0"/>
        <w:spacing w:before="120" w:after="283"/>
        <w:jc w:val="left"/>
        <w:rPr>
          <w:rFonts w:ascii="Arial" w:hAnsi="Arial"/>
          <w:color w:val="000000"/>
          <w:sz w:val="20"/>
        </w:rPr>
      </w:pPr>
      <w:r>
        <w:rPr>
          <w:rFonts w:ascii="Arial" w:hAnsi="Arial"/>
          <w:color w:val="000000"/>
          <w:sz w:val="20"/>
        </w:rPr>
        <w:t xml:space="preserve">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 </w:t>
      </w:r>
    </w:p>
    <w:p>
      <w:pPr>
        <w:pStyle w:val="TextBody"/>
        <w:bidi w:val="0"/>
        <w:spacing w:before="240" w:after="283"/>
        <w:jc w:val="left"/>
        <w:rPr>
          <w:rFonts w:ascii="Arial" w:hAnsi="Arial"/>
          <w:sz w:val="20"/>
        </w:rPr>
      </w:pPr>
      <w:r>
        <w:rPr>
          <w:rFonts w:ascii="Arial" w:hAnsi="Arial"/>
          <w:b/>
          <w:i/>
          <w:color w:val="000000"/>
          <w:sz w:val="20"/>
        </w:rPr>
        <w:t>We and our employees are increasingly utilizing social media tools as a means of communication both internally and externally.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 exposure of personal information of our employees, clinical trial patients, customers and others. Furthermore,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pStyle w:val="TextBody"/>
        <w:bidi w:val="0"/>
        <w:spacing w:before="240" w:after="283"/>
        <w:jc w:val="left"/>
        <w:rPr>
          <w:rFonts w:ascii="Arial" w:hAnsi="Arial"/>
          <w:sz w:val="20"/>
        </w:rPr>
      </w:pPr>
      <w:r>
        <w:rPr>
          <w:rFonts w:ascii="Arial" w:hAnsi="Arial"/>
          <w:b/>
          <w:color w:val="000000"/>
          <w:sz w:val="20"/>
        </w:rPr>
        <w:t>Risks Related to Commercialization</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i/>
          <w:color w:val="000000"/>
          <w:sz w:val="20"/>
        </w:rPr>
        <w:t>Developments by competitors may render our products or technologies obsolete or non-competitive or may reduce the size of our markets.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industry is characterized by extensive research and development efforts, rapid developments in technologies, intense competition and a strong emphasis on proprietary products. We expect our product candidates to face intense competition with existing products and increasing competition as new products enter the relevant markets and advanced technologies become available. </w:t>
      </w:r>
    </w:p>
    <w:p>
      <w:pPr>
        <w:pStyle w:val="TextBody"/>
        <w:bidi w:val="0"/>
        <w:spacing w:before="120" w:after="283"/>
        <w:jc w:val="left"/>
        <w:rPr>
          <w:rFonts w:ascii="Arial" w:hAnsi="Arial"/>
          <w:color w:val="000000"/>
          <w:sz w:val="20"/>
        </w:rPr>
      </w:pPr>
      <w:r>
        <w:rPr>
          <w:rFonts w:ascii="Arial" w:hAnsi="Arial"/>
          <w:color w:val="000000"/>
          <w:sz w:val="20"/>
        </w:rPr>
        <w:t xml:space="preserve">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have products already approved or in development in the therapeutic categories that we are targeting with our product candidates. Either alone or together with their collaborative partners, many of these competitors operate larger research and development programs and have substantially greater financial resources and access to larger pools of capital, including in some cases US government funding, than we do. </w:t>
      </w:r>
    </w:p>
    <w:p>
      <w:pPr>
        <w:pStyle w:val="TextBody"/>
        <w:bidi w:val="0"/>
        <w:spacing w:before="120" w:after="283"/>
        <w:jc w:val="left"/>
        <w:rPr>
          <w:rFonts w:ascii="Arial" w:hAnsi="Arial"/>
          <w:color w:val="000000"/>
          <w:sz w:val="20"/>
        </w:rPr>
      </w:pPr>
      <w:r>
        <w:rPr>
          <w:rFonts w:ascii="Arial" w:hAnsi="Arial"/>
          <w:color w:val="000000"/>
          <w:sz w:val="20"/>
        </w:rPr>
        <w:t xml:space="preserve">Additionally, many of these competitors have greater experience in: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undertaking preclinical testing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obtaining NDA approval by the FDA and comparable approvals of product candidates from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formulating and manufacturing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launching, marketing and selling products. </w:t>
      </w:r>
    </w:p>
    <w:p>
      <w:pPr>
        <w:pStyle w:val="TextBody"/>
        <w:bidi w:val="0"/>
        <w:spacing w:before="120" w:after="283"/>
        <w:jc w:val="left"/>
        <w:rPr>
          <w:rFonts w:ascii="Arial" w:hAnsi="Arial"/>
          <w:color w:val="000000"/>
          <w:sz w:val="20"/>
        </w:rPr>
      </w:pPr>
      <w:r>
        <w:rPr>
          <w:rFonts w:ascii="Arial" w:hAnsi="Arial"/>
          <w:color w:val="000000"/>
          <w:sz w:val="20"/>
        </w:rPr>
        <w:t xml:space="preserve">If these competitors access the marketplace before we do with effective vaccines or safer, more effective,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w:t>
      </w:r>
    </w:p>
    <w:p>
      <w:pPr>
        <w:pStyle w:val="TextBody"/>
        <w:bidi w:val="0"/>
        <w:spacing w:before="120" w:after="283"/>
        <w:jc w:val="left"/>
        <w:rPr>
          <w:rFonts w:ascii="Arial" w:hAnsi="Arial"/>
          <w:color w:val="000000"/>
          <w:sz w:val="20"/>
        </w:rPr>
      </w:pPr>
      <w:r>
        <w:rPr>
          <w:rFonts w:ascii="Arial" w:hAnsi="Arial"/>
          <w:color w:val="000000"/>
          <w:sz w:val="20"/>
        </w:rPr>
        <w:t xml:space="preserve">In the biopharmaceutical industry, AI is being increasingly used by companies and entities with which we compete. We are increasing our use of AI but other entities may be more advanced in their deployment and use of AI which may enhance such other entities’ business operations particularly their discovery efforts and the integration of operational efficiencies in the preclinical and clinical development of product candidates. If we are unable to use AI as effectively as our competitors, we could experience competitive disadvantages. </w:t>
      </w:r>
    </w:p>
    <w:p>
      <w:pPr>
        <w:pStyle w:val="TextBody"/>
        <w:bidi w:val="0"/>
        <w:spacing w:before="120" w:after="283"/>
        <w:jc w:val="left"/>
        <w:rPr>
          <w:rFonts w:ascii="Arial" w:hAnsi="Arial"/>
          <w:color w:val="000000"/>
          <w:sz w:val="20"/>
        </w:rPr>
      </w:pPr>
      <w:r>
        <w:rPr>
          <w:rFonts w:ascii="Arial" w:hAnsi="Arial"/>
          <w:color w:val="000000"/>
          <w:sz w:val="20"/>
        </w:rPr>
        <w:t xml:space="preserve">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 </w:t>
      </w:r>
    </w:p>
    <w:p>
      <w:pPr>
        <w:pStyle w:val="TextBody"/>
        <w:bidi w:val="0"/>
        <w:spacing w:before="240" w:after="283"/>
        <w:jc w:val="left"/>
        <w:rPr>
          <w:rFonts w:ascii="Arial" w:hAnsi="Arial"/>
          <w:b/>
          <w:i/>
          <w:color w:val="000000"/>
          <w:sz w:val="20"/>
        </w:rPr>
      </w:pPr>
      <w:r>
        <w:rPr>
          <w:rFonts w:ascii="Arial" w:hAnsi="Arial"/>
          <w:b/>
          <w:i/>
          <w:color w:val="000000"/>
          <w:sz w:val="20"/>
        </w:rPr>
        <w:t>For the treatment of HCV, we will face significant competition from approved and authorized oral treatments. The approved HCV drugs are well-established products and are widely-accepted by physicians, patients and third-party payors. For other diseases that we may target, we may face competition from drugs approved for treatment of such diseases as well as other treatments in development.</w:t>
      </w:r>
    </w:p>
    <w:p>
      <w:pPr>
        <w:pStyle w:val="TextBody"/>
        <w:bidi w:val="0"/>
        <w:spacing w:before="120" w:after="283"/>
        <w:jc w:val="left"/>
        <w:rPr>
          <w:rFonts w:ascii="Arial" w:hAnsi="Arial"/>
          <w:color w:val="000000"/>
          <w:sz w:val="20"/>
        </w:rPr>
      </w:pPr>
      <w:r>
        <w:rPr>
          <w:rFonts w:ascii="Arial" w:hAnsi="Arial"/>
          <w:color w:val="000000"/>
          <w:sz w:val="20"/>
        </w:rPr>
        <w:t xml:space="preserve">Our HCV product candidate, if approved, is expected to compete directly or indirectly with existing, currently commercialized products. For example, if we successfully develop and receive marketing approval for our HCV product candidate, we anticipate that we will face competition from currently approved oral antiviral HCV products that are well established and widely accepted by physicians, patients and third-party payors, including products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marketed and sold by Gilead Sciences, Inc., Asegua Therapeutics LLC, a wholly owned subsidiary of Gilead Sciences, Inc. and AbbVie Inc. Even if approved and commercialized, our HCV product candidate may fail to achieve market acceptance with hospitals, physicians, patients or third-party payors. Hospitals, physicians, patients or third-party payors may conclude that our product is are less safe or effective or otherwise less attractive than existing drugs. If our HCV product candidate or other future product candidates, if any, do not receive market acceptance for any reason, our revenue potential would be diminished, which would materially adversely affect our ability to become profitable. Other product candidates, if any, may also compete with existing products in a similar manner. </w:t>
      </w:r>
    </w:p>
    <w:p>
      <w:pPr>
        <w:pStyle w:val="TextBody"/>
        <w:bidi w:val="0"/>
        <w:spacing w:before="120" w:after="283"/>
        <w:jc w:val="left"/>
        <w:rPr>
          <w:rFonts w:ascii="Arial" w:hAnsi="Arial"/>
          <w:color w:val="000000"/>
          <w:sz w:val="20"/>
        </w:rPr>
      </w:pPr>
      <w:r>
        <w:rPr>
          <w:rFonts w:ascii="Arial" w:hAnsi="Arial"/>
          <w:color w:val="000000"/>
          <w:sz w:val="20"/>
        </w:rPr>
        <w:t>Many of our competitors have substantially greater capital resources, access to larger pools of capital, robust product candidate pipelines, established presence in the market, deep and broad commercial infrastructures and greater expertise in research and development, manufacturing, preclinical and clinical testing, obtaining regulatory approvals and reimbursement and marketing approved products than we do. As a result, our competitors may be able to maintain market share or achieve product commercialization or patent or other intellectual property protection earlier than we can. For example, in each of May 2023 and October 2024, the US Patent and Trademark Office (“USPTO”) granted Gilead Sciences patents in the US that may cover our compound bemnifosbuvir. If Gilead Sciences asserts either of these patents in an infringement suit, we may not be successful in convincing a trial court that the patent is invalid and unenforceable. In that circumstance, we would need to obtain a license from Gilead Sciences, which may not be available on reasonable terms, if at all. If a license is required and we are unable to obtain such license, commercialization of approved product candidates, if any, using bemnifosbuvir may not be able to continue without infringement, which could result in significant cost or prevent us from commercializing bemnifosbuvir or regimens containing bemnifosbuvir such as our HCV product candidate.</w:t>
      </w:r>
    </w:p>
    <w:p>
      <w:pPr>
        <w:pStyle w:val="TextBody"/>
        <w:bidi w:val="0"/>
        <w:spacing w:before="120" w:after="283"/>
        <w:jc w:val="left"/>
        <w:rPr>
          <w:rFonts w:ascii="Arial" w:hAnsi="Arial"/>
          <w:color w:val="000000"/>
          <w:sz w:val="20"/>
        </w:rPr>
      </w:pPr>
      <w:r>
        <w:rPr>
          <w:rFonts w:ascii="Arial" w:hAnsi="Arial"/>
          <w:color w:val="000000"/>
          <w:sz w:val="20"/>
        </w:rPr>
        <w:t xml:space="preserve">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which would have a material adverse effect on our business and operations. </w:t>
      </w:r>
    </w:p>
    <w:p>
      <w:pPr>
        <w:pStyle w:val="TextBody"/>
        <w:bidi w:val="0"/>
        <w:spacing w:before="240" w:after="283"/>
        <w:jc w:val="left"/>
        <w:rPr>
          <w:rFonts w:ascii="Arial" w:hAnsi="Arial"/>
          <w:sz w:val="20"/>
        </w:rPr>
      </w:pPr>
      <w:r>
        <w:rPr>
          <w:rFonts w:ascii="Arial" w:hAnsi="Arial"/>
          <w:b/>
          <w:i/>
          <w:color w:val="000000"/>
          <w:sz w:val="20"/>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There is significant uncertainty related to the insurance coverage and reimbursement of newly approved products.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w:t>
      </w:r>
    </w:p>
    <w:p>
      <w:pPr>
        <w:pStyle w:val="TextBody"/>
        <w:bidi w:val="0"/>
        <w:spacing w:before="120" w:after="283"/>
        <w:jc w:val="left"/>
        <w:rPr>
          <w:rFonts w:ascii="Arial" w:hAnsi="Arial"/>
          <w:color w:val="000000"/>
          <w:sz w:val="20"/>
        </w:rPr>
      </w:pPr>
      <w:r>
        <w:rPr>
          <w:rFonts w:ascii="Arial" w:hAnsi="Arial"/>
          <w:color w:val="000000"/>
          <w:sz w:val="20"/>
        </w:rPr>
        <w:t xml:space="preserve">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shorter duration or improved convenience of administration with our product candidates, pricing of existing third-party therapeutics may limit the amount we will be able to charge for our product candidates.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In the US,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 </w:t>
      </w:r>
    </w:p>
    <w:p>
      <w:pPr>
        <w:pStyle w:val="TextBody"/>
        <w:bidi w:val="0"/>
        <w:spacing w:before="120" w:after="283"/>
        <w:jc w:val="left"/>
        <w:rPr>
          <w:rFonts w:ascii="Arial" w:hAnsi="Arial"/>
          <w:color w:val="000000"/>
          <w:sz w:val="20"/>
        </w:rPr>
      </w:pPr>
      <w:r>
        <w:rPr>
          <w:rFonts w:ascii="Arial" w:hAnsi="Arial"/>
          <w:color w:val="000000"/>
          <w:sz w:val="20"/>
        </w:rPr>
        <w:t xml:space="preserve">Outside the US,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US, the reimbursement for our product candidates may be reduced compared with the US and may be insufficient to generate commercially reasonable revenue and profits. </w:t>
      </w:r>
    </w:p>
    <w:p>
      <w:pPr>
        <w:pStyle w:val="TextBody"/>
        <w:bidi w:val="0"/>
        <w:spacing w:before="120" w:after="283"/>
        <w:jc w:val="left"/>
        <w:rPr>
          <w:rFonts w:ascii="Arial" w:hAnsi="Arial"/>
          <w:color w:val="000000"/>
          <w:sz w:val="20"/>
        </w:rPr>
      </w:pPr>
      <w:r>
        <w:rPr>
          <w:rFonts w:ascii="Arial" w:hAnsi="Arial"/>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For example, the future value of the US HCV market may be impacted by payors obtaining additional discounts from manufacturers and by payor contracting dynamics. Medicaid agencies in certain individual states have enacted HCV treatment subscription models where manufacturers provide unrestricted access to their antiviral medication for a capitated total price and the Medicaid agencies in other states may in the future enact such HCV treatment subscription models. Contract duration and restrictions of such agreements could impact the ability of the non-awarded HCV oral antivirals to compete. In addition, future US government sponsored HCV eradication initiatives, including federal programs similar to state HCV treatment subscription programs, could impact the HCV market opportunity. While future US government sponsored HCV programs could significantly expand the number of HCV infected patients being treated, it also could negatively impact market value and access to many HCV oral antivirals including products such as ours.</w:t>
      </w:r>
    </w:p>
    <w:p>
      <w:pPr>
        <w:pStyle w:val="TextBody"/>
        <w:bidi w:val="0"/>
        <w:spacing w:before="120" w:after="283"/>
        <w:jc w:val="left"/>
        <w:rPr>
          <w:rFonts w:ascii="Arial" w:hAnsi="Arial"/>
          <w:color w:val="000000"/>
          <w:sz w:val="20"/>
        </w:rPr>
      </w:pPr>
      <w:r>
        <w:rPr>
          <w:rFonts w:ascii="Arial" w:hAnsi="Arial"/>
          <w:color w:val="000000"/>
          <w:sz w:val="20"/>
        </w:rPr>
        <w:t xml:space="preserve">We expect to experience pricing pressures in connection with the sale of our product candidates due to the presence of approved, and in the case of HCV, authorized generic, products already in many marketplaces, the trend toward managed healthcare, the increasing influence of health maintenance organizations and additional changes resulting from legislative actions, including the IRA and other governmental initiatives. The downward pressure on healthcare costs in general, particularly prescription drugs and biologics and other treatments, has become intense. As a result, increasingly high barriers are being erected to the entry of new products. </w:t>
      </w:r>
    </w:p>
    <w:p>
      <w:pPr>
        <w:pStyle w:val="TextBody"/>
        <w:bidi w:val="0"/>
        <w:spacing w:before="240" w:after="283"/>
        <w:jc w:val="left"/>
        <w:rPr>
          <w:rFonts w:ascii="Arial" w:hAnsi="Arial"/>
          <w:sz w:val="20"/>
        </w:rPr>
      </w:pPr>
      <w:r>
        <w:rPr>
          <w:rFonts w:ascii="Arial" w:hAnsi="Arial"/>
          <w:b/>
          <w:i/>
          <w:color w:val="000000"/>
          <w:sz w:val="20"/>
        </w:rPr>
        <w:t>If we are unable to establish sales, marketing and distribution capabilities either on our own or in collaboration with third parties, we may not be successful in commercializing any of our product candidates, if approved, and we may not be able to generate any product revenue.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have limited personnel and limited infrastructure for the sales, marketing or distribution of products, and no experience as a company in commercializing a product candidate. The cost of building and maintaining such an organization may exceed the cost-effectiveness of doing so. </w:t>
      </w:r>
    </w:p>
    <w:p>
      <w:pPr>
        <w:pStyle w:val="TextBody"/>
        <w:bidi w:val="0"/>
        <w:spacing w:before="120" w:after="283"/>
        <w:jc w:val="left"/>
        <w:rPr>
          <w:rFonts w:ascii="Arial" w:hAnsi="Arial"/>
          <w:color w:val="000000"/>
          <w:sz w:val="20"/>
        </w:rPr>
      </w:pPr>
      <w:r>
        <w:rPr>
          <w:rFonts w:ascii="Arial" w:hAnsi="Arial"/>
          <w:color w:val="000000"/>
          <w:sz w:val="20"/>
        </w:rPr>
        <w:t xml:space="preserve">Currently, we anticipate to establish our own commercial organization in the US to commercialize, together with a collaborator, our HCV product candidate, if approved. Outside the US, we anticipate to rely on a collaborator to commercialize our HCV product candidate if approved. We do not currently have any commercialization arrangements in place with any collaborator either within or outside the US and we may be unable to enter into acceptable arrangements to do so.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There are significant expenses and risks involved with building our own sales, marketing and distribution capabilities, including our ability to hire, retain and appropriately incentivize qualified individuals, generate sufficient sales leads, provide adequate training for sales and marketing personnel, and effectively manage a geographically dispersed sales and marketing team. Any failure or delay in the development of our internal sales, marketing and distribution capabilities could delay the product launch, and adversely impact the commercialization of our product candidates, if approved. Additionally, if the commercial launch of our product candidates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bidi w:val="0"/>
        <w:spacing w:before="120" w:after="283"/>
        <w:jc w:val="left"/>
        <w:rPr>
          <w:rFonts w:ascii="Arial" w:hAnsi="Arial"/>
          <w:color w:val="000000"/>
          <w:sz w:val="20"/>
        </w:rPr>
      </w:pPr>
      <w:r>
        <w:rPr>
          <w:rFonts w:ascii="Arial" w:hAnsi="Arial"/>
          <w:color w:val="000000"/>
          <w:sz w:val="20"/>
        </w:rPr>
        <w:t xml:space="preserve">Factors that may inhibit our efforts to commercialize our product candidates on our own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recruit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inability of sales personnel to obtain access to physicians or persuade adequate numbers of physicians to prescribe our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equip medical and sales personnel with effective materials, including medical and sales literature to help them educate physicians and other healthcare providers regarding applicable diseases and our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develop or obtain sufficient operational functions to support our commercial activities;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unforeseen costs and expenses associated with creating an independent sales and marketing organization. </w:t>
      </w:r>
    </w:p>
    <w:p>
      <w:pPr>
        <w:pStyle w:val="TextBody"/>
        <w:bidi w:val="0"/>
        <w:spacing w:before="120" w:after="283"/>
        <w:jc w:val="left"/>
        <w:rPr>
          <w:rFonts w:ascii="Arial" w:hAnsi="Arial"/>
          <w:color w:val="000000"/>
          <w:sz w:val="20"/>
        </w:rPr>
      </w:pPr>
      <w:r>
        <w:rPr>
          <w:rFonts w:ascii="Arial" w:hAnsi="Arial"/>
          <w:color w:val="000000"/>
          <w:sz w:val="20"/>
        </w:rPr>
        <w:t xml:space="preserve">In those territories where we engage a collaborator to commercialize our products in whole or in part our sales will depend on the collaborator’s strategic interest in the product and such collaborator’s ability to successfully commercialize the product. </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additional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 </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establish adequate sales, marketing and distribution capabilities, either on our own or in collaboration with third parties, we will not be successful in commercializing our product candidates and may not become profitable and may incur significant additional losses. We will be competing with many companies, including large pharmaceutical companies, including Gilead Sciences and AbbVie in HCV, that have extensive and well-funded marketing and sales operations. Without a robust internal team or the support of third-parties to perform marketing and sales functions, we may be unable to compete successfully against these more established companies. </w:t>
      </w:r>
    </w:p>
    <w:p>
      <w:pPr>
        <w:pStyle w:val="TextBody"/>
        <w:bidi w:val="0"/>
        <w:spacing w:before="120" w:after="283"/>
        <w:jc w:val="left"/>
        <w:rPr>
          <w:rFonts w:ascii="Arial" w:hAnsi="Arial"/>
          <w:color w:val="000000"/>
          <w:sz w:val="20"/>
        </w:rPr>
      </w:pPr>
      <w:r>
        <w:rPr>
          <w:rFonts w:ascii="Arial" w:hAnsi="Arial"/>
          <w:color w:val="000000"/>
          <w:sz w:val="20"/>
        </w:rPr>
        <w:t xml:space="preserve">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 </w:t>
      </w:r>
    </w:p>
    <w:p>
      <w:pPr>
        <w:pStyle w:val="TextBody"/>
        <w:bidi w:val="0"/>
        <w:spacing w:before="240" w:after="283"/>
        <w:jc w:val="left"/>
        <w:rPr>
          <w:rFonts w:ascii="Arial" w:hAnsi="Arial"/>
          <w:sz w:val="20"/>
        </w:rPr>
      </w:pPr>
      <w:r>
        <w:rPr>
          <w:rFonts w:ascii="Arial" w:hAnsi="Arial"/>
          <w:b/>
          <w:i/>
          <w:color w:val="000000"/>
          <w:sz w:val="20"/>
        </w:rPr>
        <w:t>Our future growth may depend, in part, on our ability to penetrate foreign markets, where we would be subject to additional regulatory burdens and other risks and uncertainties.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future profitability may depend, in part, on our ability to commercialize our product candidates in foreign markets. Currently, we anticipate to rely on third party collaborators for such foreign market commercialization. We are evaluating potential collaborations and opportunities for the commercialization of our product candidates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in foreign markets but currently we do not have any collaboration agreements or arrangements in place. Neither we or any third party with which we may collaborate is permitted to market or promote any of our product candidates before regulatory approval of such product candidate is received from the applicable regulatory authority in that foreign market, and such regulatory approval for any of our product candidates may never result. To obtain regulatory approvals in countries outside the US, it will be necessary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such product in foreign markets, we would be subject to additional risks and uncertainties,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customers’ ability to obtain reimbursement for our product candidates in foreign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directly control commercial activities of any third parties upon which we are relying;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burden of complying with complex and changing foreign regulatory, tax, accounting and legal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different medical practices and customs in foreign countries affecting acceptance in the marketplace;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import or export licensing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or the ability of our collaborators, to supply our products on a timely and large-scale basis in local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longer lead times for shipping which may necessitate local manufacture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language barriers for technical training and the need for language translations;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protection of patent and other intellectual property rights in some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existence of additional potentially relevant third-party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longer accounts receivable collection times;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foreign currency exchange rate fluctuations;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interpretation of contractual provisions governed by foreign laws in the event of a contract dispute. </w:t>
      </w:r>
    </w:p>
    <w:p>
      <w:pPr>
        <w:pStyle w:val="TextBody"/>
        <w:bidi w:val="0"/>
        <w:spacing w:before="120" w:after="283"/>
        <w:jc w:val="left"/>
        <w:rPr>
          <w:rFonts w:ascii="Arial" w:hAnsi="Arial"/>
          <w:color w:val="000000"/>
          <w:sz w:val="20"/>
        </w:rPr>
      </w:pPr>
      <w:r>
        <w:rPr>
          <w:rFonts w:ascii="Arial" w:hAnsi="Arial"/>
          <w:color w:val="000000"/>
          <w:sz w:val="20"/>
        </w:rPr>
        <w:t xml:space="preserve">Foreign sales of any product for which we obtain approval could also be adversely affected by the imposition of governmental controls, political and economic instability, trade restrictions and changes in tariffs. </w:t>
      </w:r>
    </w:p>
    <w:p>
      <w:pPr>
        <w:pStyle w:val="TextBody"/>
        <w:bidi w:val="0"/>
        <w:spacing w:before="120" w:after="283"/>
        <w:jc w:val="left"/>
        <w:rPr>
          <w:rFonts w:ascii="Arial" w:hAnsi="Arial"/>
          <w:color w:val="000000"/>
          <w:sz w:val="20"/>
        </w:rPr>
      </w:pPr>
      <w:r>
        <w:rPr>
          <w:rFonts w:ascii="Arial" w:hAnsi="Arial"/>
          <w:color w:val="000000"/>
          <w:sz w:val="20"/>
        </w:rPr>
        <w:t xml:space="preserve">If any of our product candidates is approved for commercialization, we currently anticipate to selectively partner with third parties to market such product both within and outside the US. If we or a collaborator market a product outside the US, we expect that we will be subject to additional risks related to international pharmaceutical operations,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different regulatory requirements for drug approvals and rules governing drug commercialization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protection for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noncompliance with the US Foreign Corrupt Practices Act, the U.K. Bribery Act 2010 and similar anti-bribery and anticorruption laws in other jurisdictions;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production shortages resulting from any events affecting raw material supply or manufacturing capabilities abroad. </w:t>
      </w:r>
    </w:p>
    <w:p>
      <w:pPr>
        <w:pStyle w:val="TextBody"/>
        <w:bidi w:val="0"/>
        <w:spacing w:before="120" w:after="283"/>
        <w:jc w:val="left"/>
        <w:rPr>
          <w:rFonts w:ascii="Arial" w:hAnsi="Arial"/>
          <w:color w:val="000000"/>
          <w:sz w:val="20"/>
        </w:rPr>
      </w:pPr>
      <w:r>
        <w:rPr>
          <w:rFonts w:ascii="Arial" w:hAnsi="Arial"/>
          <w:color w:val="000000"/>
          <w:sz w:val="20"/>
        </w:rPr>
        <w:t>As an organization, we have no prior experience in these areas. In addition, we will need to comply with complex regulatory, tax, labor and other legal requirements imposed by both the EU and many of the individual member states in the EU as well as in other global territories. Many US-based biotechnology and biopharmaceutical companies have found the process of marketing products outside of North America to be very challenging.</w:t>
      </w:r>
    </w:p>
    <w:p>
      <w:pPr>
        <w:pStyle w:val="TextBody"/>
        <w:bidi w:val="0"/>
        <w:spacing w:before="120" w:after="283"/>
        <w:jc w:val="left"/>
        <w:rPr>
          <w:rFonts w:ascii="Arial" w:hAnsi="Arial"/>
          <w:color w:val="000000"/>
          <w:sz w:val="20"/>
        </w:rPr>
      </w:pPr>
      <w:r>
        <w:rPr>
          <w:rFonts w:ascii="Arial" w:hAnsi="Arial"/>
          <w:color w:val="000000"/>
          <w:sz w:val="20"/>
        </w:rPr>
        <w:t xml:space="preserve">Certain legal and political risks are also inherent in foreign operations without regard to whether these activities are conducted by us or by a collaborator. There is a risk that foreign governments may nationalize private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enterprises in certain countries where we or any collaborator with which we are collaborating may operate. In certain countries or regions, terrorist activities and the response to such activities may threaten our operations or the operations of any collaborator to a greater degree than in the US.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w:t>
      </w:r>
    </w:p>
    <w:p>
      <w:pPr>
        <w:pStyle w:val="TextBody"/>
        <w:bidi w:val="0"/>
        <w:spacing w:before="120" w:after="283"/>
        <w:jc w:val="left"/>
        <w:rPr>
          <w:rFonts w:ascii="Arial" w:hAnsi="Arial"/>
          <w:color w:val="000000"/>
          <w:sz w:val="20"/>
        </w:rPr>
      </w:pPr>
      <w:r>
        <w:rPr>
          <w:rFonts w:ascii="Arial" w:hAnsi="Arial"/>
          <w:color w:val="000000"/>
          <w:sz w:val="20"/>
        </w:rPr>
        <w:t>Additionally, the need to identify financially and commercially strong partners for commercialization outside the US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pStyle w:val="TextBody"/>
        <w:bidi w:val="0"/>
        <w:spacing w:before="120" w:after="283"/>
        <w:jc w:val="left"/>
        <w:rPr>
          <w:rFonts w:ascii="Arial" w:hAnsi="Arial"/>
          <w:color w:val="000000"/>
          <w:sz w:val="20"/>
        </w:rPr>
      </w:pPr>
      <w:r>
        <w:rPr>
          <w:rFonts w:ascii="Arial" w:hAnsi="Arial"/>
          <w:color w:val="000000"/>
          <w:sz w:val="20"/>
        </w:rPr>
        <w:t xml:space="preserve">In many countries outside the US, particularly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 </w:t>
      </w:r>
    </w:p>
    <w:p>
      <w:pPr>
        <w:pStyle w:val="TextBody"/>
        <w:bidi w:val="0"/>
        <w:spacing w:before="240" w:after="283"/>
        <w:jc w:val="left"/>
        <w:rPr>
          <w:rFonts w:ascii="Arial" w:hAnsi="Arial"/>
          <w:sz w:val="20"/>
        </w:rPr>
      </w:pPr>
      <w:r>
        <w:rPr>
          <w:rFonts w:ascii="Arial" w:hAnsi="Arial"/>
          <w:b/>
          <w:i/>
          <w:color w:val="000000"/>
          <w:sz w:val="20"/>
        </w:rPr>
        <w:t>Potential product liability lawsuits against us could cause us to incur substantial liabilities and limit commercialization of any products that we may develop.</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Currently, we face an inherent risk of product liability claims as a result of the testing of our product candidates and we will face product liability risks if we, or a collaborator, commercialize any of our product candidates that are approved.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injury and impairment of our business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withdrawal of participants from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significant costs to defend the claims and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distraction of management’s attention from our primary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substantial monetary awards to patients or other claimants;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inability to commercialize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decreased demand for a product candidate, if approved for commercial sale;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loss of revenue. </w:t>
      </w:r>
    </w:p>
    <w:p>
      <w:pPr>
        <w:pStyle w:val="TextBody"/>
        <w:bidi w:val="0"/>
        <w:spacing w:before="120" w:after="283"/>
        <w:jc w:val="left"/>
        <w:rPr>
          <w:rFonts w:ascii="Arial" w:hAnsi="Arial"/>
          <w:color w:val="000000"/>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products we develop, alone or with commercial collaborators. To date, we have not sought and do not yet have any experience securing product liability insurance for a product that is being commercialized. Currently, we have clinical trial insurance to cover the use of our product candidates in the clinical trials we are conducting. However, these insurance policies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commercial collaborators entitle us to indemnification against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product liability claims and associated losses, such indemnification may not be available or adequate should any claim or loss arise. </w:t>
      </w:r>
    </w:p>
    <w:p>
      <w:pPr>
        <w:pStyle w:val="TextBody"/>
        <w:bidi w:val="0"/>
        <w:spacing w:before="240" w:after="283"/>
        <w:jc w:val="left"/>
        <w:rPr>
          <w:rFonts w:ascii="Arial" w:hAnsi="Arial"/>
          <w:b/>
          <w:color w:val="000000"/>
          <w:sz w:val="20"/>
        </w:rPr>
      </w:pPr>
      <w:r>
        <w:rPr>
          <w:rFonts w:ascii="Arial" w:hAnsi="Arial"/>
          <w:b/>
          <w:color w:val="000000"/>
          <w:sz w:val="20"/>
        </w:rPr>
        <w:t>Risks Related to Manufacturing and our Dependence on Third Parties</w:t>
      </w:r>
    </w:p>
    <w:p>
      <w:pPr>
        <w:pStyle w:val="TextBody"/>
        <w:bidi w:val="0"/>
        <w:spacing w:before="120" w:after="283"/>
        <w:jc w:val="left"/>
        <w:rPr>
          <w:rFonts w:ascii="Arial" w:hAnsi="Arial"/>
          <w:sz w:val="20"/>
        </w:rPr>
      </w:pPr>
      <w:r>
        <w:rPr>
          <w:rFonts w:ascii="Arial" w:hAnsi="Arial"/>
          <w:b/>
          <w:i/>
          <w:color w:val="000000"/>
          <w:sz w:val="20"/>
        </w:rPr>
        <w:t>We rely and expect to continue to rely on third parties for the manufacture of materials for our research programs, preclinical studies and clinical trials and, if approved, commercialization. We do not currently have long-term contracts with any of these parties. This reliance on third parties increases the risk that we will not have sufficient quantities of such materials or any product candidates that we may develop and, if approved, commercialize, or that such supply will not be available to us at an acceptable cost, which could delay, prevent, or impair our development or commercialization efforts.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We rely and expect to continue to rely on third parties for the manufacture of materials for our clinical trials, research activities and preclinical development. We expect to rely on third parties for commercial manufacture if any of our product candidates receive marketing approval. We do not currently have long-term agreements with any of the third-party manufacturers we currently use to provide preclinical and clinical trial materials, and we purchase any required materials on a purchase order basis. Certain of these manufacturers are critical to our production and the loss of these manufacturers, or an inability to obtain quantities at an acceptable cost or quality, could delay, prevent or impair our ability to timely conduct preclinical studies or clinical trials, and would materially and adversely affect our development and commercialization efforts.</w:t>
      </w:r>
    </w:p>
    <w:p>
      <w:pPr>
        <w:pStyle w:val="TextBody"/>
        <w:bidi w:val="0"/>
        <w:spacing w:before="120" w:after="283"/>
        <w:jc w:val="left"/>
        <w:rPr>
          <w:rFonts w:ascii="Arial" w:hAnsi="Arial"/>
          <w:color w:val="000000"/>
          <w:sz w:val="20"/>
        </w:rPr>
      </w:pPr>
      <w:r>
        <w:rPr>
          <w:rFonts w:ascii="Arial" w:hAnsi="Arial"/>
          <w:color w:val="000000"/>
          <w:sz w:val="20"/>
        </w:rPr>
        <w:t xml:space="preserve">We may be unable to maintain or establish required agreements with third-party manufacturers or to do so on acceptable terms. Even if we are able to establish agreements with third-party manufacturers, reliance on third-party manufacturers entails additional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failure of the third-party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as a result of accidents, fire, loss of personnel, business decisions at or by the third-party manufacturer or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reduction or termination of production or deliveries by suppliers, or the raising of prices or renegotiation of terms;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termination or nonrenewal of arrangements or agreements by our third-party contractors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breach by the third-party contractors of our agreements with them;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failure of third-party contractors to comply with applicable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failure of the third-party to manufacture our product candidates according to our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mislabeling of clinical supplies, potentially resulting in the wrong dose amounts being supplied or active drug or placebo not being properly identified;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improper handling of clinical supplies, whether during transit or otherwise, impacting the quality of such clinical supplies leading to loss of GMP status and the resulting inability to use such clinical supplies in clinical trials which may result in clinical interruptions and delays in the commencement of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supplies not being delivered to clinical sites on time, leading to delays in the commencement of planned clinical trials or interruptions in ongoing clinical trials,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misappropriation or unauthorized disclosure of our intellectual property or other proprietary information, including our trade secrets and know-how. </w:t>
      </w:r>
    </w:p>
    <w:p>
      <w:pPr>
        <w:pStyle w:val="TextBody"/>
        <w:bidi w:val="0"/>
        <w:spacing w:before="120" w:after="283"/>
        <w:jc w:val="left"/>
        <w:rPr>
          <w:rFonts w:ascii="Arial" w:hAnsi="Arial"/>
          <w:color w:val="000000"/>
          <w:sz w:val="20"/>
        </w:rPr>
      </w:pPr>
      <w:r>
        <w:rPr>
          <w:rFonts w:ascii="Arial" w:hAnsi="Arial"/>
          <w:color w:val="000000"/>
          <w:sz w:val="20"/>
        </w:rPr>
        <w:t xml:space="preserve">Any new export or import restrictions, new legislation or shifting approaches in the enforcement or scope of existing regulations, or changes in global, political, regulatory and economic conditions affecting US trade, manufacturing, development or investment, could result in additional restrictions on our ability to manufacture materials for our research programs, preclinical studies, clinical trials and our manufacture of product for commercialization, if approved, or significantly increase our costs. In recent years, the US has instituted or proposed changes in trade policies that include the negotiation or termination of trade agreements, the imposition of higher tariffs on imports into the US, economic sanctions on individuals, corporations or countries, and other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government regulations affecting trade between the US and other countries, in particular China, Mexico, Canada and the EU. A number of other nations have proposed or instituted similar measures directed at trade with the US in response. As a result of these developments, there may be greater restrictions and economic disincentives on international trade that could adversely affect our business. Various tariffs enacted by the US federal government in 2025 have been subject to successful legal challenge, but it remains unclear whether and to whom those tariffs may be refunded, and the US federal government may attempt to impose new or similar tariffs under alternative statutory mechanisms. As additional trade-related policies are instituted, we may need to modify our business operations to comply and adapt to such developments, which may be time-consuming and expensive.</w:t>
      </w:r>
    </w:p>
    <w:p>
      <w:pPr>
        <w:pStyle w:val="TextBody"/>
        <w:bidi w:val="0"/>
        <w:spacing w:before="120" w:after="283"/>
        <w:jc w:val="left"/>
        <w:rPr>
          <w:rFonts w:ascii="Arial" w:hAnsi="Arial"/>
          <w:color w:val="000000"/>
          <w:sz w:val="20"/>
        </w:rPr>
      </w:pPr>
      <w:r>
        <w:rPr>
          <w:rFonts w:ascii="Arial" w:hAnsi="Arial"/>
          <w:color w:val="000000"/>
          <w:sz w:val="20"/>
        </w:rPr>
        <w:t>For ruzasvir, we have a sole supplier located in China for our active pharmaceutical ingredient, and for both ruzasvir and bemnifosbuvir, all suppliers of the regulatory starting materials for the respective manufacturing processes are located in China. We expect to continue to use such third-party manufacturers including for the manufacture of commercial supply, if approved. Any disruption in production or inability of our manufacturers in China to produce adequate quantities to meet our needs, including as a result of a natural disaster, public health crises, trade disruptions, or changes in the US trade policies, could impair our ability to operate our business on a day-to-day basis and adversely impact our ability to continue the research and development of our product candidates and, if approved, to commercialize our products. Tariffs on certain Chinese origin goods may impact the cost of manufactured materials we import from China for our research programs, preclinical studies and clinical trials and for commercialization of products, if any, that may be approved. Additionally, the indirect impact of inflationary pressure on costs throughout the supply chain may result in higher input costs, which could have a material adverse effect on our business, prospects, results of operations and cash flows.</w:t>
      </w:r>
    </w:p>
    <w:p>
      <w:pPr>
        <w:pStyle w:val="TextBody"/>
        <w:bidi w:val="0"/>
        <w:spacing w:before="120" w:after="283"/>
        <w:jc w:val="left"/>
        <w:rPr>
          <w:rFonts w:ascii="Arial" w:hAnsi="Arial"/>
          <w:color w:val="000000"/>
          <w:sz w:val="20"/>
        </w:rPr>
      </w:pPr>
      <w:r>
        <w:rPr>
          <w:rFonts w:ascii="Arial" w:hAnsi="Arial"/>
          <w:color w:val="000000"/>
          <w:sz w:val="20"/>
        </w:rPr>
        <w:t xml:space="preserve">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Third-party manufacturers may not be able to comply with cGMP regulations or similar regulatory requirements outside of the US. If our contract manufacturers cannot successfully manufacture material that conforms to our specifications and the strict regulatory requirements of the FDA and other applicable regulatory authorities,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if approved, market our products.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w:t>
      </w:r>
    </w:p>
    <w:p>
      <w:pPr>
        <w:pStyle w:val="TextBody"/>
        <w:bidi w:val="0"/>
        <w:spacing w:before="240" w:after="283"/>
        <w:jc w:val="left"/>
        <w:rPr>
          <w:rFonts w:ascii="Arial" w:hAnsi="Arial"/>
          <w:sz w:val="20"/>
        </w:rPr>
      </w:pPr>
      <w:r>
        <w:rPr>
          <w:rFonts w:ascii="Arial" w:hAnsi="Arial"/>
          <w:b/>
          <w:i/>
          <w:color w:val="000000"/>
          <w:sz w:val="20"/>
        </w:rPr>
        <w:t>Our third-party manufacturers may be unable to successfully scale up manufacturing of our product candidates in sufficient quality and quantity in a timely manner, if at all, which may impair the clinical advancement and commercialization of our product candidates.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order to conduct clinical trials of our product candidates and commercialize any approved product, our manufacturers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If we, or any manufacturers are unable to successfully scale up the manufacture of our product candidates in sufficient quality and quantity in a timely manner, the development, testing and clinical trials of these product candidates may be delayed or infeasible, and regulatory approval or commercial launch and sustained commercialization of any resulting products may be delayed or not obtained, which could significantly harm our business. Supply sources could be interrupted from time to time and, if interrupted, would disrupt our manufacturers’ ability to manufacture our product candidates at the scale required. If we are unable to meet the clinical or commercial supply need for our product candidates, or to do so on commercially reasonable terms, we may not be able to develop our product candidates and commercialize our products successfully.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We do not have multiple sources of supply for all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and our efforts to manufacture products for commercialization, if approved. If we obtain regulatory approval and seek to commercialize any approved product we will need to expand the number of manufacturers supplying components of such approved product.</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do not have multiple sources of supply for all of the components used in the manufacture of bemnifosbuvir or ruzasvir. For ruzasvir, we have a sole supplier located in China for our active pharmaceutical ingredient, and for both ruzasvir and bemnifosbuvir, all suppliers of the regulatory starting materials for the respective manufacturing processes are located in China. We do not have long-term supply agreements with any of our component suppliers. We may not be able to establish additional sources of supply for our product candidates, or may be unable to do so in a timely manner or on acceptable terms. Manufacturing suppliers are subject to cGMP and comparable foreign quality standards and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 </w:t>
      </w:r>
    </w:p>
    <w:p>
      <w:pPr>
        <w:pStyle w:val="TextBody"/>
        <w:bidi w:val="0"/>
        <w:spacing w:before="120" w:after="283"/>
        <w:jc w:val="left"/>
        <w:rPr>
          <w:rFonts w:ascii="Arial" w:hAnsi="Arial"/>
          <w:color w:val="000000"/>
          <w:sz w:val="20"/>
        </w:rPr>
      </w:pPr>
      <w:r>
        <w:rPr>
          <w:rFonts w:ascii="Arial" w:hAnsi="Arial"/>
          <w:color w:val="000000"/>
          <w:sz w:val="20"/>
        </w:rPr>
        <w:t xml:space="preserve">The number of suppliers of the components of our product candidates is limited. In the event it is necessary or desirable to acquire supplies from alternative suppliers, we might not be able to obtain them in a timely manner or on commercially reasonable terms, if at all. It could also require significant time and expense to redesign our manufacturing processes to work with another manufacturer and redesign of processes can trigger the need for conducting additional clinical studies such as comparability or bridging studies. Additionally, certain of our suppliers are critical to our production, and the loss of these suppliers to one of our competitors or otherwise would materially and adversely affect our development and commercialization efforts. </w:t>
      </w:r>
    </w:p>
    <w:p>
      <w:pPr>
        <w:pStyle w:val="TextBody"/>
        <w:bidi w:val="0"/>
        <w:spacing w:before="120" w:after="283"/>
        <w:jc w:val="left"/>
        <w:rPr>
          <w:rFonts w:ascii="Arial" w:hAnsi="Arial"/>
          <w:color w:val="000000"/>
          <w:sz w:val="20"/>
        </w:rPr>
      </w:pPr>
      <w:r>
        <w:rPr>
          <w:rFonts w:ascii="Arial" w:hAnsi="Arial"/>
          <w:color w:val="000000"/>
          <w:sz w:val="20"/>
        </w:rPr>
        <w:t>As part of any application for marketing approval, regulatory authorities generally conduct inspections that must be satisfactory prior to the approval of the product. Failure of manufacturing suppliers to successfully complete these regulatory inspections could result in delays or prevent the approval of our product candidates. In addition, if supply from the supplier of an approved product is interrupted, there could be a significant disruption in commercial supply. An alternative vendor would need to be qualified through an NDA amendment or supplement, which could result in further delay. The FDA or other regulatory authorities outside of the US may also require additional studies if a new supplier is relied upon for commercial production. Switching vendors may involve substantial costs and is likely to result in a delay in our desired clinical and commercial timelines.</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 </w:t>
      </w:r>
    </w:p>
    <w:p>
      <w:pPr>
        <w:pStyle w:val="TextBody"/>
        <w:bidi w:val="0"/>
        <w:spacing w:before="240" w:after="283"/>
        <w:jc w:val="left"/>
        <w:rPr>
          <w:rFonts w:ascii="Arial" w:hAnsi="Arial"/>
          <w:sz w:val="20"/>
        </w:rPr>
      </w:pPr>
      <w:r>
        <w:rPr>
          <w:rFonts w:ascii="Arial" w:hAnsi="Arial"/>
          <w:b/>
          <w:i/>
          <w:color w:val="000000"/>
          <w:sz w:val="20"/>
        </w:rPr>
        <w:t>We rely on third parties to conduct our preclinical studies and clinical trials. Any failure by a third-party to conduct the clinical trials according to GCPs and in a timely manner may delay or prevent our ability to seek or obtain regulatory approval for or commercialize our product candidates.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dependent on third parties to conduct critical aspects of the Phase 3 and other clinical development activities for our HCV product candidate, the regimen of bemnifosbuvir and ruzasvir. We are also dependent on third parties to conduct preclinical studies for AT-587 and we expect to rely on third parties for the clinical development of AT-587.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by a given regulatory authority, such regulatory authority will determine that any of our clinical trials or research activities complies with GCP regulations. In addition, our clinical trials must be conducted with product produced under cGMP or similar regulations outside the US. Our failure to comply with these regulations may require us to repeat clinical trials, which would delay the regulatory review process. </w:t>
      </w:r>
    </w:p>
    <w:p>
      <w:pPr>
        <w:pStyle w:val="TextBody"/>
        <w:bidi w:val="0"/>
        <w:spacing w:before="120" w:after="283"/>
        <w:jc w:val="left"/>
        <w:rPr>
          <w:rFonts w:ascii="Arial" w:hAnsi="Arial"/>
          <w:color w:val="000000"/>
          <w:sz w:val="20"/>
        </w:rPr>
      </w:pPr>
      <w:r>
        <w:rPr>
          <w:rFonts w:ascii="Arial" w:hAnsi="Arial"/>
          <w:color w:val="000000"/>
          <w:sz w:val="20"/>
        </w:rPr>
        <w:t xml:space="preserve">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w:t>
      </w:r>
    </w:p>
    <w:p>
      <w:pPr>
        <w:pStyle w:val="TextBody"/>
        <w:bidi w:val="0"/>
        <w:spacing w:before="120" w:after="283"/>
        <w:jc w:val="left"/>
        <w:rPr>
          <w:rFonts w:ascii="Arial" w:hAnsi="Arial"/>
          <w:color w:val="000000"/>
          <w:sz w:val="20"/>
        </w:rPr>
      </w:pPr>
      <w:r>
        <w:rPr>
          <w:rFonts w:ascii="Arial" w:hAnsi="Arial"/>
          <w:color w:val="000000"/>
          <w:sz w:val="20"/>
        </w:rPr>
        <w:t>In addition, principal investigators for our clinical trials may serve as scientific advisors or consultants to us from time to time and may receive monetary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or similar applications we submit to the FDA or foreign regulatory authorities. Any such delay or rejection could prevent us from commercializing our product candidates.</w:t>
      </w:r>
    </w:p>
    <w:p>
      <w:pPr>
        <w:pStyle w:val="TextBody"/>
        <w:bidi w:val="0"/>
        <w:spacing w:before="120" w:after="283"/>
        <w:jc w:val="left"/>
        <w:rPr>
          <w:rFonts w:ascii="Arial" w:hAnsi="Arial"/>
          <w:color w:val="000000"/>
          <w:sz w:val="20"/>
        </w:rPr>
      </w:pPr>
      <w:r>
        <w:rPr>
          <w:rFonts w:ascii="Arial" w:hAnsi="Arial"/>
          <w:color w:val="000000"/>
          <w:sz w:val="20"/>
        </w:rPr>
        <w:t xml:space="preserve">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 </w:t>
      </w:r>
    </w:p>
    <w:p>
      <w:pPr>
        <w:pStyle w:val="TextBody"/>
        <w:bidi w:val="0"/>
        <w:spacing w:before="120" w:after="283"/>
        <w:jc w:val="left"/>
        <w:rPr>
          <w:rFonts w:ascii="Arial" w:hAnsi="Arial"/>
          <w:color w:val="000000"/>
          <w:sz w:val="20"/>
        </w:rPr>
      </w:pPr>
      <w:r>
        <w:rPr>
          <w:rFonts w:ascii="Arial" w:hAnsi="Arial"/>
          <w:color w:val="000000"/>
          <w:sz w:val="20"/>
        </w:rPr>
        <w:t xml:space="preserve">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and regulatory submission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w:t>
      </w:r>
    </w:p>
    <w:p>
      <w:pPr>
        <w:pStyle w:val="TextBody"/>
        <w:bidi w:val="0"/>
        <w:spacing w:before="240" w:after="283"/>
        <w:jc w:val="left"/>
        <w:rPr>
          <w:rFonts w:ascii="Arial" w:hAnsi="Arial"/>
          <w:sz w:val="20"/>
        </w:rPr>
      </w:pPr>
      <w:r>
        <w:rPr>
          <w:rFonts w:ascii="Arial" w:hAnsi="Arial"/>
          <w:b/>
          <w:i/>
          <w:color w:val="000000"/>
          <w:sz w:val="20"/>
        </w:rPr>
        <w:t>We currently expect that we may collaborate with third parties in connection with the commercialization of our product candidates, if approved. We may not succeed in establishing and maintaining collaborative relationships, which may significantly limit our ability to develop and commercialize our product candidates successfully, if at all.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For commercialization of any of our product candidates that may be approved, our current strategy includes the potential establishment of collaborative relationships with third parties. As a result of entering into collaborative arrangements with third parties, we would become dependent on the amount and timing of resources that our collaborators dedicate to the development or potential commercialization of any product candidates we may seek to develop or commercialize with them. Our ability to generate product revenue from any collaborations will depend on our collaborators’ abilities to successfully perform the functions assigned to them. We cannot predict the success of any collaboration that we enter into. </w:t>
      </w:r>
    </w:p>
    <w:p>
      <w:pPr>
        <w:pStyle w:val="TextBody"/>
        <w:bidi w:val="0"/>
        <w:spacing w:before="120" w:after="283"/>
        <w:jc w:val="left"/>
        <w:rPr>
          <w:rFonts w:ascii="Arial" w:hAnsi="Arial"/>
          <w:color w:val="000000"/>
          <w:sz w:val="20"/>
        </w:rPr>
      </w:pPr>
      <w:r>
        <w:rPr>
          <w:rFonts w:ascii="Arial" w:hAnsi="Arial"/>
          <w:color w:val="000000"/>
          <w:sz w:val="20"/>
        </w:rPr>
        <w:t xml:space="preserve">Collaborations involving our product candidates involve many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own or co-own intellectual property rights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infringe, misappropriate or otherwise violate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collaborators may terminate the collaboration, and, as a result, we may not be able to develop a product candidate or we will have to use our own clinical resources and capital to continue development of the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undergo a change of control and the new owners may decide to take the collaboration in a direction that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become bankrupt, which may significantly delay our research or development programs, or may cause us to lose access to valuable technology, devices, materials, know-how or intellectual property of the collaborator relating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collaborations may be terminated which may result in a need for additional capital to pursue further development or commercialization or result in delays in development or commercialization of the applicable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collaboration agreements may not lead to development or commercialization of product candidates in the most efficient manner or at all.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We may face significant competition in seeking appropriate collaborations. Business combinations among biopharmaceutical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marketing or distribution activities, or increase our expenditures and undertake development, manufacture or commercialization activities at our own expense. If we elect to increase our expenditures to fund development, manufacture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pStyle w:val="TextBody"/>
        <w:bidi w:val="0"/>
        <w:spacing w:before="120" w:after="283"/>
        <w:jc w:val="left"/>
        <w:rPr>
          <w:rFonts w:ascii="Arial" w:hAnsi="Arial"/>
          <w:color w:val="000000"/>
          <w:sz w:val="20"/>
        </w:rPr>
      </w:pPr>
      <w:r>
        <w:rPr>
          <w:rFonts w:ascii="Arial" w:hAnsi="Arial"/>
          <w:color w:val="000000"/>
          <w:sz w:val="20"/>
        </w:rPr>
        <w:t xml:space="preserve">If we enter into collaborations to develop, manufacture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For example, if the license agreement with Merck was terminated, we would be required to discontinue the development, manufacture and commercialization of our lead product candidate, which is the fixed dose combination of ruzasvir and bemnifosbuvir, unless we could enter into another agreement with Merck potentially on terms less favorable to us.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 </w:t>
      </w:r>
    </w:p>
    <w:p>
      <w:pPr>
        <w:pStyle w:val="TextBody"/>
        <w:bidi w:val="0"/>
        <w:spacing w:before="240" w:after="283"/>
        <w:jc w:val="left"/>
        <w:rPr>
          <w:rFonts w:ascii="Arial" w:hAnsi="Arial"/>
          <w:sz w:val="20"/>
        </w:rPr>
      </w:pPr>
      <w:r>
        <w:rPr>
          <w:rFonts w:ascii="Arial" w:hAnsi="Arial"/>
          <w:b/>
          <w:i/>
          <w:color w:val="000000"/>
          <w:sz w:val="20"/>
        </w:rPr>
        <w:t>Data provided by collaborators and others upon which we rely that have not been independently verified could turn out to be false, misleading or incomplete.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rely on third-party vendors, such as CROs, CMOs, investigators, scientists and other service providers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 </w:t>
      </w:r>
    </w:p>
    <w:p>
      <w:pPr>
        <w:pStyle w:val="TextBody"/>
        <w:bidi w:val="0"/>
        <w:spacing w:before="240" w:after="283"/>
        <w:jc w:val="left"/>
        <w:rPr>
          <w:rFonts w:ascii="Arial" w:hAnsi="Arial"/>
          <w:sz w:val="20"/>
        </w:rPr>
      </w:pPr>
      <w:r>
        <w:rPr>
          <w:rFonts w:ascii="Arial" w:hAnsi="Arial"/>
          <w:b/>
          <w:i/>
          <w:color w:val="000000"/>
          <w:sz w:val="20"/>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anti-corruption,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 </w:t>
      </w:r>
    </w:p>
    <w:p>
      <w:pPr>
        <w:pStyle w:val="TextBody"/>
        <w:bidi w:val="0"/>
        <w:spacing w:before="240" w:after="283"/>
        <w:jc w:val="left"/>
        <w:rPr>
          <w:rFonts w:ascii="Arial" w:hAnsi="Arial"/>
          <w:sz w:val="20"/>
        </w:rPr>
      </w:pPr>
      <w:r>
        <w:rPr>
          <w:rFonts w:ascii="Arial" w:hAnsi="Arial"/>
          <w:b/>
          <w:i/>
          <w:color w:val="000000"/>
          <w:sz w:val="20"/>
        </w:rPr>
        <w:t>If our CMOs and CROs use hazardous materials in a manner that causes injury or violates applicable law, we may be liable for damages.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Our research and development activities involve the controlled use of potentially hazardous substances, including chemical materials by our CMOs and medical and biological materials by our CROs. Our CMOs and CROs are subject to federal, state and local laws and regulations in the US and in the countries in which they operate governing the use, manufacture, storage, handling and disposal of hazardous materials. Although we believe that our CMOs’ and CROs’ procedures for using, handling, storing and disposing of these materials comply with legally prescribed standards, we cannot completely eliminate the risk of contamination or injury resulting from chemical, medical, biological or other potentially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the improper handling of chemical, medical, biological or other potentially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283"/>
        <w:jc w:val="left"/>
        <w:rPr>
          <w:rFonts w:ascii="Arial" w:hAnsi="Arial"/>
          <w:sz w:val="20"/>
        </w:rPr>
      </w:pPr>
      <w:r>
        <w:rPr>
          <w:rFonts w:ascii="Arial" w:hAnsi="Arial"/>
          <w:b/>
          <w:color w:val="000000"/>
          <w:sz w:val="20"/>
        </w:rPr>
        <w:t>Risks Related to Intellectual Property</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i/>
          <w:color w:val="000000"/>
          <w:sz w:val="20"/>
        </w:rPr>
        <w:t>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rely upon a combination of patents, trade secret protection and confidentiality agreements to protect our intellectual property and prevent others from duplicating AT-511 (the free base of bemnifosbuvir), bemnifosbuvir and our in-licensed compound ruzasvir and their use or manufacture, or any of our other pipeline product candidates and any future product candidates. Our success depends in large part on our ability to obtain and maintain patent protection in the US and other countries with respect to such product candidates. </w:t>
      </w:r>
    </w:p>
    <w:p>
      <w:pPr>
        <w:pStyle w:val="TextBody"/>
        <w:bidi w:val="0"/>
        <w:spacing w:before="120" w:after="283"/>
        <w:jc w:val="left"/>
        <w:rPr>
          <w:rFonts w:ascii="Arial" w:hAnsi="Arial"/>
          <w:color w:val="000000"/>
          <w:sz w:val="20"/>
        </w:rPr>
      </w:pPr>
      <w:r>
        <w:rPr>
          <w:rFonts w:ascii="Arial" w:hAnsi="Arial"/>
          <w:color w:val="000000"/>
          <w:sz w:val="20"/>
        </w:rPr>
        <w:t xml:space="preserve">The patent prosecution process is expensive, time-consuming, and complex, and we may not be able to file, prosecute, maintain, enforce, or license all necessary or desirable patents or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 </w:t>
      </w:r>
    </w:p>
    <w:p>
      <w:pPr>
        <w:pStyle w:val="TextBody"/>
        <w:bidi w:val="0"/>
        <w:spacing w:before="120" w:after="283"/>
        <w:jc w:val="left"/>
        <w:rPr>
          <w:rFonts w:ascii="Arial" w:hAnsi="Arial"/>
          <w:color w:val="000000"/>
          <w:sz w:val="20"/>
        </w:rPr>
      </w:pPr>
      <w:r>
        <w:rPr>
          <w:rFonts w:ascii="Arial" w:hAnsi="Arial"/>
          <w:color w:val="000000"/>
          <w:sz w:val="20"/>
        </w:rPr>
        <w:t xml:space="preserve">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US or in other foreign countries. There is no assurance that all of the potentially relevant prior art relating to our patents and patent applications has been found, which can invalidate a patent or prevent a patent from issuing from a pending patent application. Even if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 </w:t>
      </w:r>
    </w:p>
    <w:p>
      <w:pPr>
        <w:pStyle w:val="TextBody"/>
        <w:bidi w:val="0"/>
        <w:spacing w:before="120" w:after="283"/>
        <w:jc w:val="left"/>
        <w:rPr>
          <w:rFonts w:ascii="Arial" w:hAnsi="Arial"/>
          <w:color w:val="000000"/>
          <w:sz w:val="20"/>
        </w:rPr>
      </w:pPr>
      <w:r>
        <w:rPr>
          <w:rFonts w:ascii="Arial" w:hAnsi="Arial"/>
          <w:color w:val="000000"/>
          <w:sz w:val="20"/>
        </w:rPr>
        <w:t xml:space="preserve">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 </w:t>
      </w:r>
    </w:p>
    <w:p>
      <w:pPr>
        <w:pStyle w:val="TextBody"/>
        <w:bidi w:val="0"/>
        <w:spacing w:before="120" w:after="283"/>
        <w:jc w:val="left"/>
        <w:rPr>
          <w:rFonts w:ascii="Arial" w:hAnsi="Arial"/>
          <w:color w:val="000000"/>
          <w:sz w:val="20"/>
        </w:rPr>
      </w:pPr>
      <w:r>
        <w:rPr>
          <w:rFonts w:ascii="Arial" w:hAnsi="Arial"/>
          <w:color w:val="000000"/>
          <w:sz w:val="20"/>
        </w:rPr>
        <w:t xml:space="preserve">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HCV product candidate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 </w:t>
      </w:r>
    </w:p>
    <w:p>
      <w:pPr>
        <w:pStyle w:val="TextBody"/>
        <w:bidi w:val="0"/>
        <w:spacing w:before="120" w:after="283"/>
        <w:jc w:val="left"/>
        <w:rPr>
          <w:rFonts w:ascii="Arial" w:hAnsi="Arial"/>
          <w:color w:val="000000"/>
          <w:sz w:val="20"/>
        </w:rPr>
      </w:pPr>
      <w:r>
        <w:rPr>
          <w:rFonts w:ascii="Arial" w:hAnsi="Arial"/>
          <w:color w:val="000000"/>
          <w:sz w:val="20"/>
        </w:rPr>
        <w:t xml:space="preserve">The issuance of a patent is not conclusive as to its inventorship, ownership, scope, validity or enforceability, and our patents may be challenged in courts or patent offices in the US and abroad. In addition, the issuance of a patent does not give us the right to practice the patented invention, as third parties may have blocking patents that could prevent us from marketing our product candidate, if approved, or practicing our own patented technology. </w:t>
      </w:r>
    </w:p>
    <w:p>
      <w:pPr>
        <w:pStyle w:val="TextBody"/>
        <w:bidi w:val="0"/>
        <w:spacing w:before="120" w:after="283"/>
        <w:jc w:val="left"/>
        <w:rPr>
          <w:rFonts w:ascii="Arial" w:hAnsi="Arial"/>
          <w:color w:val="000000"/>
          <w:sz w:val="20"/>
        </w:rPr>
      </w:pPr>
      <w:r>
        <w:rPr>
          <w:rFonts w:ascii="Arial" w:hAnsi="Arial"/>
          <w:color w:val="000000"/>
          <w:sz w:val="20"/>
        </w:rPr>
        <w:t xml:space="preserve">Wide-ranging patent reform legislation in the US, including the Leahy-Smith America Invents Act of 2011 (“Leahy-Smith Act”), may increase the uncertainty of the strength or enforceability of our intellectual property and the cost to defend it. The Leahy-Smith Act reforms included a number of significant changes to US patent law, including provisions that affect the way patent applications are prosecuted and also affect patent litigation. Under the Leahy-Smith Act, the US transitioned from a “first-to-invent” to a “first-to-file” system for deciding which party should be granted a patent when two or more patent applications are filed by different 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third-party filed a patent application before effectiveness of applicable provisions of the Leahy-Smith Act, on March 16, 2013, an interference proceeding in the US can be initiated by a third-party to determine if it was the first to invent any of the subject matter covered by the claims of our patent applications. We may also be subject to a third-party preissuance submission of prior art to the US Patent and Trademark Office (“USPTO”). </w:t>
      </w:r>
    </w:p>
    <w:p>
      <w:pPr>
        <w:pStyle w:val="TextBody"/>
        <w:bidi w:val="0"/>
        <w:spacing w:before="120" w:after="283"/>
        <w:jc w:val="left"/>
        <w:rPr>
          <w:rFonts w:ascii="Arial" w:hAnsi="Arial"/>
          <w:color w:val="000000"/>
          <w:sz w:val="20"/>
        </w:rPr>
      </w:pPr>
      <w:r>
        <w:rPr>
          <w:rFonts w:ascii="Arial" w:hAnsi="Arial"/>
          <w:color w:val="000000"/>
          <w:sz w:val="20"/>
        </w:rPr>
        <w:t xml:space="preserve">The Leahy-Smith Act created for the first time new procedures to challenge issued patents in the US,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a third-party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third-party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w:t>
      </w:r>
    </w:p>
    <w:p>
      <w:pPr>
        <w:pStyle w:val="TextBody"/>
        <w:bidi w:val="0"/>
        <w:spacing w:before="120" w:after="283"/>
        <w:jc w:val="left"/>
        <w:rPr>
          <w:rFonts w:ascii="Arial" w:hAnsi="Arial"/>
          <w:color w:val="000000"/>
          <w:sz w:val="20"/>
        </w:rPr>
      </w:pPr>
      <w:r>
        <w:rPr>
          <w:rFonts w:ascii="Arial" w:hAnsi="Arial"/>
          <w:color w:val="000000"/>
          <w:sz w:val="20"/>
        </w:rPr>
        <w:t xml:space="preserve">As a result of all of the foregoing, the issuance, scope, validity, enforceability and commercial value of our patent rights are highly uncertain, which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Third-party claims of intellectual property infringement, misappropriation or other violation may result in substantial costs or prevent or delay our development and commercialization efforts.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commercial success depends in part on our avoiding actual and allegations of infringement, misappropriation or other violation of the patents and other proprietary rights of third parties. There is a substantial amount of litigation, both within and outside the US,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(“EPO”). Numerous US and foreign issued patents and pending patent applications, which are owned by third parties, exist in the fields in which we are pursuing development candidates. As the pharmaceutical industry expands and more patents are issued, and as third parties become more aware of our product pipeline, the risk increases that our product candidates may be subject to claims of infringement of the patent rights of third parties. </w:t>
      </w:r>
    </w:p>
    <w:p>
      <w:pPr>
        <w:pStyle w:val="TextBody"/>
        <w:bidi w:val="0"/>
        <w:spacing w:before="120" w:after="283"/>
        <w:jc w:val="left"/>
        <w:rPr>
          <w:rFonts w:ascii="Arial" w:hAnsi="Arial"/>
          <w:color w:val="000000"/>
          <w:sz w:val="20"/>
        </w:rPr>
      </w:pPr>
      <w:r>
        <w:rPr>
          <w:rFonts w:ascii="Arial" w:hAnsi="Arial"/>
          <w:color w:val="000000"/>
          <w:sz w:val="20"/>
        </w:rPr>
        <w:t>For example, in March 2021, fourteen years after its priority date, Gilead Sciences first presented a patent claim to the USPTO that purports to cover bemnifosbuvir. On May 9, 2023, the USPTO issued US Patent No. 11,642,361 (“ ‘361 patent”) with an amended claim (“Claim”) to Gilead Sciences that purports to cover bemnifosbuvir. We believe that the ‘361 patent, if valid and enforceable, will expire in mid-2028. On August 7, 2023, we filed a Post Grant Review Petition with the USPTO Patent Trial and Appeal Board (“PTAB”), challenging the issuance of the Claim to Gilead, on the basis that the Claim is not supported by the written description of the ‘361 patent and that the ‘361 patent does not have an enabling disclosure for the Claim. In February 2024, the PTAB denied to exercise its discretion to institute the post grant proceeding. This denial does not stop us from making the same or similar arguments, or additional arguments, nor from bringing the same or new evidence of invalidity or unenforceability in court if Gilead Sciences files an infringement suit. However, while we believe this Claim is invalid and unenforceable, a trial court or an appellate court may disagree and uphold the Claim of the '361 patent, which would require us, prior to commercialization of a product candidate containing bemnifosbuvir to obtain a license from Gilead Sciences to the ‘361 patent. Such a license may not be available on reasonable terms or at all. If a license is required and we are unable to obtain such license, commercialization of approved product candidates, if any, containing bemnifosbuvir may not be able to continue without infringement which could result in significant cost or prevent us from commercializing such product candidate.</w:t>
      </w:r>
    </w:p>
    <w:p>
      <w:pPr>
        <w:pStyle w:val="TextBody"/>
        <w:bidi w:val="0"/>
        <w:spacing w:before="120" w:after="283"/>
        <w:jc w:val="left"/>
        <w:rPr>
          <w:rFonts w:ascii="Arial" w:hAnsi="Arial"/>
          <w:color w:val="000000"/>
          <w:sz w:val="20"/>
        </w:rPr>
      </w:pPr>
      <w:r>
        <w:rPr>
          <w:rFonts w:ascii="Arial" w:hAnsi="Arial"/>
          <w:color w:val="000000"/>
          <w:sz w:val="20"/>
        </w:rPr>
        <w:t xml:space="preserve">On October 22, 2024, seventeen years after its priority date, the USPTO issued US Pat. No. 12,121,529 (“ '529 patent”) to Gilead Sciences with claims that again purport to cover bemnifosbuvir. We believe that the '529 patent will expire in March 2028. While we believe these claims are also invalid and unenforceable, a trial court or an appellate court may disagree and uphold one or more claims of the '529 patent, which would require us to obtain a license from Gilead Sciences to the '529 patent prior to commercialization of a bemnifosbuvir product candidate. Such a license may not be available on reasonable terms or at all. If a license is required and we are unable to obtain such license, commercialization of approved product candidates, if any, containing bemnifosbuvir may not be able to continue without infringement which could result in significant cost or prevent us from commercializing such product candidate. </w:t>
      </w:r>
    </w:p>
    <w:p>
      <w:pPr>
        <w:pStyle w:val="TextBody"/>
        <w:bidi w:val="0"/>
        <w:spacing w:before="120" w:after="283"/>
        <w:jc w:val="left"/>
        <w:rPr>
          <w:rFonts w:ascii="Arial" w:hAnsi="Arial"/>
          <w:color w:val="000000"/>
          <w:sz w:val="20"/>
        </w:rPr>
      </w:pPr>
      <w:r>
        <w:rPr>
          <w:rFonts w:ascii="Arial" w:hAnsi="Arial"/>
          <w:color w:val="000000"/>
          <w:sz w:val="20"/>
        </w:rPr>
        <w:t xml:space="preserve">Third party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w:t>
      </w:r>
    </w:p>
    <w:p>
      <w:pPr>
        <w:pStyle w:val="TextBody"/>
        <w:bidi w:val="0"/>
        <w:spacing w:before="120" w:after="283"/>
        <w:jc w:val="left"/>
        <w:rPr>
          <w:rFonts w:ascii="Arial" w:hAnsi="Arial"/>
          <w:color w:val="000000"/>
          <w:sz w:val="20"/>
        </w:rPr>
      </w:pPr>
      <w:r>
        <w:rPr>
          <w:rFonts w:ascii="Arial" w:hAnsi="Arial"/>
          <w:color w:val="000000"/>
          <w:sz w:val="20"/>
        </w:rPr>
        <w:t xml:space="preserve">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or otherwise violate third-party patent or other intellectual property rights. Because patent applications can take many years to issue, there may be currently pending patent applications which may later result in issued patents our product candidates may infringe. In addition, third parties may obtain patents in the future and claim that use of our technologies infringes upon these patents. Pending patent applications that have been published can, or subject to certain limitations, later present claims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w:t>
      </w:r>
    </w:p>
    <w:p>
      <w:pPr>
        <w:pStyle w:val="TextBody"/>
        <w:bidi w:val="0"/>
        <w:spacing w:before="120" w:after="283"/>
        <w:jc w:val="left"/>
        <w:rPr>
          <w:rFonts w:ascii="Arial" w:hAnsi="Arial"/>
          <w:color w:val="000000"/>
          <w:sz w:val="20"/>
        </w:rPr>
      </w:pPr>
      <w:r>
        <w:rPr>
          <w:rFonts w:ascii="Arial" w:hAnsi="Arial"/>
          <w:color w:val="000000"/>
          <w:sz w:val="20"/>
        </w:rPr>
        <w:t xml:space="preserve">Our interpretation of the relevance or the scope of a patent or a pending application may be incorrect, which may negatively impact our ability to market our product candidates. To challenge the validity of a US patent, we would need to initiate an action either in federal court or at the PTAB as we have done against the '361 patent. An action brought before the PTAB must be timely submitted within nine months of the issuance of the patent we are seeking to challenge unless based on published prior art. In either a PTAB or federal court proceeding, there is no assurance that the PTAB or a court of competent jurisdiction would invalidate the claims of any such US patent or, if a PTAB decision is appealed, that a federal court would uphold a PTAB determination of invalidity.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 a license under the applicable patents, which may not be available at all or on commercially reasonable terms, or until such patents expire. </w:t>
      </w:r>
    </w:p>
    <w:p>
      <w:pPr>
        <w:pStyle w:val="TextBody"/>
        <w:bidi w:val="0"/>
        <w:spacing w:before="120" w:after="283"/>
        <w:jc w:val="left"/>
        <w:rPr>
          <w:rFonts w:ascii="Arial" w:hAnsi="Arial"/>
          <w:color w:val="000000"/>
          <w:sz w:val="20"/>
        </w:rPr>
      </w:pPr>
      <w:r>
        <w:rPr>
          <w:rFonts w:ascii="Arial" w:hAnsi="Arial"/>
          <w:color w:val="000000"/>
          <w:sz w:val="20"/>
        </w:rPr>
        <w:t xml:space="preserve">Litigation and contested proceedings can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third-party’s intellectual property. </w:t>
      </w:r>
    </w:p>
    <w:p>
      <w:pPr>
        <w:pStyle w:val="TextBody"/>
        <w:bidi w:val="0"/>
        <w:spacing w:before="120" w:after="283"/>
        <w:jc w:val="left"/>
        <w:rPr>
          <w:rFonts w:ascii="Arial" w:hAnsi="Arial"/>
          <w:color w:val="000000"/>
          <w:sz w:val="20"/>
        </w:rPr>
      </w:pPr>
      <w:r>
        <w:rPr>
          <w:rFonts w:ascii="Arial" w:hAnsi="Arial"/>
          <w:color w:val="000000"/>
          <w:sz w:val="20"/>
        </w:rPr>
        <w:t xml:space="preserve">Parties making claims against us may seek to obtain injunctive or other equitable relief, which could if granted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might include terms that impede or destroy our ability to compete successfully in the commercial marketplace. Any of the foregoing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A number of companies and universities file and obtain patents in the same area as our product candidates, and these patent filings could be asserted against us, which may affect our business, and if successful, could lead to expensive litigation, affect the profitability of our products and/or prohibit the sale of a product or its use.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Bemnifosbuvir, the product candidate we are developing in combination with ruzasvir for the treatment of HCV, and AT-587, the product candidate we are developing for the treatment of HEV, are each nucleotide prodrugs and other product candidates we may develop, may also be or include nucleotide prodrugs, or nucleotide phosphoramidates. A number of companies and universities have patent applications and issued patents in this general area, including for viral indications, such as, for example, Gilead Pharmasset, LLC; Gilead Sciences; Merck &amp; Co.; Bristol Myers Squibb; F. Hoffmann-La-Roche Ltd.; University of Cardiff; University College Cardiff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Consultants; NuCana, plc; Janssen Pharmaceutical Companies; Medivir AB;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w:t>
      </w:r>
    </w:p>
    <w:p>
      <w:pPr>
        <w:pStyle w:val="TextBody"/>
        <w:bidi w:val="0"/>
        <w:spacing w:before="120" w:after="283"/>
        <w:jc w:val="left"/>
        <w:rPr>
          <w:rFonts w:ascii="Arial" w:hAnsi="Arial"/>
          <w:color w:val="000000"/>
          <w:sz w:val="20"/>
        </w:rPr>
      </w:pPr>
      <w:r>
        <w:rPr>
          <w:rFonts w:ascii="Arial" w:hAnsi="Arial"/>
          <w:color w:val="000000"/>
          <w:sz w:val="20"/>
        </w:rPr>
        <w:t xml:space="preserve">For example, we note that Gilead Sciences obtained the US '361 patent sixteen years after its priority date that includes a Claim that purportedly covers bemnifosbuvir. We requested the PTAB Board to institute a post grant review of this patent and it declined to exercise its discretion to do so. This denial does not stop us from making the same or similar arguments, or additional arguments, nor from bringing the same or new evidence of invalidity or unenforceability in court if Gilead files an infringement suit. While we believe this Claim is invalid and unenforceable, a trial court or an appellate court may disagree and uphold the Claim of the '361 patent, which would require us, prior to commercialization of a bemnifosbuvir product candidate to obtain a license from Gilead Sciences to the ‘361 patent. Such a license may not be available on reasonable terms or at all. If a license is required and we are unable to obtain such license, commercialization of approved product candidates, if any, containing bemnifosbuvir may not be able to continue without infringement which could result in significant cost or prevent us from commercializing such product candidate. </w:t>
      </w:r>
    </w:p>
    <w:p>
      <w:pPr>
        <w:pStyle w:val="TextBody"/>
        <w:bidi w:val="0"/>
        <w:spacing w:before="120" w:after="283"/>
        <w:jc w:val="left"/>
        <w:rPr>
          <w:rFonts w:ascii="Arial" w:hAnsi="Arial"/>
          <w:color w:val="000000"/>
          <w:sz w:val="20"/>
        </w:rPr>
      </w:pPr>
      <w:r>
        <w:rPr>
          <w:rFonts w:ascii="Arial" w:hAnsi="Arial"/>
          <w:color w:val="000000"/>
          <w:sz w:val="20"/>
        </w:rPr>
        <w:t xml:space="preserve">Additionally, on October 22, 2024, seventeen years after its priority date, Gilead Sciences obtained US ‘529 patent with claims that also purport to cover bemnifosbuvir. While we believe these claims are also invalid and unenforceable, a trial court or an appellate court may disagree and uphold one or more claims of the '529 patent, which would require us to obtain a license from Gilead Sciences to the ‘529 patent. Such a license may not be available on reasonable terms or at all. If a license is required and we are unable to obtain such license, commercialization of approved product candidates, if any, containing bemnifosbuvir may not be able to continue without infringement which could result in significant cost or prevent us from commercializing such product candidate. </w:t>
      </w:r>
    </w:p>
    <w:p>
      <w:pPr>
        <w:pStyle w:val="TextBody"/>
        <w:bidi w:val="0"/>
        <w:spacing w:before="240" w:after="283"/>
        <w:jc w:val="left"/>
        <w:rPr>
          <w:rFonts w:ascii="Arial" w:hAnsi="Arial"/>
          <w:sz w:val="20"/>
        </w:rPr>
      </w:pPr>
      <w:r>
        <w:rPr>
          <w:rFonts w:ascii="Arial" w:hAnsi="Arial"/>
          <w:b/>
          <w:i/>
          <w:color w:val="000000"/>
          <w:sz w:val="20"/>
        </w:rPr>
        <w:t>Our products are subject to The Drug Price Competition and Patent Term Restoration Act of 1984, as amended (also referred to as the Hatch-Waxman Act), in the US, that can increase the risk of litigation with generic companies trying to sell our products, and may cause us to lose patent protection.</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Because our clinical candidates are pharmaceutical molecules reviewed by the Center for Drug Evaluation and Research of the FDA, after commercialization they will be subject in the US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 </w:t>
      </w:r>
    </w:p>
    <w:p>
      <w:pPr>
        <w:pStyle w:val="TextBody"/>
        <w:bidi w:val="0"/>
        <w:spacing w:before="120" w:after="283"/>
        <w:jc w:val="left"/>
        <w:rPr>
          <w:rFonts w:ascii="Arial" w:hAnsi="Arial"/>
          <w:color w:val="000000"/>
          <w:sz w:val="20"/>
        </w:rPr>
      </w:pPr>
      <w:r>
        <w:rPr>
          <w:rFonts w:ascii="Arial" w:hAnsi="Arial"/>
          <w:color w:val="000000"/>
          <w:sz w:val="20"/>
        </w:rPr>
        <w:t xml:space="preserve">Currently, in the US, the FDA may grant five years of exclusivity for new chemical entities (“NCEs”) for which most or all of our products may qualify. An NCE is a drug that contains no active moiety that has been approved by the FDA in any other NDA. A generic company can submit an ANDA to the FDA four years after approval of our product.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the FDA is prevented from issuing a final approval on the generic drug until 30 months from the date the litigation is started,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also not be subject to such a review or that the result of the review would be favorable to us, which could result in a fine or penalty.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 </w:t>
      </w:r>
    </w:p>
    <w:p>
      <w:pPr>
        <w:pStyle w:val="TextBody"/>
        <w:bidi w:val="0"/>
        <w:spacing w:before="240" w:after="283"/>
        <w:jc w:val="left"/>
        <w:rPr>
          <w:rFonts w:ascii="Arial" w:hAnsi="Arial"/>
          <w:sz w:val="20"/>
        </w:rPr>
      </w:pPr>
      <w:r>
        <w:rPr>
          <w:rFonts w:ascii="Arial" w:hAnsi="Arial"/>
          <w:b/>
          <w:i/>
          <w:color w:val="000000"/>
          <w:sz w:val="20"/>
        </w:rPr>
        <w:t>Patent terms may be inadequate to protect our competitive position on our products for an adequate amount of time.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term of any individual patent depends on applicable law in the country where the patent is granted. In the US,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product candidates might expire before or shortly after such product candidates are commercialized. For patents that are eligible for extension of patent term, we expect to seek extensions of patent terms in the US and, if available, in other countries, however there can be no assurance that we will be granted any patent term extension we seek, or that any such patent term extension will provide us with any competitive advantage. </w:t>
      </w:r>
    </w:p>
    <w:p>
      <w:pPr>
        <w:pStyle w:val="TextBody"/>
        <w:bidi w:val="0"/>
        <w:spacing w:before="240" w:after="283"/>
        <w:jc w:val="left"/>
        <w:rPr>
          <w:rFonts w:ascii="Arial" w:hAnsi="Arial"/>
          <w:sz w:val="20"/>
        </w:rPr>
      </w:pPr>
      <w:r>
        <w:rPr>
          <w:rFonts w:ascii="Arial" w:hAnsi="Arial"/>
          <w:b/>
          <w:i/>
          <w:color w:val="000000"/>
          <w:sz w:val="20"/>
        </w:rPr>
        <w:t>The Hatch-Waxman Act in the US provides for the opportunity to seek a patent term extension on one selected patent for each of our products, and the length of that patent term extension, if at all, is subject to review and approval by the USPTO and the FDA.</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the US,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USPTO in the US, and any equivalent regulatory authorities in other countries, may not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our patent covering the product has expired or been held invalid by a court of final jurisdiction. If this were to occur, it could have a material adverse effect on our ability to generate product revenue. </w:t>
      </w:r>
    </w:p>
    <w:p>
      <w:pPr>
        <w:pStyle w:val="TextBody"/>
        <w:bidi w:val="0"/>
        <w:spacing w:before="120" w:after="283"/>
        <w:jc w:val="left"/>
        <w:rPr>
          <w:rFonts w:ascii="Arial" w:hAnsi="Arial"/>
          <w:color w:val="000000"/>
          <w:sz w:val="20"/>
        </w:rPr>
      </w:pPr>
      <w:r>
        <w:rPr>
          <w:rFonts w:ascii="Arial" w:hAnsi="Arial"/>
          <w:color w:val="000000"/>
          <w:sz w:val="20"/>
        </w:rPr>
        <w:t xml:space="preserve">In 1997, as part of the Food &amp; Drug Administration Modernization Act,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 </w:t>
      </w:r>
    </w:p>
    <w:p>
      <w:pPr>
        <w:pStyle w:val="TextBody"/>
        <w:bidi w:val="0"/>
        <w:spacing w:before="120" w:after="283"/>
        <w:jc w:val="left"/>
        <w:rPr>
          <w:rFonts w:ascii="Arial" w:hAnsi="Arial"/>
          <w:color w:val="000000"/>
          <w:sz w:val="20"/>
        </w:rPr>
      </w:pPr>
      <w:r>
        <w:rPr>
          <w:rFonts w:ascii="Arial" w:hAnsi="Arial"/>
          <w:color w:val="000000"/>
          <w:sz w:val="20"/>
        </w:rPr>
        <w:t xml:space="preserve">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 </w:t>
      </w:r>
    </w:p>
    <w:p>
      <w:pPr>
        <w:pStyle w:val="TextBody"/>
        <w:bidi w:val="0"/>
        <w:spacing w:before="240" w:after="283"/>
        <w:jc w:val="left"/>
        <w:rPr>
          <w:rFonts w:ascii="Arial" w:hAnsi="Arial"/>
          <w:sz w:val="20"/>
        </w:rPr>
      </w:pPr>
      <w:r>
        <w:rPr>
          <w:rFonts w:ascii="Arial" w:hAnsi="Arial"/>
          <w:b/>
          <w:i/>
          <w:color w:val="000000"/>
          <w:sz w:val="20"/>
        </w:rPr>
        <w:t>If we are unable to obtain licenses from third parties on commercially reasonable terms or at all, or fail to comply with our obligations under such agreements, our business could be harmed.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bidi w:val="0"/>
        <w:spacing w:before="120" w:after="283"/>
        <w:jc w:val="left"/>
        <w:rPr>
          <w:rFonts w:ascii="Arial" w:hAnsi="Arial"/>
          <w:color w:val="000000"/>
          <w:sz w:val="20"/>
        </w:rPr>
      </w:pPr>
      <w:r>
        <w:rPr>
          <w:rFonts w:ascii="Arial" w:hAnsi="Arial"/>
          <w:color w:val="000000"/>
          <w:sz w:val="20"/>
        </w:rPr>
        <w:t xml:space="preserve">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0"/>
        </w:rPr>
      </w:pPr>
      <w:r>
        <w:rPr>
          <w:rFonts w:ascii="Arial" w:hAnsi="Arial"/>
          <w:b/>
          <w:i/>
          <w:color w:val="000000"/>
          <w:sz w:val="20"/>
        </w:rPr>
        <w:t>Litigation and adversarial proceedings are expensive, time-consuming and if unsuccessful, can adversely affect our ability to sell our products when commercialized.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w:t>
      </w:r>
    </w:p>
    <w:p>
      <w:pPr>
        <w:pStyle w:val="TextBody"/>
        <w:bidi w:val="0"/>
        <w:spacing w:before="120" w:after="283"/>
        <w:jc w:val="left"/>
        <w:rPr>
          <w:rFonts w:ascii="Arial" w:hAnsi="Arial"/>
          <w:color w:val="000000"/>
          <w:sz w:val="20"/>
        </w:rPr>
      </w:pPr>
      <w:r>
        <w:rPr>
          <w:rFonts w:ascii="Arial" w:hAnsi="Arial"/>
          <w:color w:val="000000"/>
          <w:sz w:val="20"/>
        </w:rPr>
        <w:t>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w:t>
      </w:r>
    </w:p>
    <w:p>
      <w:pPr>
        <w:pStyle w:val="TextBody"/>
        <w:bidi w:val="0"/>
        <w:spacing w:before="120" w:after="283"/>
        <w:jc w:val="left"/>
        <w:rPr>
          <w:rFonts w:ascii="Arial" w:hAnsi="Arial"/>
          <w:color w:val="000000"/>
          <w:sz w:val="20"/>
        </w:rPr>
      </w:pPr>
      <w:r>
        <w:rPr>
          <w:rFonts w:ascii="Arial" w:hAnsi="Arial"/>
          <w:color w:val="000000"/>
          <w:sz w:val="20"/>
        </w:rPr>
        <w:t xml:space="preserve">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 </w:t>
      </w:r>
    </w:p>
    <w:p>
      <w:pPr>
        <w:pStyle w:val="TextBody"/>
        <w:bidi w:val="0"/>
        <w:spacing w:before="120" w:after="283"/>
        <w:jc w:val="left"/>
        <w:rPr>
          <w:rFonts w:ascii="Arial" w:hAnsi="Arial"/>
          <w:color w:val="000000"/>
          <w:sz w:val="20"/>
        </w:rPr>
      </w:pPr>
      <w:r>
        <w:rPr>
          <w:rFonts w:ascii="Arial" w:hAnsi="Arial"/>
          <w:color w:val="000000"/>
          <w:sz w:val="20"/>
        </w:rPr>
        <w:t xml:space="preserve">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 </w:t>
      </w:r>
    </w:p>
    <w:p>
      <w:pPr>
        <w:pStyle w:val="TextBody"/>
        <w:bidi w:val="0"/>
        <w:spacing w:before="120" w:after="283"/>
        <w:jc w:val="left"/>
        <w:rPr>
          <w:rFonts w:ascii="Arial" w:hAnsi="Arial"/>
          <w:sz w:val="20"/>
        </w:rPr>
      </w:pPr>
      <w:r>
        <w:rPr>
          <w:rFonts w:ascii="Arial" w:hAnsi="Arial"/>
          <w:color w:val="000000"/>
          <w:sz w:val="20"/>
        </w:rPr>
        <w:t xml:space="preserve">On June 3, 2019, we received an anonymous third-party Observation filed in connection with our international Patent Cooperation Treaty patent application for our second patent family, which covers the hemisulfate salt form of AT-511, or bemnifosbuvir. The Observation generally challenged the patentability of the hemisulfate salt bemnifosbuvir over the free base AT-511 described in our first patent family. On August 1, 2019, we filed a response to the Observation describing that the bemnifosbuvir hemisulfate salt of AT-511 is not obvious in view of the AT-511 free base because bemnifosbuvir disproportionately concentrates in the liver over the heart, as shown </w:t>
      </w:r>
      <w:r>
        <w:rPr>
          <w:rFonts w:ascii="Arial" w:hAnsi="Arial"/>
          <w:i/>
          <w:color w:val="000000"/>
          <w:sz w:val="20"/>
        </w:rPr>
        <w:t>in vivo</w:t>
      </w:r>
      <w:r>
        <w:rPr>
          <w:rFonts w:ascii="Arial" w:hAnsi="Arial"/>
          <w:color w:val="000000"/>
          <w:sz w:val="20"/>
        </w:rPr>
        <w:t xml:space="preserve"> in a dog model, which can provide an increased therapeutic effect to treat HCV, and decreased toxicity because HCV is a disease of the liver. Further, while not raised in the response to the Observation, we have now also shown that bemnifosbuvir has a longer half-life and higher concentration in the lung than in the liver </w:t>
      </w:r>
      <w:r>
        <w:rPr>
          <w:rFonts w:ascii="Arial" w:hAnsi="Arial"/>
          <w:i/>
          <w:color w:val="000000"/>
          <w:sz w:val="20"/>
        </w:rPr>
        <w:t>in vivo</w:t>
      </w:r>
      <w:r>
        <w:rPr>
          <w:rFonts w:ascii="Arial" w:hAnsi="Arial"/>
          <w:color w:val="000000"/>
          <w:sz w:val="20"/>
        </w:rPr>
        <w:t xml:space="preserve"> in monkeys. Observations by anonymous third parties as well as our responses are placed in a file and available to be read and considered by an examiner from any country examining our respective patent applications. </w:t>
      </w:r>
    </w:p>
    <w:p>
      <w:pPr>
        <w:pStyle w:val="TextBody"/>
        <w:bidi w:val="0"/>
        <w:spacing w:before="120" w:after="283"/>
        <w:jc w:val="left"/>
        <w:rPr>
          <w:rFonts w:ascii="Arial" w:hAnsi="Arial"/>
          <w:color w:val="000000"/>
          <w:sz w:val="20"/>
        </w:rPr>
      </w:pPr>
      <w:r>
        <w:rPr>
          <w:rFonts w:ascii="Arial" w:hAnsi="Arial"/>
          <w:color w:val="000000"/>
          <w:sz w:val="20"/>
        </w:rPr>
        <w:t>Our composition of matter patent filing on bemnifosbuvir has now been granted in over 70 countries including the US, Europe, China, Japan, Korea, Australia, Brazil, Eurasia, Canada, Israel, New Zealand, South Africa, Russia and Mexico, and is pending in certain other countries and regions.</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Our patent on AT-511 or its pharmaceutically acceptable salt, which includes bemnifosbuvir, has been granted in over 70 countries including the US, Europe, China, Japan, Korea, Australia, Eurasia, Canada, Israel, Singapore, Malaysia, Indonesia, Georgia, Russia, Ukraine, Columbia and Mexico, and is also pending in certain other countries and regions. </w:t>
      </w:r>
    </w:p>
    <w:p>
      <w:pPr>
        <w:pStyle w:val="TextBody"/>
        <w:bidi w:val="0"/>
        <w:spacing w:before="120" w:after="283"/>
        <w:jc w:val="left"/>
        <w:rPr>
          <w:rFonts w:ascii="Arial" w:hAnsi="Arial"/>
          <w:color w:val="000000"/>
          <w:sz w:val="20"/>
        </w:rPr>
      </w:pPr>
      <w:r>
        <w:rPr>
          <w:rFonts w:ascii="Arial" w:hAnsi="Arial"/>
          <w:color w:val="000000"/>
          <w:sz w:val="20"/>
        </w:rPr>
        <w:t xml:space="preserve">On November 4, 2025, the USPTO issued US Patent No. 12,458,656 that covers our method for treating HCV using the combination of bemnifosbuvir and ruzasvir. The expected year of expiration for this patent family, if valid and enforceable, is 2042, without regard to adjustments of term that may be available in the US or other national laws. Similar applications are pending in other countries. </w:t>
      </w:r>
    </w:p>
    <w:p>
      <w:pPr>
        <w:pStyle w:val="TextBody"/>
        <w:bidi w:val="0"/>
        <w:spacing w:before="120" w:after="283"/>
        <w:jc w:val="left"/>
        <w:rPr>
          <w:rFonts w:ascii="Arial" w:hAnsi="Arial"/>
          <w:color w:val="000000"/>
          <w:sz w:val="20"/>
        </w:rPr>
      </w:pPr>
      <w:r>
        <w:rPr>
          <w:rFonts w:ascii="Arial" w:hAnsi="Arial"/>
          <w:color w:val="000000"/>
          <w:sz w:val="20"/>
        </w:rPr>
        <w:t>We also solely own a patent application covering the FDC of bemnifosbuvir and ruzasvir. The expected year of expiration for patents, if any, issuing from this application, if valid and enforceable, is 2046, without regard to any adjustments of term that may be available under US or other national law.</w:t>
      </w:r>
    </w:p>
    <w:p>
      <w:pPr>
        <w:pStyle w:val="TextBody"/>
        <w:bidi w:val="0"/>
        <w:spacing w:before="120" w:after="283"/>
        <w:jc w:val="left"/>
        <w:rPr>
          <w:rFonts w:ascii="Arial" w:hAnsi="Arial"/>
          <w:color w:val="000000"/>
          <w:sz w:val="20"/>
        </w:rPr>
      </w:pPr>
      <w:r>
        <w:rPr>
          <w:rFonts w:ascii="Arial" w:hAnsi="Arial"/>
          <w:color w:val="000000"/>
          <w:sz w:val="20"/>
        </w:rPr>
        <w:t>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w:t>
      </w:r>
    </w:p>
    <w:p>
      <w:pPr>
        <w:pStyle w:val="TextBody"/>
        <w:bidi w:val="0"/>
        <w:spacing w:before="120" w:after="283"/>
        <w:jc w:val="left"/>
        <w:rPr>
          <w:rFonts w:ascii="Arial" w:hAnsi="Arial"/>
          <w:color w:val="000000"/>
          <w:sz w:val="20"/>
        </w:rPr>
      </w:pPr>
      <w:r>
        <w:rPr>
          <w:rFonts w:ascii="Arial" w:hAnsi="Arial"/>
          <w:color w:val="000000"/>
          <w:sz w:val="20"/>
        </w:rPr>
        <w:t>On April 12, 2022, we received notification of a Pre-Grant Opposition from the Controller General of Patents, Designs, and Trademarks at the Indian Patent Office. The Opposition was filed by Sankalp Rehabilitation Trust and challenged our pending patent claims to AT-511 or a pharmaceutically acceptable salt thereof. In February 2023, we responded to this Pre-Grant Opposition. We are currently awaiting further action on this matter by the Indian Patent Office. In addition to the Pre-Grant Opposition related to AT-511 or a pharmaceutically acceptable salt thereof (which bemnifosbuvir would fall under), we received notification of a second Pre-Grant Opposition filed by the Sankalp Rehabilitation Trust. This second Pre-Grant Opposition challenges our pending patent claims to bemnifosbuvir. In October 2023, we responded to this second Pre-Grant Opposition. A hearing on the matter was held in April 2024. In June 2024, the Indian Patent Office issued a decision refusing the claims to bemnifosbuvir on the basis that a new salt of a known compound is not patentable under section 3(d) of the Indian Patent Act. This decision was not appealed. While we intend to vigorously defend our patent claims on AT-511 or a pharmaceutically acceptable salt thereof and their use to treat HCV in India, we cannot guarantee that the Indian Patent Office will decide in our favor with respect to the pending Pre-Grant Opposition and allow our patent claims to AT-511 or a pharmaceutically acceptable salt thereof (which bemnifosbuvir would fall under). In addition, Pre-Grant Oppositions in India can proceed very slowly, and therefore these proceedings may not be resolved for several years. Our patent applications will not issue as a patent on AT-511 or a pharmaceutically acceptable salt thereof or their use to treat HCV in India unless and until the Pre-Grant Opposition is resolved in our favor. If it is not resolved in our favor, we may not receive patents on AT-511, bemnifosbuvir or their use to treat HCV in India. Further, there is no guarantee that other companies will not also file Pre-Grant Opposition Proceedings, or if the patent issues, one or more Post-Grant Oppositions, challenging our patent rights in AT-511.</w:t>
      </w:r>
    </w:p>
    <w:p>
      <w:pPr>
        <w:pStyle w:val="TextBody"/>
        <w:bidi w:val="0"/>
        <w:spacing w:before="240" w:after="283"/>
        <w:jc w:val="left"/>
        <w:rPr>
          <w:rFonts w:ascii="Arial" w:hAnsi="Arial"/>
          <w:sz w:val="20"/>
        </w:rPr>
      </w:pPr>
      <w:r>
        <w:rPr>
          <w:rFonts w:ascii="Arial" w:hAnsi="Arial"/>
          <w:b/>
          <w:i/>
          <w:color w:val="000000"/>
          <w:sz w:val="20"/>
        </w:rPr>
        <w:t>Changes in patent laws and enforcement by courts and other authorities in the US and other jurisdictions may impact our ability to protect our patents.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US Supreme Court and lower courts have issued opinions in patent cases in the last few years that many consider may weaken patent protection in the US,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 </w:t>
      </w:r>
    </w:p>
    <w:p>
      <w:pPr>
        <w:pStyle w:val="TextBody"/>
        <w:bidi w:val="0"/>
        <w:spacing w:before="120" w:after="283"/>
        <w:jc w:val="left"/>
        <w:rPr>
          <w:rFonts w:ascii="Arial" w:hAnsi="Arial"/>
          <w:color w:val="000000"/>
          <w:sz w:val="20"/>
        </w:rPr>
      </w:pPr>
      <w:r>
        <w:rPr>
          <w:rFonts w:ascii="Arial" w:hAnsi="Arial"/>
          <w:color w:val="000000"/>
          <w:sz w:val="20"/>
        </w:rPr>
        <w:t xml:space="preserve">In June 2023, the European Unitary Patent system and the European Unified Patent Court (“UPC”) were launched. European patentees now have the option, upon grant of a patent, of obtaining a Unitary Patent which is subject to the jurisdiction of the UPC, or nationalizing the patent directly in one or all European countries that are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members of the EPO. In addition, conventional European patents, both already granted at the time the new system began and granted thereafter, are subject to the jurisdiction of the UPC, unless actively opted out. This was a significant change in European patent practice. Deciding whether to opt-in or opt-out of Unitary Patent practice entails strategic and cost considerations. The UPC provides our competitors with a new forum to centrally revoke our European patents and makes it possible for a competitor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120" w:after="283"/>
        <w:jc w:val="left"/>
        <w:rPr>
          <w:rFonts w:ascii="Arial" w:hAnsi="Arial"/>
          <w:color w:val="000000"/>
          <w:sz w:val="20"/>
        </w:rPr>
      </w:pPr>
      <w:r>
        <w:rPr>
          <w:rFonts w:ascii="Arial" w:hAnsi="Arial"/>
          <w:color w:val="000000"/>
          <w:sz w:val="20"/>
        </w:rPr>
        <w:t>The laws of some foreign jurisdictions do not protect intellectual property rights to the same extent as in the US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ability to compete and our business prospects in such marketplaces could be substantially harmed. For example, we have been notified that a Pre-Grant Opposition has been filed with the Controller General of Patents, Designs and Trademarks at the Indian Patent Office relating to our pending patent claims to AT-511 or a pharmaceutically acceptable salt thereof (which claim bemnifosbuvir would fall under) and its use to treat HCV in India. While we intend to defend our patent claims for AT-511 or a pharmaceutically acceptable salt thereof (which claim bemnifosbuvir would fall under) and its use to treat HCV, we cannot provide any assurance that we will succeed or that the Indian patent office will allow the patent claims to grant. A second Pre-Grant Opposition relating to patent claims to bemnifosbuvir was filed in September 2022. We responded to this second Pre-Grant Opposition in October 2023, and a hearing was held in April 2024. On June 3, 2024, the Indian patent office refused our claims to bemnifosbuvir on the basis that a new salt of a known compound is not patentable under section 3(d) of the Indian Patent Act. This decision was not appealed. While we intend to defend our patent claims for AT-511, or a pharmaceutically acceptable salt thereof (which bemnifosbuvir would fall under) and its use to treat HCV, we cannot provide any assurance that we will succeed or that the Indian patent office will allow the patent claims to grant. The cost of foreign adversarial proceedings can also be substantial, and in many foreign jurisdictions, the losing party must pay the attorney fees of the winning party.</w:t>
      </w:r>
    </w:p>
    <w:p>
      <w:pPr>
        <w:pStyle w:val="TextBody"/>
        <w:bidi w:val="0"/>
        <w:spacing w:before="240" w:after="283"/>
        <w:jc w:val="left"/>
        <w:rPr>
          <w:rFonts w:ascii="Arial" w:hAnsi="Arial"/>
          <w:sz w:val="20"/>
        </w:rPr>
      </w:pPr>
      <w:r>
        <w:rPr>
          <w:rFonts w:ascii="Arial" w:hAnsi="Arial"/>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We may not be able to enforce our intellectual property rights throughout the world.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Filing, prosecuting and defending patents on our product candidates in all countries throughout the world may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US. These products may compete with our products in jurisdictions where we do not have any issued or licensed patents and any future patent claims or other intellectual property rights may not be effective or sufficient to prevent them from so competing.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Moreover, our ability to protect and enforce our intellectual property rights may be adversely affected by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 </w:t>
      </w:r>
    </w:p>
    <w:p>
      <w:pPr>
        <w:pStyle w:val="TextBody"/>
        <w:bidi w:val="0"/>
        <w:spacing w:before="120" w:after="283"/>
        <w:jc w:val="left"/>
        <w:rPr>
          <w:rFonts w:ascii="Arial" w:hAnsi="Arial"/>
          <w:color w:val="000000"/>
          <w:sz w:val="20"/>
        </w:rPr>
      </w:pPr>
      <w:r>
        <w:rPr>
          <w:rFonts w:ascii="Arial" w:hAnsi="Arial"/>
          <w:color w:val="000000"/>
          <w:sz w:val="20"/>
        </w:rPr>
        <w:t xml:space="preserve">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as interpreted by the Doha Declaration, countries in which drugs are manufactured are required to allow exportation of the drug to a developing country that lacks adequate manufacturing capability. Therefore, our drug markets in the US or foreign countries may be affected by the influence of current public policy on patent issuance, enforcement or involuntary licensing in the healthcare area. </w:t>
      </w:r>
    </w:p>
    <w:p>
      <w:pPr>
        <w:pStyle w:val="TextBody"/>
        <w:bidi w:val="0"/>
        <w:spacing w:before="240" w:after="283"/>
        <w:jc w:val="left"/>
        <w:rPr>
          <w:rFonts w:ascii="Arial" w:hAnsi="Arial"/>
          <w:sz w:val="20"/>
        </w:rPr>
      </w:pPr>
      <w:r>
        <w:rPr>
          <w:rFonts w:ascii="Arial" w:hAnsi="Arial"/>
          <w:b/>
          <w:i/>
          <w:color w:val="000000"/>
          <w:sz w:val="20"/>
        </w:rPr>
        <w:t>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 </w:t>
      </w:r>
    </w:p>
    <w:p>
      <w:pPr>
        <w:pStyle w:val="TextBody"/>
        <w:bidi w:val="0"/>
        <w:spacing w:before="120" w:after="283"/>
        <w:jc w:val="left"/>
        <w:rPr>
          <w:rFonts w:ascii="Arial" w:hAnsi="Arial"/>
          <w:color w:val="000000"/>
          <w:sz w:val="20"/>
        </w:rPr>
      </w:pPr>
      <w:r>
        <w:rPr>
          <w:rFonts w:ascii="Arial" w:hAnsi="Arial"/>
          <w:color w:val="000000"/>
          <w:sz w:val="20"/>
        </w:rPr>
        <w:t xml:space="preserve">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 </w:t>
      </w:r>
    </w:p>
    <w:p>
      <w:pPr>
        <w:pStyle w:val="TextBody"/>
        <w:bidi w:val="0"/>
        <w:spacing w:before="240" w:after="283"/>
        <w:jc w:val="left"/>
        <w:rPr>
          <w:rFonts w:ascii="Arial" w:hAnsi="Arial"/>
          <w:sz w:val="20"/>
        </w:rPr>
      </w:pPr>
      <w:r>
        <w:rPr>
          <w:rFonts w:ascii="Arial" w:hAnsi="Arial"/>
          <w:b/>
          <w:i/>
          <w:color w:val="000000"/>
          <w:sz w:val="20"/>
        </w:rPr>
        <w:t>If we are unable to protect the confidentiality of our trade secrets, our business and competitive position would be harmed.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 </w:t>
      </w:r>
    </w:p>
    <w:p>
      <w:pPr>
        <w:pStyle w:val="TextBody"/>
        <w:bidi w:val="0"/>
        <w:spacing w:before="120" w:after="283"/>
        <w:jc w:val="left"/>
        <w:rPr>
          <w:rFonts w:ascii="Arial" w:hAnsi="Arial"/>
          <w:color w:val="000000"/>
          <w:sz w:val="20"/>
        </w:rPr>
      </w:pPr>
      <w:r>
        <w:rPr>
          <w:rFonts w:ascii="Arial" w:hAnsi="Arial"/>
          <w:color w:val="000000"/>
          <w:sz w:val="20"/>
        </w:rPr>
        <w:t xml:space="preserve">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 </w:t>
      </w:r>
    </w:p>
    <w:p>
      <w:pPr>
        <w:pStyle w:val="TextBody"/>
        <w:bidi w:val="0"/>
        <w:spacing w:before="240" w:after="283"/>
        <w:jc w:val="left"/>
        <w:rPr>
          <w:rFonts w:ascii="Arial" w:hAnsi="Arial"/>
          <w:sz w:val="20"/>
        </w:rPr>
      </w:pPr>
      <w:r>
        <w:rPr>
          <w:rFonts w:ascii="Arial" w:hAnsi="Arial"/>
          <w:b/>
          <w:i/>
          <w:color w:val="000000"/>
          <w:sz w:val="20"/>
        </w:rPr>
        <w:t>We may be subject to claims that our employees, consultants or independent contractors have wrongfully used or disclosed confidential information of third parties, that our employees have wrongfully used or disclosed alleged trade secrets of their former employers, or asserting ownership of what we regard as our own intellectual property.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 </w:t>
      </w:r>
    </w:p>
    <w:p>
      <w:pPr>
        <w:pStyle w:val="TextBody"/>
        <w:bidi w:val="0"/>
        <w:spacing w:before="120" w:after="283"/>
        <w:jc w:val="left"/>
        <w:rPr>
          <w:rFonts w:ascii="Arial" w:hAnsi="Arial"/>
          <w:color w:val="000000"/>
          <w:sz w:val="20"/>
        </w:rPr>
      </w:pPr>
      <w:r>
        <w:rPr>
          <w:rFonts w:ascii="Arial" w:hAnsi="Arial"/>
          <w:color w:val="000000"/>
          <w:sz w:val="20"/>
        </w:rPr>
        <w:t xml:space="preserve">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i/>
          <w:color w:val="000000"/>
          <w:sz w:val="20"/>
        </w:rPr>
        <w:t>Our proprietary rights may not adequately protect our technologies and product candidates, and intellectual property rights do not necessarily address all potential threats to our competitive advantage.</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others may be able to make products that are the same as or similar to our product candidates but that are not covered by the claims of our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might not have been the first to conceive and reduce to practice the inventions covered by our patents or patent applications;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might not have been the first to file patent applications covering certain of our inventions;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may choose not to file a patent in order to maintain certain trade secrets or know-how, and a third-party may subsequently file a patent covering such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pending patent applications might not result in issued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there might be prior public disclosures that could invalidate our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issued patents may not provide us with any commercially viable products or competitive advantage, or may be held invalid or unenforceable, as a result of legal challenges by our competitors or other third parties;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Supreme Court of the US, other US federal courts, Congress, the USPTO or similar foreign authorities may change the standards of patentability and any such changes could narrow or invalidate, or change the scope of, our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patent terms may be inadequate to protect our competitive position on our product candidates for an adequate amount of time;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ownership, validity or enforceability of our patents or patent applications may be challenged by third parties;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patents or pending or future applications of third parties, if issued, may have an adverse effect on our business. </w:t>
      </w:r>
    </w:p>
    <w:p>
      <w:pPr>
        <w:pStyle w:val="TextBody"/>
        <w:bidi w:val="0"/>
        <w:spacing w:before="120" w:after="283"/>
        <w:jc w:val="left"/>
        <w:rPr>
          <w:rFonts w:ascii="Arial" w:hAnsi="Arial"/>
          <w:color w:val="000000"/>
          <w:sz w:val="20"/>
        </w:rPr>
      </w:pPr>
      <w:r>
        <w:rPr>
          <w:rFonts w:ascii="Arial" w:hAnsi="Arial"/>
          <w:color w:val="000000"/>
          <w:sz w:val="20"/>
        </w:rPr>
        <w:t xml:space="preserve">Should any of these events occur, they could have a material adverse effect on our business, financial condition, results of operations, and prospects. </w:t>
      </w:r>
    </w:p>
    <w:p>
      <w:pPr>
        <w:pStyle w:val="TextBody"/>
        <w:bidi w:val="0"/>
        <w:spacing w:before="240" w:after="283"/>
        <w:jc w:val="left"/>
        <w:rPr>
          <w:rFonts w:ascii="Arial" w:hAnsi="Arial"/>
          <w:sz w:val="20"/>
        </w:rPr>
      </w:pPr>
      <w:r>
        <w:rPr>
          <w:rFonts w:ascii="Arial" w:hAnsi="Arial"/>
          <w:b/>
          <w:color w:val="000000"/>
          <w:sz w:val="20"/>
        </w:rPr>
        <w:t>Risks Related to Employee Matters, Managing Operations and Other Risks Related to Our Business</w:t>
      </w:r>
      <w:r>
        <w:rPr>
          <w:rFonts w:ascii="Arial" w:hAnsi="Arial"/>
          <w:color w:val="000000"/>
          <w:sz w:val="20"/>
        </w:rPr>
        <w:t xml:space="preserve"> </w:t>
      </w:r>
    </w:p>
    <w:p>
      <w:pPr>
        <w:pStyle w:val="TextBody"/>
        <w:bidi w:val="0"/>
        <w:spacing w:before="240" w:after="283"/>
        <w:jc w:val="both"/>
        <w:rPr>
          <w:rFonts w:ascii="Arial" w:hAnsi="Arial"/>
          <w:sz w:val="20"/>
        </w:rPr>
      </w:pPr>
      <w:r>
        <w:rPr>
          <w:rFonts w:ascii="Arial" w:hAnsi="Arial"/>
          <w:b/>
          <w:i/>
          <w:color w:val="000000"/>
          <w:sz w:val="20"/>
        </w:rPr>
        <w:t>We may be unable to realize expected benefits from our cost reduction efforts and our business might be adversely affected.</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In the first quarter of 2025, in order to reduce costs and support longer term business sustainability, we implemented a reduction in our workforce. </w:t>
      </w:r>
    </w:p>
    <w:p>
      <w:pPr>
        <w:pStyle w:val="TextBody"/>
        <w:bidi w:val="0"/>
        <w:jc w:val="both"/>
        <w:rPr>
          <w:rFonts w:ascii="Arial" w:hAnsi="Arial"/>
          <w:color w:val="000000"/>
          <w:sz w:val="20"/>
        </w:rPr>
      </w:pPr>
      <w:r>
        <w:rPr>
          <w:rFonts w:ascii="Arial" w:hAnsi="Arial"/>
          <w:color w:val="000000"/>
          <w:sz w:val="20"/>
        </w:rPr>
        <w:t>These types of cost reduction activities are complex and may result in unintended consequences and costs. For example, the duties and obligations of the employees terminated as a result of the workforce reduction have been distributed and assumed among our remaining employees. As a result of this increase in responsibilities for our current employees, this reduction in workforce could make it more difficult for us to pursue, or prevent us from pursuing, new opportunities and initiatives due to insufficient personnel, or require us to incur additional and unanticipated costs to hire new personnel to pursue such opportunities or initiatives. If we do not successfully manage our current initiatives or any other similar activities that we may undertake in the future, expected efficiencies and benefits might be delayed or not realized, and our business, financial condition, and results of operations may be materially adversely affected.</w:t>
      </w:r>
    </w:p>
    <w:p>
      <w:pPr>
        <w:pStyle w:val="TextBody"/>
        <w:bidi w:val="0"/>
        <w:spacing w:before="240" w:after="283"/>
        <w:jc w:val="left"/>
        <w:rPr>
          <w:rFonts w:ascii="Arial" w:hAnsi="Arial"/>
          <w:sz w:val="20"/>
        </w:rPr>
      </w:pPr>
      <w:r>
        <w:rPr>
          <w:rFonts w:ascii="Arial" w:hAnsi="Arial"/>
          <w:b/>
          <w:i/>
          <w:color w:val="000000"/>
          <w:sz w:val="20"/>
        </w:rPr>
        <w:t>Our future success depends upon our ability to retain officers, directors and key employees and attract, retain and motivate qualified personnel.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highly dependent on our officers, directors and key employees. Due to the specialized knowledge each of our officers, directors and key employees possesses with respect to our product candidates and our operations, the loss of service of any of one or more of our officers, directors or key employees could seriously delay, harm or prevent the planning and execution of clinical trials and other key activities required for the successful advancement of our business. Although we have employment agreements with our executive officers, in general, these agreements do not prevent our executive officers from terminating their employment with us at any time.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We do not carry key person life insurance on any officers or directors. </w:t>
      </w:r>
    </w:p>
    <w:p>
      <w:pPr>
        <w:pStyle w:val="TextBody"/>
        <w:bidi w:val="0"/>
        <w:spacing w:before="120" w:after="283"/>
        <w:jc w:val="left"/>
        <w:rPr>
          <w:rFonts w:ascii="Arial" w:hAnsi="Arial"/>
          <w:color w:val="000000"/>
          <w:sz w:val="20"/>
        </w:rPr>
      </w:pPr>
      <w:r>
        <w:rPr>
          <w:rFonts w:ascii="Arial" w:hAnsi="Arial"/>
          <w:color w:val="000000"/>
          <w:sz w:val="20"/>
        </w:rPr>
        <w:t xml:space="preserve">Retaining qualified scientific, clinical and manufacturing personnel as well as recruiting qualified sales and marketing personnel if we elect to establish our own commercial organization will be critical to our success. Our ability to identify, hire and retain additional personnel and, if necessary, replace departed executive officers and key employees may be difficult or costly and may take an extended period of time because of the limited number of individuals in our industry with the breadth of skills and experience required to discover or otherwise identify and develop product candidates and gain regulatory approval of and commercialize products successfully. 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w:t>
      </w:r>
    </w:p>
    <w:p>
      <w:pPr>
        <w:pStyle w:val="TextBody"/>
        <w:bidi w:val="0"/>
        <w:spacing w:before="120" w:after="283"/>
        <w:jc w:val="left"/>
        <w:rPr>
          <w:rFonts w:ascii="Arial" w:hAnsi="Arial"/>
          <w:color w:val="000000"/>
          <w:sz w:val="20"/>
        </w:rPr>
      </w:pPr>
      <w:r>
        <w:rPr>
          <w:rFonts w:ascii="Arial" w:hAnsi="Arial"/>
          <w:color w:val="000000"/>
          <w:sz w:val="20"/>
        </w:rPr>
        <w:t xml:space="preserve">Our reduction in force in January 2025 may make it more difficult for us to hire qualified personnel in the future. If we seek to hire but are unable to attract such additional personnel, our ability to develop and commercialize product candidates will be limited. </w:t>
      </w:r>
    </w:p>
    <w:p>
      <w:pPr>
        <w:pStyle w:val="TextBody"/>
        <w:bidi w:val="0"/>
        <w:spacing w:before="240" w:after="283"/>
        <w:jc w:val="left"/>
        <w:rPr>
          <w:rFonts w:ascii="Arial" w:hAnsi="Arial"/>
          <w:b/>
          <w:i/>
          <w:color w:val="000000"/>
          <w:sz w:val="20"/>
        </w:rPr>
      </w:pPr>
      <w:r>
        <w:rPr>
          <w:rFonts w:ascii="Arial" w:hAnsi="Arial"/>
          <w:b/>
          <w:i/>
          <w:color w:val="000000"/>
          <w:sz w:val="20"/>
        </w:rPr>
        <w:t>We rely on consultants, advisors and third parties for the performance of critical aspects of our business operations.</w:t>
      </w:r>
    </w:p>
    <w:p>
      <w:pPr>
        <w:pStyle w:val="TextBody"/>
        <w:bidi w:val="0"/>
        <w:spacing w:before="120" w:after="283"/>
        <w:jc w:val="left"/>
        <w:rPr>
          <w:rFonts w:ascii="Arial" w:hAnsi="Arial"/>
          <w:color w:val="000000"/>
          <w:sz w:val="20"/>
        </w:rPr>
      </w:pPr>
      <w:r>
        <w:rPr>
          <w:rFonts w:ascii="Arial" w:hAnsi="Arial"/>
          <w:color w:val="000000"/>
          <w:sz w:val="20"/>
        </w:rPr>
        <w:t xml:space="preserve">We currently rely, and for the foreseeable future will continue to rely, in substantial part on certain independent organizations, advisors and consultants to assist us in formulating our research and development and commercialization strategy and to provide certain services, including substantially all aspects of clinical trial conduct and execution, international regulatory affairs activities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independent organizations, advisors or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independent organizations, advisors or consultants or find other competent outside independent organizations, advisors and consultants on economically reasonable terms, or at all. If we are not able to effectively expand our organization by hiring new employees and expanding our groups of advisors and consultants, or we are not able to effectively maintain or obtain facilities to accommodate this expansion, we may not be able to successfully implement the tasks necessary to further develop and commercialize our product candidates and, accordingly, may not achieve our research, development and commercialization goals. </w:t>
      </w:r>
    </w:p>
    <w:p>
      <w:pPr>
        <w:pStyle w:val="TextBody"/>
        <w:bidi w:val="0"/>
        <w:spacing w:before="240" w:after="283"/>
        <w:jc w:val="left"/>
        <w:rPr>
          <w:rFonts w:ascii="Arial" w:hAnsi="Arial"/>
          <w:b/>
          <w:i/>
          <w:color w:val="000000"/>
          <w:sz w:val="20"/>
        </w:rPr>
      </w:pPr>
      <w:r>
        <w:rPr>
          <w:rFonts w:ascii="Arial" w:hAnsi="Arial"/>
          <w:b/>
          <w:i/>
          <w:color w:val="000000"/>
          <w:sz w:val="20"/>
        </w:rPr>
        <w:t>Unstable market and economic conditions may have serious adverse consequences on our business, financial condition and share price.</w:t>
      </w:r>
    </w:p>
    <w:p>
      <w:pPr>
        <w:pStyle w:val="TextBody"/>
        <w:bidi w:val="0"/>
        <w:spacing w:before="120" w:after="283"/>
        <w:jc w:val="left"/>
        <w:rPr>
          <w:rFonts w:ascii="Arial" w:hAnsi="Arial"/>
          <w:color w:val="000000"/>
          <w:sz w:val="20"/>
        </w:rPr>
      </w:pPr>
      <w:r>
        <w:rPr>
          <w:rFonts w:ascii="Arial" w:hAnsi="Arial"/>
          <w:color w:val="000000"/>
          <w:sz w:val="20"/>
        </w:rPr>
        <w:t xml:space="preserve">The global economy, including credit and financial markets, has recently experienced extreme volatility and disruptions, including severely diminished liquidity and credit availability, declines in consumer confidence, declines in economic growth, increases in unemployment rates, increases in interest rates, increases in inflation rates and uncertainty about economic stability. For example, the COVID-19 pandemic resulted in widespread unemployment, economic slowdown and extreme volatility in the capital markets. Similarly, international conflicts, terrorism and political instability have created extreme volatility in the capital markets. These conditions may make any necessary debt or equity financing more difficult to obtain in a timely manner or on favorable terms, more costly or more dilutive. In addition, there is a risk that one or more of our CROs, suppliers, CMOs or other third-party providers may not survive an economic downturn. As a result, our business, results of operations and price of our common stock may be adversely affected. </w:t>
      </w:r>
    </w:p>
    <w:p>
      <w:pPr>
        <w:pStyle w:val="TextBody"/>
        <w:bidi w:val="0"/>
        <w:spacing w:before="240" w:after="283"/>
        <w:jc w:val="left"/>
        <w:rPr>
          <w:rFonts w:ascii="Arial" w:hAnsi="Arial"/>
          <w:b/>
          <w:i/>
          <w:color w:val="000000"/>
          <w:sz w:val="20"/>
        </w:rPr>
      </w:pPr>
      <w:r>
        <w:rPr>
          <w:rFonts w:ascii="Arial" w:hAnsi="Arial"/>
          <w:b/>
          <w:i/>
          <w:color w:val="000000"/>
          <w:sz w:val="20"/>
        </w:rPr>
        <w:t>Our business could face adverse consequences as a result of the actions of activist shareholders.</w:t>
      </w:r>
    </w:p>
    <w:p>
      <w:pPr>
        <w:pStyle w:val="TextBody"/>
        <w:bidi w:val="0"/>
        <w:spacing w:before="120" w:after="283"/>
        <w:jc w:val="left"/>
        <w:rPr>
          <w:rFonts w:ascii="Arial" w:hAnsi="Arial"/>
          <w:color w:val="000000"/>
          <w:sz w:val="20"/>
        </w:rPr>
      </w:pPr>
      <w:r>
        <w:rPr>
          <w:rFonts w:ascii="Arial" w:hAnsi="Arial"/>
          <w:color w:val="000000"/>
          <w:sz w:val="20"/>
        </w:rPr>
        <w:t xml:space="preserve">We have been in the past and may in the future be subject to unsolicited attempts to gain control of our company, proxy contests, and other forms of shareholder activism. When a stockholder, by itself or in conjunction with other stockholders or as part of a group, engages in activist activities with respect to us, our business could be adversely affected because responding to an unsolicited offer, proxy contest or other actions by activist stockholders can be costly and time-consuming, disruptive to our operations and divert the attention of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management and our employees from the execution of our strategy. In addition, actual or perceived uncertainties as to our future direction caused by activist activities may cause or appear to cause instability, potentially making it more difficult to attract and retain qualified personnel and collaborators or leading to the loss of collaboration opportunities, and if individuals are elected to our board of directors with a specific agenda, it may adversely affect our ability to effectively and timely implement our strategic plans. Activist stockholder activities may also cause significant fluctuations in our stock price based on temporary or speculative market perceptions, or other factors that do not necessarily reflect the fundamental underlying value of our business. Finally, we might experience a significant increase in legal fees and administrative and associated costs incurred in connection with responding to an unsolicited offer, proxy contest or related action. These actions could also negatively affect the price of our common stock. </w:t>
      </w:r>
    </w:p>
    <w:p>
      <w:pPr>
        <w:pStyle w:val="TextBody"/>
        <w:bidi w:val="0"/>
        <w:spacing w:before="240" w:after="283"/>
        <w:jc w:val="left"/>
        <w:rPr>
          <w:rFonts w:ascii="Arial" w:hAnsi="Arial"/>
          <w:sz w:val="20"/>
        </w:rPr>
      </w:pPr>
      <w:r>
        <w:rPr>
          <w:rFonts w:ascii="Arial" w:hAnsi="Arial"/>
          <w:b/>
          <w:color w:val="000000"/>
          <w:sz w:val="20"/>
        </w:rPr>
        <w:t>Risks Related to Our Common Stock</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i/>
          <w:color w:val="000000"/>
          <w:sz w:val="20"/>
        </w:rPr>
        <w:t>If securities or industry analysts do not publish research or reports about our business, or if they issue an adverse or misleading opinion regarding our stock, our stock price and trading volume could decline, even if our business is doing well.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trading market for our common stock is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preclinical studies, clinical trials, commercial opportunity prospects or operating results fail to meet the expectations of analysts, our stock price would likely decline. If one or more of these analysts ceases coverage of us (which has recently occurred) or fails to publish reports on us regularly, we could lose visibility in the financial markets, which in turn could cause our stock price or trading volume to decline.</w:t>
      </w:r>
    </w:p>
    <w:p>
      <w:pPr>
        <w:pStyle w:val="TextBody"/>
        <w:bidi w:val="0"/>
        <w:spacing w:before="240" w:after="283"/>
        <w:jc w:val="left"/>
        <w:rPr>
          <w:rFonts w:ascii="Arial" w:hAnsi="Arial"/>
          <w:sz w:val="20"/>
        </w:rPr>
      </w:pPr>
      <w:r>
        <w:rPr>
          <w:rFonts w:ascii="Arial" w:hAnsi="Arial"/>
          <w:b/>
          <w:i/>
          <w:color w:val="000000"/>
          <w:sz w:val="20"/>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exclusive right of our board of directors to elect a director to fill a vacancy created by the expansion of the board of directors or the resignation, death or removal of a director, which prevents stockholders from filling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of our board of directors to alter our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required approval of the holders of at least two-thirds of the shares entitled to vote at an election of directors to adopt, amend or repeal our bylaws or repeal the provisions of our restated certificate of incorporation regarding the election and removal of directors;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120" w:after="283"/>
        <w:jc w:val="left"/>
        <w:rPr>
          <w:rFonts w:ascii="Arial" w:hAnsi="Arial"/>
          <w:color w:val="000000"/>
          <w:sz w:val="20"/>
        </w:rPr>
      </w:pPr>
      <w:r>
        <w:rPr>
          <w:rFonts w:ascii="Arial" w:hAnsi="Arial"/>
          <w:color w:val="000000"/>
          <w:sz w:val="20"/>
        </w:rPr>
        <w:t xml:space="preserve">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240" w:after="283"/>
        <w:jc w:val="left"/>
        <w:rPr>
          <w:rFonts w:ascii="Arial" w:hAnsi="Arial"/>
          <w:sz w:val="20"/>
        </w:rPr>
      </w:pPr>
      <w:r>
        <w:rPr>
          <w:rFonts w:ascii="Arial" w:hAnsi="Arial"/>
          <w:b/>
          <w:i/>
          <w:color w:val="000000"/>
          <w:sz w:val="20"/>
        </w:rPr>
        <w:t>Our restated certificate of incorporation designates specific courts as the exclusive forum for certain litigation that may be initiated by our stockholders, which could limit our stockholders’ ability to obtain a favorable judicial forum for disputes with us.</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Securities Exchange Act of 1934, as amended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US shall be the exclusive forum for the resolution of any complaint asserting a cause of action arising under the Securities Act of 1933, as amended (the “Securities Act”). Any person or entity purchasing or otherwise acquiring any interest in shares of our capital stock shall be deemed to have notice of and to have consented to the provisions of our restated certificate of incorporation described above. </w:t>
      </w:r>
    </w:p>
    <w:p>
      <w:pPr>
        <w:pStyle w:val="TextBody"/>
        <w:bidi w:val="0"/>
        <w:spacing w:before="120" w:after="283"/>
        <w:jc w:val="left"/>
        <w:rPr>
          <w:rFonts w:ascii="Arial" w:hAnsi="Arial"/>
          <w:color w:val="000000"/>
          <w:sz w:val="20"/>
        </w:rPr>
      </w:pPr>
      <w:r>
        <w:rPr>
          <w:rFonts w:ascii="Arial" w:hAnsi="Arial"/>
          <w:color w:val="000000"/>
          <w:sz w:val="20"/>
        </w:rPr>
        <w:t xml:space="preserve">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 </w:t>
      </w:r>
    </w:p>
    <w:p>
      <w:pPr>
        <w:pStyle w:val="TextBody"/>
        <w:bidi w:val="0"/>
        <w:spacing w:before="240" w:after="283"/>
        <w:jc w:val="left"/>
        <w:rPr>
          <w:rFonts w:ascii="Arial" w:hAnsi="Arial"/>
          <w:b/>
          <w:color w:val="000000"/>
          <w:sz w:val="20"/>
        </w:rPr>
      </w:pPr>
      <w:r>
        <w:rPr>
          <w:rFonts w:ascii="Arial" w:hAnsi="Arial"/>
          <w:b/>
          <w:color w:val="000000"/>
          <w:sz w:val="20"/>
        </w:rPr>
        <w:t>General Risk Factors</w:t>
      </w:r>
    </w:p>
    <w:p>
      <w:pPr>
        <w:pStyle w:val="TextBody"/>
        <w:bidi w:val="0"/>
        <w:spacing w:before="240" w:after="283"/>
        <w:jc w:val="left"/>
        <w:rPr>
          <w:rFonts w:ascii="Arial" w:hAnsi="Arial"/>
          <w:sz w:val="20"/>
        </w:rPr>
      </w:pPr>
      <w:r>
        <w:rPr>
          <w:rFonts w:ascii="Arial" w:hAnsi="Arial"/>
          <w:b/>
          <w:i/>
          <w:color w:val="000000"/>
          <w:sz w:val="20"/>
        </w:rPr>
        <w:t>Raising additional capital may cause additional dilution to our stockholders, restrict our operations, require us to relinquish rights to our technologies or product candidates, and could cause our share price to fall.</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While we remain open to consideration of a broad range of strategic alternatives, including strategic partnerships, acquisition, merger, or other business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 xml:space="preserve">combination, sale of assets or other strategic transactions, we believe that it is most likely that actionable alternatives may be available after we receive the results from our HCV Phase 3 clinical program. </w:t>
      </w:r>
    </w:p>
    <w:p>
      <w:pPr>
        <w:pStyle w:val="TextBody"/>
        <w:bidi w:val="0"/>
        <w:spacing w:before="120" w:after="283"/>
        <w:jc w:val="left"/>
        <w:rPr>
          <w:rFonts w:ascii="Arial" w:hAnsi="Arial"/>
          <w:color w:val="000000"/>
          <w:sz w:val="20"/>
        </w:rPr>
      </w:pPr>
      <w:r>
        <w:rPr>
          <w:rFonts w:ascii="Arial" w:hAnsi="Arial"/>
          <w:color w:val="000000"/>
          <w:sz w:val="20"/>
        </w:rPr>
        <w:t>In addition, even if we believe that we have sufficient funds for our current or future operating plans, we may seek additional capital due to favorable market conditions or strategic considerations.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w:t>
      </w:r>
    </w:p>
    <w:p>
      <w:pPr>
        <w:pStyle w:val="TextBody"/>
        <w:bidi w:val="0"/>
        <w:spacing w:before="120" w:after="283"/>
        <w:jc w:val="left"/>
        <w:rPr>
          <w:rFonts w:ascii="Arial" w:hAnsi="Arial"/>
          <w:color w:val="000000"/>
          <w:sz w:val="20"/>
        </w:rPr>
      </w:pPr>
      <w:r>
        <w:rPr>
          <w:rFonts w:ascii="Arial" w:hAnsi="Arial"/>
          <w:color w:val="000000"/>
          <w:sz w:val="20"/>
        </w:rPr>
        <w:t xml:space="preserve">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240" w:after="283"/>
        <w:jc w:val="left"/>
        <w:rPr>
          <w:rFonts w:ascii="Arial" w:hAnsi="Arial"/>
          <w:sz w:val="20"/>
        </w:rPr>
      </w:pPr>
      <w:r>
        <w:rPr>
          <w:rFonts w:ascii="Arial" w:hAnsi="Arial"/>
          <w:b/>
          <w:i/>
          <w:color w:val="000000"/>
          <w:sz w:val="20"/>
        </w:rPr>
        <w:t>We or the third parties upon whom we depend may be adversely affected by natural disasters or pandemics and our business continuity and disaster recovery plans may not adequately protect us from a serious disaster.</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Natural disasters (including, but not limited to earthquakes, fires, storms, floods, droughts, and extreme temperatures) or pandemics could severely disrupt our operations and have a material adverse effect on our business, results of operations, financial condition and prospects. Climate change may increase the frequency or intensity of such events. Moreover, climate change may result in various chronic changes in the physical environment, such as changes in temperature or precipitation patterns or sea-level rise, as well as changes to the availability of certain natural resources, that may also have an adverse impact on our operations. If a natural disaster, power outage, pandemic, such as the COVID-19 pandemic, or other event occurred that prevented us from using all or a significant portion of our headquarters or the virtual network capabilities upon which our employees depend to collaborate and access critical business records,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w:t>
      </w:r>
    </w:p>
    <w:p>
      <w:pPr>
        <w:pStyle w:val="TextBody"/>
        <w:bidi w:val="0"/>
        <w:spacing w:before="240" w:after="283"/>
        <w:jc w:val="left"/>
        <w:rPr>
          <w:rFonts w:ascii="Arial" w:hAnsi="Arial"/>
          <w:b/>
          <w:i/>
          <w:color w:val="000000"/>
          <w:sz w:val="20"/>
        </w:rPr>
      </w:pPr>
      <w:r>
        <w:rPr>
          <w:rFonts w:ascii="Arial" w:hAnsi="Arial"/>
          <w:b/>
          <w:i/>
          <w:color w:val="000000"/>
          <w:sz w:val="20"/>
        </w:rPr>
        <w:t>Evolving and varied expectations for ESG initiatives could increase our costs, harm our reputation, or otherwise adversely impact our business.</w:t>
      </w:r>
    </w:p>
    <w:p>
      <w:pPr>
        <w:pStyle w:val="TextBody"/>
        <w:bidi w:val="0"/>
        <w:spacing w:before="120" w:after="283"/>
        <w:jc w:val="left"/>
        <w:rPr>
          <w:rFonts w:ascii="Arial" w:hAnsi="Arial"/>
          <w:color w:val="000000"/>
          <w:sz w:val="20"/>
        </w:rPr>
      </w:pPr>
      <w:r>
        <w:rPr>
          <w:rFonts w:ascii="Arial" w:hAnsi="Arial"/>
          <w:color w:val="000000"/>
          <w:sz w:val="20"/>
        </w:rPr>
        <w:t xml:space="preserve">Companies across industries, including our industry, are facing evolving and varied expectations related to their ESG and sustainability practices from certain investors, government entities, customers, employees, and other stakeholders or third parties. Expectations regarding voluntary ESG initiatives and disclosures may result in increased costs (including but not limited to increased costs related to compliance, stakeholder engagement, contracting and insurance), enhanced compliance or disclosure obligations, increased litigation or reputational damage relating to ESG practices or performance, or other adverse impacts to our business, financial condition, or results of operations. </w:t>
      </w:r>
    </w:p>
    <w:p>
      <w:pPr>
        <w:pStyle w:val="TextBody"/>
        <w:bidi w:val="0"/>
        <w:spacing w:before="120" w:after="283"/>
        <w:jc w:val="left"/>
        <w:rPr>
          <w:rFonts w:ascii="Arial" w:hAnsi="Arial"/>
          <w:color w:val="000000"/>
          <w:sz w:val="20"/>
        </w:rPr>
      </w:pPr>
      <w:r>
        <w:rPr>
          <w:rFonts w:ascii="Arial" w:hAnsi="Arial"/>
          <w:color w:val="000000"/>
          <w:sz w:val="20"/>
        </w:rPr>
        <w:t>While we may at times engage in voluntary initiatives (such as voluntary disclosures, certifications, or goals, among others),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relating to our ESG efforts, even if such initiatives are currently voluntary.</w:t>
      </w:r>
    </w:p>
    <w:p>
      <w:pPr>
        <w:pStyle w:val="TextBody"/>
        <w:bidi w:val="0"/>
        <w:spacing w:before="120" w:after="283"/>
        <w:jc w:val="left"/>
        <w:rPr>
          <w:rFonts w:ascii="Arial" w:hAnsi="Arial"/>
          <w:color w:val="000000"/>
          <w:sz w:val="20"/>
        </w:rPr>
      </w:pPr>
      <w:r>
        <w:rPr>
          <w:rFonts w:ascii="Arial" w:hAnsi="Arial"/>
          <w:color w:val="000000"/>
          <w:sz w:val="20"/>
        </w:rPr>
        <w:t xml:space="preserve">Certain market participants use third-party benchmarks and scores to assess companies’ ESG profiles in making investment or voting decisions. Unfavorable ESG ratings or other reputational issues could result in various negative impacts, including negative investor sentiment, decreased interest in our shares, changes in the cost of capital, or our ability to attract/retain employees, customers, or business partners. Simultaneously, some parties are seeking to restrict or eliminate companies’ attention to ESG matters, and any ESG initiatives we undertake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may result in negative reputational impacts from these stakeholders. Both advocates and opponents to certain ESG matters are increasingly resorting to a range of activism forms, including media campaigns and litigation, to advance their perspectives. To the extent we are subject to such activism or litigation, it may require us to incur costs or otherwise adversely impact our business.</w:t>
      </w:r>
    </w:p>
    <w:p>
      <w:pPr>
        <w:pStyle w:val="TextBody"/>
        <w:bidi w:val="0"/>
        <w:spacing w:before="120" w:after="283"/>
        <w:jc w:val="left"/>
        <w:rPr>
          <w:rFonts w:ascii="Arial" w:hAnsi="Arial"/>
          <w:color w:val="000000"/>
          <w:sz w:val="20"/>
        </w:rPr>
      </w:pPr>
      <w:r>
        <w:rPr>
          <w:rFonts w:ascii="Arial" w:hAnsi="Arial"/>
          <w:color w:val="000000"/>
          <w:sz w:val="20"/>
        </w:rPr>
        <w:t>We may become subject to conflicting laws and regulations related to sustainability and ESG matters. There are requirements that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These and other changes in stakeholder expectations may lead to increased costs as well as scrutiny that could heighten all of the risks identified in this risk factor. Additionally, our suppliers and business partners may be subject to similar expectations, which may augment or create additional risks, including risks that may not be known to us.</w:t>
      </w:r>
    </w:p>
    <w:p>
      <w:pPr>
        <w:pStyle w:val="TextBody"/>
        <w:bidi w:val="0"/>
        <w:spacing w:before="240" w:after="283"/>
        <w:jc w:val="left"/>
        <w:rPr>
          <w:rFonts w:ascii="Arial" w:hAnsi="Arial"/>
          <w:b/>
          <w:i/>
          <w:color w:val="000000"/>
          <w:sz w:val="20"/>
        </w:rPr>
      </w:pPr>
      <w:r>
        <w:rPr>
          <w:rFonts w:ascii="Arial" w:hAnsi="Arial"/>
          <w:b/>
          <w:i/>
          <w:color w:val="000000"/>
          <w:sz w:val="20"/>
        </w:rPr>
        <w:t>Litigation against us could be costly and time-consuming to defend and could result in additional liabilities.</w:t>
      </w:r>
    </w:p>
    <w:p>
      <w:pPr>
        <w:pStyle w:val="TextBody"/>
        <w:bidi w:val="0"/>
        <w:spacing w:before="120" w:after="283"/>
        <w:jc w:val="left"/>
        <w:rPr>
          <w:rFonts w:ascii="Arial" w:hAnsi="Arial"/>
          <w:color w:val="000000"/>
          <w:sz w:val="20"/>
        </w:rPr>
      </w:pPr>
      <w:r>
        <w:rPr>
          <w:rFonts w:ascii="Arial" w:hAnsi="Arial"/>
          <w:color w:val="000000"/>
          <w:sz w:val="20"/>
        </w:rPr>
        <w:t xml:space="preserve">We may from time to time be subject to legal proceedings and claims that arise in the ordinary course of business or otherwise, such as claims brought by third parties in connection with commercial disputes and employment claims made by our current or former employees. Claims may also be asserted by or on behalf of a variety of other parties, including government agencies, patients or vendors of our customers, or stockholders. In the past, securities class action litigation has often been brought against a company following a decline in the market price of its securities. </w:t>
      </w:r>
    </w:p>
    <w:p>
      <w:pPr>
        <w:pStyle w:val="TextBody"/>
        <w:bidi w:val="0"/>
        <w:spacing w:before="120" w:after="283"/>
        <w:jc w:val="left"/>
        <w:rPr>
          <w:rFonts w:ascii="Arial" w:hAnsi="Arial"/>
          <w:color w:val="000000"/>
          <w:sz w:val="20"/>
        </w:rPr>
      </w:pPr>
      <w:r>
        <w:rPr>
          <w:rFonts w:ascii="Arial" w:hAnsi="Arial"/>
          <w:color w:val="000000"/>
          <w:sz w:val="20"/>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pStyle w:val="TextBody"/>
        <w:bidi w:val="0"/>
        <w:spacing w:before="240" w:after="283"/>
        <w:jc w:val="left"/>
        <w:rPr>
          <w:rFonts w:ascii="Arial" w:hAnsi="Arial"/>
          <w:sz w:val="20"/>
        </w:rPr>
      </w:pPr>
      <w:r>
        <w:rPr>
          <w:rFonts w:ascii="Arial" w:hAnsi="Arial"/>
          <w:b/>
          <w:i/>
          <w:color w:val="000000"/>
          <w:sz w:val="20"/>
        </w:rPr>
        <w:t>The market price of our common stock has been volatile and may fluctuate substantially.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Our stock price has been and is likely to remain volatile. Extreme fluctuations have occurred in our stock price. Additionally, the stock market in general, and The Nasdaq Global Select Market-listed companies and biopharmaceutical companies in particular have experienced extreme volatility in trading volume that exacerbates, is disproportionate to or in some cases has been unrelated to the operating performance of particular companies. As a result of this volatility, you may not be able to sell your common stock at a profit. The market price for our common stock may be influenced by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expected changes in our growth rate relative to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results of our ongoing, planned or any future preclinical studies, clinical trials or clinical development of our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unanticipated serious safety concerns related to the use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related to our existing or any future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concerning our manufacturers or our manufacturing plans;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obtain adequate product supply for any approved product or inability to do so at acceptable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actions with respect to our product candidates or our competitors’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or legal developments in the US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 of third-party product candidates that may address our markets and make our product candidates less attractive;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physician, hospital or healthcare provider practices that may make our product candidates less useful;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decision to initiate a clinical trial, not to initiate a clinical trial or to terminate an existing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failure to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by us, our partners or our competitors of significant acquisitions, strategic partnerships, joint ventures, collaborations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or disputes concerning patent applications, issued patents or other intellectual property or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recruitment or departure of key scientific or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meet or exceed financial estimates and projections of the investment community or that we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accounting practices;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cash and investments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effectively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sales of our common stock by us or our stockholders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publication of research reports about us or our industry, or positive or negative recommendations or withdrawal of research coverage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ineffectiveness of our internal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significant lawsuits, including intellectual property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our efforts to discover, develop, acquire or in-license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expected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general economic, industry and market conditions, including rising inflation and interest rates;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other factors described in this “Risk Factors” section. </w:t>
      </w:r>
    </w:p>
    <w:p>
      <w:pPr>
        <w:pStyle w:val="TextBody"/>
        <w:bidi w:val="0"/>
        <w:spacing w:before="120" w:after="283"/>
        <w:jc w:val="left"/>
        <w:rPr>
          <w:rFonts w:ascii="Arial" w:hAnsi="Arial"/>
          <w:color w:val="000000"/>
          <w:sz w:val="20"/>
        </w:rPr>
      </w:pPr>
      <w:r>
        <w:rPr>
          <w:rFonts w:ascii="Arial" w:hAnsi="Arial"/>
          <w:color w:val="000000"/>
          <w:sz w:val="20"/>
        </w:rPr>
        <w:t>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w:t>
      </w:r>
    </w:p>
    <w:p>
      <w:pPr>
        <w:pStyle w:val="TextBody"/>
        <w:bidi w:val="0"/>
        <w:spacing w:before="240" w:after="283"/>
        <w:jc w:val="left"/>
        <w:rPr>
          <w:rFonts w:ascii="Arial" w:hAnsi="Arial"/>
          <w:sz w:val="20"/>
        </w:rPr>
      </w:pPr>
      <w:r>
        <w:rPr>
          <w:rFonts w:ascii="Arial" w:hAnsi="Arial"/>
          <w:b/>
          <w:i/>
          <w:color w:val="000000"/>
          <w:sz w:val="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In addition, we have in the past and may in the future be required to include an attestation report on internal control over financial reporting issued by our independent registered public accounting firm and our independent registered public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accounting firm has in the past and may be required to attest to the effectiveness of our internal control over financial reporting pursuant to Section 404. Our independent registered public accounting firm may issue a report that is adverse in the event material weaknesses have been identified in our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 xml:space="preserve">To comply with the requirements of Section 404, we may need to undertake additional actions, such as implementing new internal controls and procedures and hiring additional accounting or internal audit staff. We will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Testing and maintaining internal control can divert our management’s attention from other matters that are also important to the operation of our business. Despite our efforts, there is a risk that we will not be able to conclude, within the prescribed timeframe or at all, that our internal control over financial reporting is effective as required by Section 404.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if required, is unable to express an opinion as to the effectiveness of our internal control over financial reporting, investors may lose confidence in the accuracy and completeness of our financial reports. As a result, the market price of our common stock could be materially adversely affected. </w:t>
      </w:r>
    </w:p>
    <w:p>
      <w:pPr>
        <w:pStyle w:val="TextBody"/>
        <w:bidi w:val="0"/>
        <w:spacing w:before="240" w:after="283"/>
        <w:jc w:val="left"/>
        <w:rPr>
          <w:rFonts w:ascii="Arial" w:hAnsi="Arial"/>
          <w:sz w:val="20"/>
        </w:rPr>
      </w:pPr>
      <w:r>
        <w:rPr>
          <w:rFonts w:ascii="Arial" w:hAnsi="Arial"/>
          <w:b/>
          <w:i/>
          <w:color w:val="000000"/>
          <w:sz w:val="20"/>
        </w:rPr>
        <w:t>Our disclosure controls and procedures may not prevent or detect all errors or acts of fraud.</w:t>
      </w:r>
      <w:r>
        <w:rPr>
          <w:rFonts w:ascii="Arial" w:hAnsi="Arial"/>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xml:space="preserve">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before="120" w:after="283"/>
        <w:jc w:val="left"/>
        <w:rPr>
          <w:rFonts w:ascii="Arial" w:hAnsi="Arial"/>
          <w:color w:val="000000"/>
          <w:sz w:val="20"/>
        </w:rPr>
      </w:pPr>
      <w:r>
        <w:rPr>
          <w:rFonts w:ascii="Arial" w:hAnsi="Arial"/>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jc w:val="left"/>
        <w:rPr>
          <w:rFonts w:ascii="Arial" w:hAnsi="Arial"/>
          <w:b/>
          <w:color w:val="000000"/>
          <w:sz w:val="20"/>
        </w:rPr>
      </w:pPr>
      <w:bookmarkStart w:id="19" w:name="item_2_unregistered_sales_equity_securit"/>
      <w:bookmarkEnd w:id="19"/>
      <w:r>
        <w:rPr>
          <w:rFonts w:ascii="Arial" w:hAnsi="Arial"/>
          <w:b/>
          <w:color w:val="000000"/>
          <w:sz w:val="20"/>
        </w:rPr>
        <w:t>Item 2. Unregistered Sales of Equity Securities and Use of Proceeds</w:t>
      </w:r>
    </w:p>
    <w:p>
      <w:pPr>
        <w:pStyle w:val="TextBody"/>
        <w:bidi w:val="0"/>
        <w:spacing w:before="240" w:after="283"/>
        <w:jc w:val="left"/>
        <w:rPr>
          <w:rFonts w:ascii="Arial" w:hAnsi="Arial"/>
          <w:b/>
          <w:color w:val="000000"/>
          <w:sz w:val="20"/>
        </w:rPr>
      </w:pPr>
      <w:r>
        <w:rPr>
          <w:rFonts w:ascii="Arial" w:hAnsi="Arial"/>
          <w:b/>
          <w:color w:val="000000"/>
          <w:sz w:val="20"/>
        </w:rPr>
        <w:t>Issuer Purchases of Equity Securities</w:t>
      </w:r>
    </w:p>
    <w:p>
      <w:pPr>
        <w:pStyle w:val="TextBody"/>
        <w:bidi w:val="0"/>
        <w:spacing w:before="0" w:after="160"/>
        <w:jc w:val="left"/>
        <w:rPr/>
      </w:pPr>
      <w:r>
        <w:rPr/>
        <w:t> </w:t>
      </w:r>
    </w:p>
    <w:p>
      <w:pPr>
        <w:pStyle w:val="TextBody"/>
        <w:bidi w:val="0"/>
        <w:spacing w:before="0" w:after="160"/>
        <w:jc w:val="left"/>
        <w:rPr>
          <w:rFonts w:ascii="Arial" w:hAnsi="Arial"/>
          <w:color w:val="000000"/>
          <w:sz w:val="20"/>
        </w:rPr>
      </w:pPr>
      <w:r>
        <w:rPr>
          <w:rFonts w:ascii="Arial" w:hAnsi="Arial"/>
          <w:color w:val="000000"/>
          <w:sz w:val="20"/>
        </w:rPr>
        <w:t xml:space="preserve">The Company did not repurchase any equity securities in the three months ended March 31, 2026. </w:t>
      </w:r>
    </w:p>
    <w:p>
      <w:pPr>
        <w:pStyle w:val="TextBody"/>
        <w:bidi w:val="0"/>
        <w:spacing w:before="80" w:after="283"/>
        <w:jc w:val="left"/>
        <w:rPr>
          <w:rFonts w:ascii="Arial" w:hAnsi="Arial"/>
          <w:b/>
          <w:color w:val="000000"/>
          <w:sz w:val="20"/>
        </w:rPr>
      </w:pPr>
      <w:r>
        <w:rPr>
          <w:rFonts w:ascii="Arial" w:hAnsi="Arial"/>
          <w:b/>
          <w:color w:val="000000"/>
          <w:sz w:val="20"/>
        </w:rPr>
        <w:t>Recent Sales of Unregistered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240" w:after="283"/>
        <w:jc w:val="left"/>
        <w:rPr>
          <w:rFonts w:ascii="Arial" w:hAnsi="Arial"/>
          <w:sz w:val="20"/>
        </w:rPr>
      </w:pPr>
      <w:bookmarkStart w:id="20" w:name="item_5_or_information"/>
      <w:bookmarkEnd w:id="20"/>
      <w:r>
        <w:rPr>
          <w:rFonts w:ascii="Arial" w:hAnsi="Arial"/>
          <w:b/>
          <w:color w:val="000000"/>
          <w:sz w:val="20"/>
        </w:rPr>
        <w:t>Item 5. Other</w:t>
      </w:r>
      <w:r>
        <w:rPr>
          <w:rFonts w:ascii="Arial" w:hAnsi="Arial"/>
          <w:color w:val="000000"/>
          <w:sz w:val="20"/>
        </w:rPr>
        <w:t xml:space="preserve"> </w:t>
      </w:r>
      <w:r>
        <w:rPr>
          <w:rFonts w:ascii="Arial" w:hAnsi="Arial"/>
          <w:b/>
          <w:color w:val="000000"/>
          <w:sz w:val="20"/>
        </w:rPr>
        <w:t>Information.</w:t>
      </w:r>
    </w:p>
    <w:p>
      <w:pPr>
        <w:pStyle w:val="TextBody"/>
        <w:bidi w:val="0"/>
        <w:jc w:val="left"/>
        <w:rPr/>
      </w:pPr>
      <w:r>
        <w:rPr/>
        <w:t> </w:t>
      </w:r>
    </w:p>
    <w:p>
      <w:pPr>
        <w:pStyle w:val="TextBody"/>
        <w:bidi w:val="0"/>
        <w:spacing w:before="120" w:after="160"/>
        <w:jc w:val="left"/>
        <w:rPr>
          <w:rFonts w:ascii="Arial" w:hAnsi="Arial"/>
          <w:color w:val="000000"/>
          <w:sz w:val="20"/>
        </w:rPr>
      </w:pPr>
      <w:r>
        <w:rPr>
          <w:rFonts w:ascii="Arial" w:hAnsi="Arial"/>
          <w:color w:val="000000"/>
          <w:sz w:val="20"/>
        </w:rPr>
        <w:t xml:space="preserve">Other than as disclosed below, during the three months ended March 31, 2026 , no director or “officer” (as defined in Rule 16a-1(f) under the Exchange Act) of the Company adopted or terminated a “Rule 10b5-1 trading arrangement” or “non-Rule 10b5-1 trading arrangement”, as each term is defined in Item 408(a) of Regulation S-K.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Arial" w:hAnsi="Arial"/>
          <w:color w:val="000000"/>
          <w:sz w:val="20"/>
        </w:rPr>
      </w:pPr>
      <w:r>
        <w:rPr>
          <w:rFonts w:ascii="Arial" w:hAnsi="Arial"/>
          <w:color w:val="000000"/>
          <w:sz w:val="20"/>
        </w:rPr>
        <w:t xml:space="preserve">On March 10, 2026, Janet Hammond, MD, PhD, our Chief Development Officer, adopted a trading arrangement that is intended to satisfy the affirmative defense of Rule 10b5-1(c) (the “Hammond 10b5-1 Plan”). Between September 1, 2026 and September 1, 2027, the Hammond 10b5-1 Plan provides for the potential exercise of vested stock options and associated sale of up to 305,000 shares of Atea common stock acquired upon the exercise of such stock options. The Hammond 10b5-1 Plan expires on September 1, 2027 or upon the earlier completion of all transactions authorized under the Hammond 10b5-1 Plan. </w:t>
      </w:r>
    </w:p>
    <w:p>
      <w:pPr>
        <w:pStyle w:val="TextBody"/>
        <w:bidi w:val="0"/>
        <w:spacing w:before="0" w:after="160"/>
        <w:jc w:val="left"/>
        <w:rPr>
          <w:rFonts w:ascii="Arial" w:hAnsi="Arial"/>
          <w:color w:val="000000"/>
          <w:sz w:val="20"/>
        </w:rPr>
      </w:pPr>
      <w:r>
        <w:rPr>
          <w:rFonts w:ascii="Arial" w:hAnsi="Arial"/>
          <w:color w:val="000000"/>
          <w:sz w:val="20"/>
        </w:rPr>
        <w:t xml:space="preserve">On March 11, 2026, John Vavricka, our Chief Commercial Officer, adopted a trading arrangement that is intended to satisfy the affirmative defense of Rule 10b5-1(c) (the “Vavricka 10b5-1 Plan”). Between September 1, 2026 and September 1, 2027, the Vavricka 10b5-1 Plan provides for the potential exercise of vested stock options and associated sale of up to 200,000 shares of Atea common stock acquired upon the exercise of such stock options. The Vavricka 10b5-1 Plan expires on September 1, 2027 or upon the earlier completion of all transactions authorized under the Vavricka 10b5-1 Plan. </w:t>
      </w:r>
    </w:p>
    <w:p>
      <w:pPr>
        <w:pStyle w:val="TextBody"/>
        <w:bidi w:val="0"/>
        <w:spacing w:before="0" w:after="160"/>
        <w:jc w:val="left"/>
        <w:rPr>
          <w:rFonts w:ascii="Arial" w:hAnsi="Arial"/>
          <w:color w:val="000000"/>
          <w:sz w:val="20"/>
        </w:rPr>
      </w:pPr>
      <w:r>
        <w:rPr>
          <w:rFonts w:ascii="Arial" w:hAnsi="Arial"/>
          <w:color w:val="000000"/>
          <w:sz w:val="20"/>
        </w:rPr>
        <w:t xml:space="preserve">On March 12, 2026, Arantxa Horga, MD, our Chief Medical Officer, adopted a trading arrangement that is intended to satisfy the affirmative defense of Rule 10b5-1(c) (the “Horga 10b5-1 Plan”). Between September 1, 2026 and September 1, 2027, the Horga 10b5-1 Plan provides for the potential exercise of vested stock options and associated sale of up to 52,216 shares of Atea common stock acquired upon the exercise of such stock options and the sale of up to 82,697 shares of Atea common stock. The Horga 10b5-1 Plan expires on September 1, 2027 or upon the earlier completion of all transactions authorized under the Horga 10b5-1 Plan.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sz w:val="20"/>
        </w:rPr>
      </w:pPr>
      <w:bookmarkStart w:id="21" w:name="item_6_exhibits"/>
      <w:bookmarkEnd w:id="21"/>
      <w:r>
        <w:rPr>
          <w:rFonts w:ascii="Arial" w:hAnsi="Arial"/>
          <w:b/>
          <w:color w:val="000000"/>
          <w:sz w:val="20"/>
        </w:rPr>
        <w:t>Item 6. Exhibits.</w:t>
      </w:r>
      <w:r>
        <w:rPr>
          <w:rFonts w:ascii="Arial" w:hAnsi="Arial"/>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4919"/>
        <w:gridCol w:w="146"/>
        <w:gridCol w:w="526"/>
        <w:gridCol w:w="146"/>
        <w:gridCol w:w="728"/>
        <w:gridCol w:w="146"/>
        <w:gridCol w:w="661"/>
        <w:gridCol w:w="146"/>
        <w:gridCol w:w="121"/>
        <w:gridCol w:w="620"/>
        <w:gridCol w:w="146"/>
        <w:gridCol w:w="964"/>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94"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Filed/</w:t>
            </w:r>
          </w:p>
        </w:tc>
      </w:tr>
      <w:tr>
        <w:trPr/>
        <w:tc>
          <w:tcPr>
            <w:tcW w:w="790" w:type="dxa"/>
            <w:tcBorders>
              <w:bottom w:val="single" w:sz="4" w:space="0" w:color="000000"/>
            </w:tcBorders>
            <w:tcMar>
              <w:top w:w="0" w:type="dxa"/>
              <w:left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Exhibit</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26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20"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Filing</w:t>
            </w:r>
          </w:p>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4"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Furnished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7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4343EB"/>
                  <w:sz w:val="20"/>
                  <w:u w:val="single"/>
                </w:rPr>
                <w:t>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001-39661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11/5/2020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4343EB"/>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001-39661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6/21/2023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pPr>
            <w:hyperlink w:anchor="avir-ex31_1.htm">
              <w:r>
                <w:rPr>
                  <w:rStyle w:val="InternetLink"/>
                  <w:rFonts w:ascii="Arial" w:hAnsi="Arial"/>
                  <w:color w:val="4343EB"/>
                  <w:sz w:val="20"/>
                  <w:u w:val="single"/>
                </w:rPr>
                <w:t>Certification of Chief Executive Officer pursuant to Rule 13a-14(a)/15d-14(a).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pPr>
            <w:hyperlink w:anchor="avir-ex31_2.htm">
              <w:r>
                <w:rPr>
                  <w:rStyle w:val="InternetLink"/>
                  <w:rFonts w:ascii="Arial" w:hAnsi="Arial"/>
                  <w:color w:val="4343EB"/>
                  <w:sz w:val="20"/>
                  <w:u w:val="single"/>
                </w:rPr>
                <w:t>Certification of Chief Financial Officer pursuant to Rule 13a-14(a)/15d-14(a).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pPr>
            <w:hyperlink w:anchor="avir-ex32_1.htm">
              <w:r>
                <w:rPr>
                  <w:rStyle w:val="InternetLink"/>
                  <w:rFonts w:ascii="Arial" w:hAnsi="Arial"/>
                  <w:color w:val="4343EB"/>
                  <w:sz w:val="20"/>
                  <w:u w:val="single"/>
                </w:rPr>
                <w:t>Certification of Chief Executive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pPr>
            <w:hyperlink w:anchor="avir-ex32_2.htm">
              <w:r>
                <w:rPr>
                  <w:rStyle w:val="InternetLink"/>
                  <w:rFonts w:ascii="Arial" w:hAnsi="Arial"/>
                  <w:color w:val="4343EB"/>
                  <w:sz w:val="20"/>
                  <w:u w:val="single"/>
                </w:rPr>
                <w:t>Certification of Chief Financial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r>
        <w:trPr/>
        <w:tc>
          <w:tcPr>
            <w:tcW w:w="79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bl>
    <w:p>
      <w:pPr>
        <w:pStyle w:val="TextBody"/>
        <w:pBdr>
          <w:bottom w:val="single" w:sz="4" w:space="1" w:color="000000"/>
        </w:pBdr>
        <w:bidi w:val="0"/>
        <w:jc w:val="left"/>
        <w:rPr/>
      </w:pPr>
      <w:r>
        <w:rPr/>
        <w:t> </w:t>
      </w:r>
    </w:p>
    <w:p>
      <w:pPr>
        <w:pStyle w:val="TextBody"/>
        <w:bidi w:val="0"/>
        <w:jc w:val="left"/>
        <w:rPr>
          <w:rFonts w:ascii="Arial" w:hAnsi="Arial"/>
          <w:color w:val="000000"/>
          <w:sz w:val="20"/>
        </w:rPr>
      </w:pPr>
      <w:r>
        <w:rPr>
          <w:rFonts w:ascii="Arial" w:hAnsi="Arial"/>
          <w:color w:val="000000"/>
          <w:sz w:val="20"/>
        </w:rPr>
        <w:t>* Filed herewith.</w:t>
      </w:r>
    </w:p>
    <w:p>
      <w:pPr>
        <w:pStyle w:val="TextBody"/>
        <w:bidi w:val="0"/>
        <w:jc w:val="left"/>
        <w:rPr>
          <w:rFonts w:ascii="Arial" w:hAnsi="Arial"/>
          <w:color w:val="000000"/>
          <w:sz w:val="20"/>
        </w:rPr>
      </w:pPr>
      <w:r>
        <w:rPr>
          <w:rFonts w:ascii="Arial" w:hAnsi="Arial"/>
          <w:color w:val="000000"/>
          <w:sz w:val="20"/>
        </w:rPr>
        <w:t>** Furnished herewith.</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2" w:name="signatures"/>
      <w:bookmarkEnd w:id="22"/>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962" w:type="dxa"/>
        <w:jc w:val="left"/>
        <w:tblInd w:w="0" w:type="dxa"/>
        <w:tblLayout w:type="fixed"/>
        <w:tblCellMar>
          <w:top w:w="28" w:type="dxa"/>
          <w:left w:w="28" w:type="dxa"/>
          <w:bottom w:w="28" w:type="dxa"/>
          <w:right w:w="28" w:type="dxa"/>
        </w:tblCellMar>
      </w:tblPr>
      <w:tblGrid>
        <w:gridCol w:w="1831"/>
        <w:gridCol w:w="109"/>
        <w:gridCol w:w="406"/>
        <w:gridCol w:w="6616"/>
      </w:tblGrid>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ATEA PHARMACEUTICALS, INC.</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Jean-Pierre Sommadossi, Ph.D.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Jean-Pierre Sommadossi, Ph.D.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jc w:val="center"/>
              <w:rPr>
                <w:rFonts w:ascii="Arial" w:hAnsi="Arial"/>
                <w:sz w:val="20"/>
              </w:rPr>
            </w:pPr>
            <w:r>
              <w:rPr>
                <w:rFonts w:ascii="Arial" w:hAnsi="Arial"/>
                <w:b/>
                <w:color w:val="000000"/>
                <w:sz w:val="20"/>
              </w:rPr>
              <w:t>President and Chief Executive Officer</w:t>
            </w:r>
            <w:r>
              <w:rPr>
                <w:rFonts w:ascii="Arial" w:hAnsi="Arial"/>
                <w:color w:val="000000"/>
                <w:sz w:val="20"/>
              </w:rPr>
              <w:t xml:space="preserve"> </w:t>
            </w:r>
          </w:p>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Andrea Corcoran</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Andrea Corcoran</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 Executive Vice President, Legal and Secretary</w:t>
            </w:r>
          </w:p>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bl>
    <w:p>
      <w:pPr>
        <w:pStyle w:val="TextBody"/>
        <w:bidi w:val="0"/>
        <w:jc w:val="right"/>
        <w:rPr/>
      </w:pPr>
      <w:r>
        <w:rPr/>
        <w:t>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bookmarkStart w:id="23" w:name="avir-ex31_1.htm"/>
      <w:bookmarkStart w:id="24" w:name="ksavirex31_1"/>
      <w:bookmarkEnd w:id="23"/>
      <w:bookmarkEnd w:id="24"/>
      <w:r>
        <w:rP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spacing w:before="24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 Jean-Pierre Sommadossi,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Atea Pharmaceuticals,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62" w:type="dxa"/>
        <w:jc w:val="left"/>
        <w:tblInd w:w="0" w:type="dxa"/>
        <w:tblLayout w:type="fixed"/>
        <w:tblCellMar>
          <w:top w:w="28" w:type="dxa"/>
          <w:left w:w="28" w:type="dxa"/>
          <w:bottom w:w="28" w:type="dxa"/>
          <w:right w:w="28" w:type="dxa"/>
        </w:tblCellMar>
      </w:tblPr>
      <w:tblGrid>
        <w:gridCol w:w="1831"/>
        <w:gridCol w:w="109"/>
        <w:gridCol w:w="406"/>
        <w:gridCol w:w="3616"/>
      </w:tblGrid>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Jean-Pierre Sommadossi</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Jean-Pierre Sommadossi, Ph.D.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vir-ex31_2.htm"/>
      <w:bookmarkStart w:id="26" w:name="ksavirex31_2"/>
      <w:bookmarkEnd w:id="25"/>
      <w:bookmarkEnd w:id="26"/>
      <w:r>
        <w:rP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jc w:val="right"/>
        <w:rPr/>
      </w:pPr>
      <w:r>
        <w:rPr/>
        <w:t> </w:t>
      </w:r>
    </w:p>
    <w:p>
      <w:pPr>
        <w:pStyle w:val="TextBody"/>
        <w:bidi w:val="0"/>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I, Andrea Corcoran, certify that:</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I have reviewed this Quarterly Report on Form 10-Q of Atea Pharmaceuticals, Inc.;</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20"/>
        </w:rPr>
      </w:pPr>
      <w:r>
        <w:rPr>
          <w:rFonts w:ascii="Arial" w:hAnsi="Arial"/>
          <w:color w:val="000000"/>
          <w:sz w:val="20"/>
        </w:rPr>
        <w:t>3.</w:t>
      </w:r>
    </w:p>
    <w:p>
      <w:pPr>
        <w:pStyle w:val="TextBody"/>
        <w:bidi w:val="0"/>
        <w:spacing w:before="24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20"/>
        </w:rPr>
      </w:pPr>
      <w:r>
        <w:rPr>
          <w:rFonts w:ascii="Arial" w:hAnsi="Arial"/>
          <w:color w:val="000000"/>
          <w:sz w:val="20"/>
        </w:rPr>
        <w:t>4.</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20"/>
        </w:rPr>
      </w:pPr>
      <w:r>
        <w:rPr>
          <w:rFonts w:ascii="Arial" w:hAnsi="Arial"/>
          <w:color w:val="000000"/>
          <w:sz w:val="20"/>
        </w:rPr>
        <w:t>5.</w:t>
      </w:r>
    </w:p>
    <w:p>
      <w:pPr>
        <w:pStyle w:val="TextBody"/>
        <w:bidi w:val="0"/>
        <w:spacing w:before="240" w:after="283"/>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20"/>
        </w:rPr>
      </w:pPr>
      <w:r>
        <w:rPr>
          <w:rFonts w:ascii="Arial" w:hAnsi="Arial"/>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9022" w:type="dxa"/>
        <w:jc w:val="left"/>
        <w:tblInd w:w="0" w:type="dxa"/>
        <w:tblLayout w:type="fixed"/>
        <w:tblCellMar>
          <w:top w:w="28" w:type="dxa"/>
          <w:left w:w="28" w:type="dxa"/>
          <w:bottom w:w="28" w:type="dxa"/>
          <w:right w:w="28" w:type="dxa"/>
        </w:tblCellMar>
      </w:tblPr>
      <w:tblGrid>
        <w:gridCol w:w="1831"/>
        <w:gridCol w:w="109"/>
        <w:gridCol w:w="406"/>
        <w:gridCol w:w="6676"/>
      </w:tblGrid>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Andrea Corcoran</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Andrea Corcoran</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 Executive Vice President, Legal, and Secretary</w:t>
            </w:r>
          </w:p>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vir-ex32_1.htm"/>
      <w:bookmarkStart w:id="28" w:name="ksavirex32_1"/>
      <w:bookmarkEnd w:id="27"/>
      <w:bookmarkEnd w:id="28"/>
      <w:r>
        <w:rP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on Form 10-Q of Atea Pharmaceuticals, Inc. (the “Company”) for the period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5962" w:type="dxa"/>
        <w:jc w:val="left"/>
        <w:tblInd w:w="0" w:type="dxa"/>
        <w:tblLayout w:type="fixed"/>
        <w:tblCellMar>
          <w:top w:w="28" w:type="dxa"/>
          <w:left w:w="28" w:type="dxa"/>
          <w:bottom w:w="28" w:type="dxa"/>
          <w:right w:w="28" w:type="dxa"/>
        </w:tblCellMar>
      </w:tblPr>
      <w:tblGrid>
        <w:gridCol w:w="1831"/>
        <w:gridCol w:w="109"/>
        <w:gridCol w:w="406"/>
        <w:gridCol w:w="3616"/>
      </w:tblGrid>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Jean-Pierre Sommadossi, Ph.D.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Jean-Pierre Sommadossi, Ph.D.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vir-ex32_2.htm"/>
      <w:bookmarkStart w:id="30" w:name="ksavirex32_2"/>
      <w:bookmarkEnd w:id="29"/>
      <w:bookmarkEnd w:id="30"/>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on Form 10-Q of Atea Pharmaceuticals, Inc. (the “Company”) for the period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9022" w:type="dxa"/>
        <w:jc w:val="left"/>
        <w:tblInd w:w="0" w:type="dxa"/>
        <w:tblLayout w:type="fixed"/>
        <w:tblCellMar>
          <w:top w:w="28" w:type="dxa"/>
          <w:left w:w="28" w:type="dxa"/>
          <w:bottom w:w="28" w:type="dxa"/>
          <w:right w:w="28" w:type="dxa"/>
        </w:tblCellMar>
      </w:tblPr>
      <w:tblGrid>
        <w:gridCol w:w="1831"/>
        <w:gridCol w:w="109"/>
        <w:gridCol w:w="406"/>
        <w:gridCol w:w="6676"/>
      </w:tblGrid>
      <w:tr>
        <w:trPr/>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Andrea Corcoran</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Andrea Corcoran</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tcBorders/>
            <w:shd w:fill="FFFFFF" w:val="clear"/>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Financial Officer, Executive Vice President, Legal, and Secretary</w:t>
            </w:r>
          </w:p>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3899/000119312520286850/d97355dex31.htm" TargetMode="External"/><Relationship Id="rId3" Type="http://schemas.openxmlformats.org/officeDocument/2006/relationships/hyperlink" Target="https://www.sec.gov/Archives/edgar/data/1593899/000119312523171257/d467534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63150</Words>
  <Characters>352643</Characters>
  <CharactersWithSpaces>415965</CharactersWithSpaces>
  <Paragraphs>4484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