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Atea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46-0574869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225 Franklin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2100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(857) 284-8891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0"/>
              </w:rPr>
              <w:t>AVIR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18, 2026, Atea Pharmaceuticals, Inc. (the “Company”) held its 2026 Annual Meeting of Stockholders (the “Annual Meeting”). Holders of a total of 59,742,819 shares of the Company’s common stock were present in person or represented by proxy at the Annual Meeting, representing approximately 74.65% of the Company’s common stock outstanding as of the April 24, 2026 record date.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Below are the final voting results certified by Broadridge Financial Solutions, Inc., the inspector of election, for the proposals considered and voted upon at the Annual Meeting. Each of these proposals were described in detail in the Company’s definitive proxy statement on Schedule 14A filed with the Securities and Exchange Commission on April 27, 2026.</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Election of three Class III Directors to serve until the 2029 annual meeting of stockholders, and until their respective successors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elected and qualified.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gridSpan w:val="2"/>
          </w:tcPr>
          <w:p>
            <w:pPr>
              <w:jc w:val="center"/>
              <w:ind w:right="2240"/>
              <w:spacing w:after="0" w:line="153" w:lineRule="exact"/>
              <w:rPr>
                <w:sz w:val="20"/>
                <w:szCs w:val="20"/>
                <w:color w:val="auto"/>
              </w:rPr>
            </w:pPr>
            <w:r>
              <w:rPr>
                <w:rFonts w:ascii="Times New Roman" w:cs="Times New Roman" w:eastAsia="Times New Roman" w:hAnsi="Times New Roman"/>
                <w:sz w:val="14"/>
                <w:szCs w:val="14"/>
                <w:b w:val="1"/>
                <w:bCs w:val="1"/>
                <w:color w:val="auto"/>
              </w:rPr>
              <w:t>FOR</w:t>
            </w:r>
          </w:p>
        </w:tc>
        <w:tc>
          <w:tcPr>
            <w:tcW w:w="84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2760" w:type="dxa"/>
            <w:vAlign w:val="bottom"/>
            <w:gridSpan w:val="2"/>
          </w:tcPr>
          <w:p>
            <w:pPr>
              <w:jc w:val="center"/>
              <w:ind w:left="1896"/>
              <w:spacing w:after="0" w:line="153" w:lineRule="exact"/>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Jerome Adams, MD, MPH</w:t>
            </w: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8,669,142</w:t>
            </w:r>
          </w:p>
        </w:tc>
        <w:tc>
          <w:tcPr>
            <w:tcW w:w="0" w:type="dxa"/>
            <w:vAlign w:val="bottom"/>
          </w:tcPr>
          <w:p>
            <w:pPr>
              <w:spacing w:after="0" w:line="20" w:lineRule="exact"/>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3680" w:type="dxa"/>
            <w:vAlign w:val="bottom"/>
            <w:gridSpan w:val="3"/>
          </w:tcPr>
          <w:p>
            <w:pPr>
              <w:jc w:val="center"/>
              <w:ind w:right="1100"/>
              <w:spacing w:after="0" w:line="178" w:lineRule="exact"/>
              <w:rPr>
                <w:sz w:val="20"/>
                <w:szCs w:val="20"/>
                <w:color w:val="auto"/>
              </w:rPr>
            </w:pPr>
            <w:r>
              <w:rPr>
                <w:rFonts w:ascii="Times New Roman" w:cs="Times New Roman" w:eastAsia="Times New Roman" w:hAnsi="Times New Roman"/>
                <w:sz w:val="18"/>
                <w:szCs w:val="18"/>
                <w:color w:val="auto"/>
              </w:rPr>
              <w:t>28,798,012</w:t>
            </w: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22,275,665</w:t>
            </w:r>
          </w:p>
        </w:tc>
        <w:tc>
          <w:tcPr>
            <w:tcW w:w="20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Howard Berman, PhD</w:t>
            </w:r>
          </w:p>
        </w:tc>
        <w:tc>
          <w:tcPr>
            <w:tcW w:w="368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rPr>
              <w:t>44,466,627</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6,607,050</w:t>
            </w:r>
          </w:p>
        </w:tc>
        <w:tc>
          <w:tcPr>
            <w:tcW w:w="2760" w:type="dxa"/>
            <w:vAlign w:val="bottom"/>
            <w:gridSpan w:val="2"/>
          </w:tcPr>
          <w:p>
            <w:pPr>
              <w:jc w:val="center"/>
              <w:ind w:left="1916"/>
              <w:spacing w:after="0"/>
              <w:rPr>
                <w:sz w:val="20"/>
                <w:szCs w:val="20"/>
                <w:color w:val="auto"/>
              </w:rPr>
            </w:pPr>
            <w:r>
              <w:rPr>
                <w:rFonts w:ascii="Times New Roman" w:cs="Times New Roman" w:eastAsia="Times New Roman" w:hAnsi="Times New Roman"/>
                <w:sz w:val="18"/>
                <w:szCs w:val="18"/>
                <w:color w:val="auto"/>
                <w:w w:val="99"/>
              </w:rPr>
              <w:t>8,669,142</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Barbara Duncan</w:t>
            </w:r>
          </w:p>
        </w:tc>
        <w:tc>
          <w:tcPr>
            <w:tcW w:w="368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rPr>
              <w:t>43,697,098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7,376,579</w:t>
            </w:r>
          </w:p>
        </w:tc>
        <w:tc>
          <w:tcPr>
            <w:tcW w:w="2760" w:type="dxa"/>
            <w:vAlign w:val="bottom"/>
            <w:gridSpan w:val="2"/>
          </w:tcPr>
          <w:p>
            <w:pPr>
              <w:jc w:val="center"/>
              <w:ind w:left="1916"/>
              <w:spacing w:after="0"/>
              <w:rPr>
                <w:sz w:val="20"/>
                <w:szCs w:val="20"/>
                <w:color w:val="auto"/>
              </w:rPr>
            </w:pPr>
            <w:r>
              <w:rPr>
                <w:rFonts w:ascii="Times New Roman" w:cs="Times New Roman" w:eastAsia="Times New Roman" w:hAnsi="Times New Roman"/>
                <w:sz w:val="18"/>
                <w:szCs w:val="18"/>
                <w:color w:val="auto"/>
                <w:w w:val="99"/>
              </w:rPr>
              <w:t>8,669,142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Ratification of the appointment of KPMG LLP as the Company’s independent registered public accounting firm for the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600" w:type="dxa"/>
            <w:vAlign w:val="bottom"/>
            <w:gridSpan w:val="2"/>
          </w:tcPr>
          <w:p>
            <w:pPr>
              <w:jc w:val="center"/>
              <w:ind w:right="2300"/>
              <w:spacing w:after="0" w:line="153" w:lineRule="exact"/>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AGAINST</w:t>
            </w:r>
          </w:p>
        </w:tc>
        <w:tc>
          <w:tcPr>
            <w:tcW w:w="3840" w:type="dxa"/>
            <w:vAlign w:val="bottom"/>
            <w:gridSpan w:val="3"/>
          </w:tcPr>
          <w:p>
            <w:pPr>
              <w:jc w:val="center"/>
              <w:ind w:left="1019"/>
              <w:spacing w:after="0" w:line="153" w:lineRule="exact"/>
              <w:rPr>
                <w:sz w:val="20"/>
                <w:szCs w:val="20"/>
                <w:color w:val="auto"/>
              </w:rPr>
            </w:pPr>
            <w:r>
              <w:rPr>
                <w:rFonts w:ascii="Times New Roman" w:cs="Times New Roman" w:eastAsia="Times New Roman" w:hAnsi="Times New Roman"/>
                <w:sz w:val="14"/>
                <w:szCs w:val="14"/>
                <w:b w:val="1"/>
                <w:bCs w:val="1"/>
                <w:color w:val="auto"/>
                <w:w w:val="99"/>
              </w:rPr>
              <w:t>ABSTAIN</w:t>
            </w:r>
          </w:p>
        </w:tc>
        <w:tc>
          <w:tcPr>
            <w:tcW w:w="1820" w:type="dxa"/>
            <w:vAlign w:val="bottom"/>
            <w:gridSpan w:val="2"/>
          </w:tcPr>
          <w:p>
            <w:pPr>
              <w:jc w:val="center"/>
              <w:ind w:left="968"/>
              <w:spacing w:after="0" w:line="153" w:lineRule="exact"/>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line="20" w:lineRule="exact"/>
              <w:rPr>
                <w:sz w:val="1"/>
                <w:szCs w:val="1"/>
                <w:color w:val="auto"/>
              </w:rPr>
            </w:pPr>
          </w:p>
        </w:tc>
      </w:tr>
      <w:tr>
        <w:trPr>
          <w:trHeight w:val="215"/>
        </w:trPr>
        <w:tc>
          <w:tcPr>
            <w:tcW w:w="2860" w:type="dxa"/>
            <w:vAlign w:val="bottom"/>
            <w:gridSpan w:val="3"/>
          </w:tcPr>
          <w:p>
            <w:pPr>
              <w:jc w:val="right"/>
              <w:ind w:right="2040"/>
              <w:spacing w:after="0"/>
              <w:rPr>
                <w:sz w:val="20"/>
                <w:szCs w:val="20"/>
                <w:color w:val="auto"/>
              </w:rPr>
            </w:pPr>
            <w:r>
              <w:rPr>
                <w:rFonts w:ascii="Times New Roman" w:cs="Times New Roman" w:eastAsia="Times New Roman" w:hAnsi="Times New Roman"/>
                <w:sz w:val="18"/>
                <w:szCs w:val="18"/>
                <w:color w:val="auto"/>
                <w:w w:val="98"/>
              </w:rPr>
              <w:t>58,894,207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783,081</w:t>
            </w:r>
          </w:p>
        </w:tc>
        <w:tc>
          <w:tcPr>
            <w:tcW w:w="2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65,531</w:t>
            </w:r>
          </w:p>
        </w:tc>
        <w:tc>
          <w:tcPr>
            <w:tcW w:w="10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Approval, on an advisory (non-binding) basis, of the compensation of the Company’s named executive officers.</w:t>
      </w:r>
    </w:p>
    <w:p>
      <w:pPr>
        <w:spacing w:after="0" w:line="23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1560" w:type="dxa"/>
            <w:vAlign w:val="bottom"/>
            <w:gridSpan w:val="2"/>
          </w:tcPr>
          <w:p>
            <w:pPr>
              <w:jc w:val="center"/>
              <w:ind w:right="1260"/>
              <w:spacing w:after="0" w:line="153" w:lineRule="exact"/>
              <w:rPr>
                <w:sz w:val="20"/>
                <w:szCs w:val="20"/>
                <w:color w:val="auto"/>
              </w:rPr>
            </w:pPr>
            <w:r>
              <w:rPr>
                <w:rFonts w:ascii="Times New Roman" w:cs="Times New Roman" w:eastAsia="Times New Roman" w:hAnsi="Times New Roman"/>
                <w:sz w:val="14"/>
                <w:szCs w:val="14"/>
                <w:b w:val="1"/>
                <w:bCs w:val="1"/>
                <w:color w:val="auto"/>
              </w:rPr>
              <w:t>FOR</w:t>
            </w:r>
          </w:p>
        </w:tc>
        <w:tc>
          <w:tcPr>
            <w:tcW w:w="1040" w:type="dxa"/>
            <w:vAlign w:val="bottom"/>
          </w:tcPr>
          <w:p>
            <w:pPr>
              <w:spacing w:after="0"/>
              <w:rPr>
                <w:sz w:val="15"/>
                <w:szCs w:val="15"/>
                <w:color w:val="auto"/>
              </w:rPr>
            </w:pPr>
          </w:p>
        </w:tc>
        <w:tc>
          <w:tcPr>
            <w:tcW w:w="1760" w:type="dxa"/>
            <w:vAlign w:val="bottom"/>
            <w:gridSpan w:val="2"/>
          </w:tcPr>
          <w:p>
            <w:pPr>
              <w:jc w:val="center"/>
              <w:ind w:right="1100"/>
              <w:spacing w:after="0" w:line="153" w:lineRule="exact"/>
              <w:rPr>
                <w:sz w:val="20"/>
                <w:szCs w:val="20"/>
                <w:color w:val="auto"/>
              </w:rPr>
            </w:pPr>
            <w:r>
              <w:rPr>
                <w:rFonts w:ascii="Times New Roman" w:cs="Times New Roman" w:eastAsia="Times New Roman" w:hAnsi="Times New Roman"/>
                <w:sz w:val="14"/>
                <w:szCs w:val="14"/>
                <w:b w:val="1"/>
                <w:bCs w:val="1"/>
                <w:color w:val="auto"/>
              </w:rPr>
              <w:t>AGAINST</w:t>
            </w:r>
          </w:p>
        </w:tc>
        <w:tc>
          <w:tcPr>
            <w:tcW w:w="2740" w:type="dxa"/>
            <w:vAlign w:val="bottom"/>
            <w:gridSpan w:val="3"/>
          </w:tcPr>
          <w:p>
            <w:pPr>
              <w:ind w:left="1060"/>
              <w:spacing w:after="0" w:line="153" w:lineRule="exact"/>
              <w:rPr>
                <w:sz w:val="20"/>
                <w:szCs w:val="20"/>
                <w:color w:val="auto"/>
              </w:rPr>
            </w:pPr>
            <w:r>
              <w:rPr>
                <w:rFonts w:ascii="Times New Roman" w:cs="Times New Roman" w:eastAsia="Times New Roman" w:hAnsi="Times New Roman"/>
                <w:sz w:val="14"/>
                <w:szCs w:val="14"/>
                <w:b w:val="1"/>
                <w:bCs w:val="1"/>
                <w:color w:val="auto"/>
              </w:rPr>
              <w:t>ABSTAIN</w:t>
            </w:r>
          </w:p>
        </w:tc>
        <w:tc>
          <w:tcPr>
            <w:tcW w:w="1820" w:type="dxa"/>
            <w:vAlign w:val="bottom"/>
            <w:gridSpan w:val="2"/>
          </w:tcPr>
          <w:p>
            <w:pPr>
              <w:jc w:val="center"/>
              <w:ind w:left="968"/>
              <w:spacing w:after="0" w:line="153" w:lineRule="exact"/>
              <w:rPr>
                <w:sz w:val="20"/>
                <w:szCs w:val="20"/>
                <w:color w:val="auto"/>
              </w:rPr>
            </w:pPr>
            <w:r>
              <w:rPr>
                <w:rFonts w:ascii="Times New Roman" w:cs="Times New Roman" w:eastAsia="Times New Roman" w:hAnsi="Times New Roman"/>
                <w:sz w:val="14"/>
                <w:szCs w:val="14"/>
                <w:b w:val="1"/>
                <w:bCs w:val="1"/>
                <w:color w:val="auto"/>
              </w:rPr>
              <w:t>NON-VOTE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8,669,142</w:t>
            </w:r>
          </w:p>
        </w:tc>
        <w:tc>
          <w:tcPr>
            <w:tcW w:w="0" w:type="dxa"/>
            <w:vAlign w:val="bottom"/>
          </w:tcPr>
          <w:p>
            <w:pPr>
              <w:spacing w:after="0" w:line="20" w:lineRule="exact"/>
              <w:rPr>
                <w:sz w:val="1"/>
                <w:szCs w:val="1"/>
                <w:color w:val="auto"/>
              </w:rPr>
            </w:pPr>
          </w:p>
        </w:tc>
      </w:tr>
      <w:tr>
        <w:trPr>
          <w:trHeight w:val="215"/>
        </w:trPr>
        <w:tc>
          <w:tcPr>
            <w:tcW w:w="182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w w:val="98"/>
              </w:rPr>
              <w:t>47,452,759</w:t>
            </w:r>
          </w:p>
        </w:tc>
        <w:tc>
          <w:tcPr>
            <w:tcW w:w="28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2,977,290</w:t>
            </w:r>
          </w:p>
        </w:tc>
        <w:tc>
          <w:tcPr>
            <w:tcW w:w="1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9"/>
              </w:rPr>
              <w:t>643,628</w:t>
            </w:r>
          </w:p>
        </w:tc>
        <w:tc>
          <w:tcPr>
            <w:tcW w:w="10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the foregoing votes, Dr. Jerome Adams, Dr. Howard Berman and Barbara Duncan were elected as Class III directors and Proposals 2 and 3 were approved.</w:t>
      </w:r>
    </w:p>
    <w:p>
      <w:pPr>
        <w:sectPr>
          <w:pgSz w:w="11900" w:h="16838" w:orient="portrait"/>
          <w:cols w:equalWidth="0" w:num="1">
            <w:col w:w="10880"/>
          </w:cols>
          <w:pgMar w:left="440" w:top="293" w:right="5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ATEA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Andrea Corcoran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Chief Financial Officer and Executive Vice President, Legal and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2026-06-22T16:26:30Z</dcterms:created>
  <dcterms:modified xsi:type="dcterms:W3CDTF">2026-06-22T16:26:30Z</dcterms:modified>
</cp:coreProperties>
</file>