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460" w:right="1540" w:hanging="3452"/>
        <w:spacing w:after="0" w:line="329"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98" w:lineRule="exact"/>
        <w:rPr>
          <w:sz w:val="24"/>
          <w:szCs w:val="24"/>
          <w:color w:val="auto"/>
        </w:rPr>
      </w:pPr>
    </w:p>
    <w:p>
      <w:pPr>
        <w:ind w:left="2700" w:right="1540" w:hanging="2692"/>
        <w:spacing w:after="0" w:line="209" w:lineRule="auto"/>
        <w:tabs>
          <w:tab w:leader="none" w:pos="468"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_______________ to _______________</w:t>
      </w:r>
    </w:p>
    <w:p>
      <w:pPr>
        <w:spacing w:after="0" w:line="19" w:lineRule="exact"/>
        <w:rPr>
          <w:rFonts w:ascii="MS PGothic" w:cs="MS PGothic" w:eastAsia="MS PGothic" w:hAnsi="MS PGothic"/>
          <w:sz w:val="36"/>
          <w:szCs w:val="36"/>
          <w:color w:val="auto"/>
          <w:highlight w:val="black"/>
          <w:vertAlign w:val="superscript"/>
        </w:rPr>
      </w:pPr>
    </w:p>
    <w:p>
      <w:pPr>
        <w:ind w:left="406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Commission File Number: 001-39661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ATEA PHARMACEUTICALS,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46-0574869</w:t>
            </w:r>
          </w:p>
        </w:tc>
      </w:tr>
      <w:tr>
        <w:trPr>
          <w:trHeight w:val="135"/>
        </w:trPr>
        <w:tc>
          <w:tcPr>
            <w:tcW w:w="2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4940" w:type="dxa"/>
            <w:vAlign w:val="bottom"/>
          </w:tcPr>
          <w:p>
            <w:pPr>
              <w:jc w:val="center"/>
              <w:ind w:left="3805"/>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34"/>
        </w:trPr>
        <w:tc>
          <w:tcPr>
            <w:tcW w:w="23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incorporation or organization)</w:t>
            </w:r>
          </w:p>
        </w:tc>
        <w:tc>
          <w:tcPr>
            <w:tcW w:w="4940" w:type="dxa"/>
            <w:vAlign w:val="bottom"/>
          </w:tcPr>
          <w:p>
            <w:pPr>
              <w:jc w:val="center"/>
              <w:ind w:left="3805"/>
              <w:spacing w:after="0" w:line="134" w:lineRule="exact"/>
              <w:rPr>
                <w:sz w:val="20"/>
                <w:szCs w:val="20"/>
                <w:color w:val="auto"/>
              </w:rPr>
            </w:pPr>
            <w:r>
              <w:rPr>
                <w:rFonts w:ascii="Arial" w:cs="Arial" w:eastAsia="Arial" w:hAnsi="Arial"/>
                <w:sz w:val="13"/>
                <w:szCs w:val="13"/>
                <w:b w:val="1"/>
                <w:bCs w:val="1"/>
                <w:color w:val="auto"/>
                <w:w w:val="96"/>
              </w:rPr>
              <w:t>Identification No.)</w:t>
            </w:r>
          </w:p>
        </w:tc>
      </w:tr>
      <w:tr>
        <w:trPr>
          <w:trHeight w:val="203"/>
        </w:trPr>
        <w:tc>
          <w:tcPr>
            <w:tcW w:w="2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125 Summer Street</w:t>
            </w:r>
          </w:p>
        </w:tc>
        <w:tc>
          <w:tcPr>
            <w:tcW w:w="4940" w:type="dxa"/>
            <w:vAlign w:val="bottom"/>
          </w:tcPr>
          <w:p>
            <w:pPr>
              <w:spacing w:after="0"/>
              <w:rPr>
                <w:sz w:val="17"/>
                <w:szCs w:val="17"/>
                <w:color w:val="auto"/>
              </w:rPr>
            </w:pPr>
          </w:p>
        </w:tc>
      </w:tr>
      <w:tr>
        <w:trPr>
          <w:trHeight w:val="203"/>
        </w:trPr>
        <w:tc>
          <w:tcPr>
            <w:tcW w:w="238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9"/>
              </w:rPr>
              <w:t>Boston, MA</w:t>
            </w:r>
          </w:p>
        </w:tc>
        <w:tc>
          <w:tcPr>
            <w:tcW w:w="4940" w:type="dxa"/>
            <w:vAlign w:val="bottom"/>
          </w:tcPr>
          <w:p>
            <w:pPr>
              <w:jc w:val="right"/>
              <w:ind w:right="205"/>
              <w:spacing w:after="0" w:line="203" w:lineRule="exact"/>
              <w:rPr>
                <w:sz w:val="20"/>
                <w:szCs w:val="20"/>
                <w:color w:val="auto"/>
              </w:rPr>
            </w:pPr>
            <w:r>
              <w:rPr>
                <w:rFonts w:ascii="Arial" w:cs="Arial" w:eastAsia="Arial" w:hAnsi="Arial"/>
                <w:sz w:val="18"/>
                <w:szCs w:val="18"/>
                <w:b w:val="1"/>
                <w:bCs w:val="1"/>
                <w:color w:val="auto"/>
              </w:rPr>
              <w:t>02110</w:t>
            </w:r>
          </w:p>
        </w:tc>
      </w:tr>
      <w:tr>
        <w:trPr>
          <w:trHeight w:val="16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4940" w:type="dxa"/>
            <w:vAlign w:val="bottom"/>
          </w:tcPr>
          <w:p>
            <w:pPr>
              <w:jc w:val="center"/>
              <w:ind w:left="3805"/>
              <w:spacing w:after="0"/>
              <w:rPr>
                <w:sz w:val="20"/>
                <w:szCs w:val="20"/>
                <w:color w:val="auto"/>
              </w:rPr>
            </w:pPr>
            <w:r>
              <w:rPr>
                <w:rFonts w:ascii="Arial" w:cs="Arial" w:eastAsia="Arial" w:hAnsi="Arial"/>
                <w:sz w:val="13"/>
                <w:szCs w:val="13"/>
                <w:b w:val="1"/>
                <w:bCs w:val="1"/>
                <w:color w:val="auto"/>
                <w:w w:val="96"/>
              </w:rPr>
              <w:t>(Zip Code)</w:t>
            </w:r>
          </w:p>
        </w:tc>
      </w:tr>
      <w:tr>
        <w:trPr>
          <w:trHeight w:val="237"/>
        </w:trPr>
        <w:tc>
          <w:tcPr>
            <w:tcW w:w="2380" w:type="dxa"/>
            <w:vAlign w:val="bottom"/>
          </w:tcPr>
          <w:p>
            <w:pPr>
              <w:spacing w:after="0"/>
              <w:rPr>
                <w:sz w:val="20"/>
                <w:szCs w:val="20"/>
                <w:color w:val="auto"/>
              </w:rPr>
            </w:pPr>
          </w:p>
        </w:tc>
        <w:tc>
          <w:tcPr>
            <w:tcW w:w="4940" w:type="dxa"/>
            <w:vAlign w:val="bottom"/>
          </w:tcPr>
          <w:p>
            <w:pPr>
              <w:jc w:val="right"/>
              <w:ind w:right="2645"/>
              <w:spacing w:after="0"/>
              <w:rPr>
                <w:sz w:val="20"/>
                <w:szCs w:val="20"/>
                <w:color w:val="auto"/>
              </w:rPr>
            </w:pPr>
            <w:r>
              <w:rPr>
                <w:rFonts w:ascii="Arial" w:cs="Arial" w:eastAsia="Arial" w:hAnsi="Arial"/>
                <w:sz w:val="18"/>
                <w:szCs w:val="18"/>
                <w:b w:val="1"/>
                <w:bCs w:val="1"/>
                <w:color w:val="auto"/>
              </w:rPr>
              <w:t>(857) 284-8891</w:t>
            </w:r>
          </w:p>
        </w:tc>
      </w:tr>
      <w:tr>
        <w:trPr>
          <w:trHeight w:val="168"/>
        </w:trPr>
        <w:tc>
          <w:tcPr>
            <w:tcW w:w="2380" w:type="dxa"/>
            <w:vAlign w:val="bottom"/>
          </w:tcPr>
          <w:p>
            <w:pPr>
              <w:spacing w:after="0"/>
              <w:rPr>
                <w:sz w:val="14"/>
                <w:szCs w:val="14"/>
                <w:color w:val="auto"/>
              </w:rPr>
            </w:pPr>
          </w:p>
        </w:tc>
        <w:tc>
          <w:tcPr>
            <w:tcW w:w="4940" w:type="dxa"/>
            <w:vAlign w:val="bottom"/>
          </w:tcPr>
          <w:p>
            <w:pPr>
              <w:jc w:val="center"/>
              <w:ind w:right="1645"/>
              <w:spacing w:after="0"/>
              <w:rPr>
                <w:sz w:val="20"/>
                <w:szCs w:val="20"/>
                <w:color w:val="auto"/>
              </w:rPr>
            </w:pPr>
            <w:r>
              <w:rPr>
                <w:rFonts w:ascii="Arial" w:cs="Arial" w:eastAsia="Arial" w:hAnsi="Arial"/>
                <w:sz w:val="13"/>
                <w:szCs w:val="13"/>
                <w:b w:val="1"/>
                <w:bCs w:val="1"/>
                <w:color w:val="auto"/>
                <w:w w:val="96"/>
              </w:rPr>
              <w:t>(Registrant’s telephone number, including area code)</w:t>
            </w:r>
          </w:p>
        </w:tc>
      </w:tr>
    </w:tbl>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45720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4480" w:type="dxa"/>
            <w:vAlign w:val="bottom"/>
          </w:tcPr>
          <w:p>
            <w:pPr>
              <w:spacing w:after="0"/>
              <w:rPr>
                <w:sz w:val="14"/>
                <w:szCs w:val="14"/>
                <w:color w:val="auto"/>
              </w:rPr>
            </w:pPr>
          </w:p>
        </w:tc>
      </w:tr>
      <w:tr>
        <w:trPr>
          <w:trHeight w:val="175"/>
        </w:trPr>
        <w:tc>
          <w:tcPr>
            <w:tcW w:w="450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color w:val="auto"/>
              </w:rPr>
              <w:t>Common Stock, $0.001 par value per share</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AVIR</w:t>
            </w: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62" w:lineRule="exact"/>
        <w:rPr>
          <w:sz w:val="24"/>
          <w:szCs w:val="24"/>
          <w:color w:val="auto"/>
        </w:rPr>
      </w:pPr>
    </w:p>
    <w:p>
      <w:pPr>
        <w:ind w:right="120" w:firstLine="59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ind w:right="40" w:firstLine="599"/>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184" w:lineRule="exact"/>
        <w:tabs>
          <w:tab w:leader="none" w:pos="8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6" w:lineRule="exact"/>
        <w:rPr>
          <w:sz w:val="24"/>
          <w:szCs w:val="24"/>
          <w:color w:val="auto"/>
        </w:rPr>
      </w:pPr>
    </w:p>
    <w:p>
      <w:pPr>
        <w:ind w:right="120" w:firstLine="599"/>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2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7" w:lineRule="exact"/>
        <w:rPr>
          <w:sz w:val="24"/>
          <w:szCs w:val="24"/>
          <w:color w:val="auto"/>
        </w:rPr>
      </w:pPr>
    </w:p>
    <w:p>
      <w:pPr>
        <w:jc w:val="both"/>
        <w:ind w:right="60" w:firstLine="599"/>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p>
      <w:pPr>
        <w:ind w:left="600" w:right="120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10, 2021, the registrant had 83,102,730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Quarterly Report on Form 10-Q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The words “aim,” “anticipate,” “believe,” “contemplate,” “continue,” “could,” “estimate,” “expect,” “goal,” “intend,” “may,” "on track," “plan,” “possible,” “potential,” “predict,” “project,” “seek,” “should,” “target,” “will,” “would” or the negative of these terms or other similar expressions are intended to identify forward-looking statements, although not all forward-looking statements contain these identifying words.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117" w:lineRule="exact"/>
        <w:rPr>
          <w:sz w:val="20"/>
          <w:szCs w:val="20"/>
          <w:color w:val="auto"/>
        </w:rPr>
      </w:pPr>
    </w:p>
    <w:p>
      <w:pPr>
        <w:ind w:left="740" w:right="600" w:hanging="368"/>
        <w:spacing w:after="0" w:line="234" w:lineRule="auto"/>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expectations relating to clinical trials for our product candidates, including projected costs, study designs or the timing for initiation, recruitment, completion, or reporting top-line data;</w:t>
      </w:r>
    </w:p>
    <w:p>
      <w:pPr>
        <w:spacing w:after="0" w:line="1"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2E2E2E"/>
        </w:rPr>
        <w:t>the potential therapeutic benefits of our product candidates and the potential indications and market opportunities therefor;</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2E2E2E"/>
        </w:rPr>
        <w:t>the safety profile and related adverse events of our product candidates;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plans to research, develop and commercialize our current and future product candidates;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potential benefits of our collaboration with Roche or any future collaboration we may enter into with Roche or others;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timing of and our ability to obtain and maintain regulatory approvals for our product candidates;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rate and degree of market acceptance and clinical utility of any products for which we may receive marketing approval;</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estimates regarding future revenue, expenses and results of operations;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progress of, timing of and amount of expenses associated with our research, development and commercialization activities;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future financial position, capital requirements and needs for additional financing;</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business strategy;</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developments relating to our competitors, competing treatments and vaccines and our industry;</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expectations regarding federal, state and foreign laws and regulations;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2E2E2E"/>
        </w:rPr>
        <w:t>our ability to attract, motivate, and retain key personnel; and</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our preclinical studies and clinical trials.</w:t>
      </w:r>
    </w:p>
    <w:p>
      <w:pPr>
        <w:spacing w:after="0" w:line="13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the initiation, execution and completion of clinical trials, uncertainties surrounding the timing of availability of data from our clinical trials, ongoing discussions with and actions by regulatory authorities, our development activities and those other factors we discuss in Part II, Item 1A. “Risk Factors.” You should read these factors and the other cautionary statements made in this report as being applicable to all related forward-looking statements wherever they appear in this report. These risk factors are not exhaustive and other sections of this report may include additional factors which could adversely impact our business and financial performance.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1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used in this Quarterly Report on Form 10-Q, unless otherwise specified or the context otherwise requires, the terms “we,” “our,” “us,” the “Company” refer to Atea Pharmaceuticals, Inc. and its subsidiary. All brand names or trademarks appearing in this Quarterly Report on Form 10-Q are the property of their respective owners.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SUMMARY RISK FACTORS</w:t>
      </w:r>
    </w:p>
    <w:p>
      <w:pPr>
        <w:spacing w:after="0" w:line="13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The principal risks and uncertainties affecting our business include the following:</w:t>
      </w:r>
    </w:p>
    <w:p>
      <w:pPr>
        <w:spacing w:after="0" w:line="102"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There is significant uncertainty around our development of AT-527 as a potential treatment for COVID-19.</w:t>
      </w:r>
    </w:p>
    <w:p>
      <w:pPr>
        <w:spacing w:after="0" w:line="117" w:lineRule="exact"/>
        <w:rPr>
          <w:rFonts w:ascii="Arial" w:cs="Arial" w:eastAsia="Arial" w:hAnsi="Arial"/>
          <w:sz w:val="18"/>
          <w:szCs w:val="18"/>
          <w:color w:val="2E2E2E"/>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are highly dependent on our management, directors and other key personnel.</w:t>
      </w:r>
    </w:p>
    <w:p>
      <w:pPr>
        <w:spacing w:after="0" w:line="117" w:lineRule="exact"/>
        <w:rPr>
          <w:rFonts w:ascii="Arial" w:cs="Arial" w:eastAsia="Arial" w:hAnsi="Arial"/>
          <w:sz w:val="18"/>
          <w:szCs w:val="18"/>
          <w:color w:val="2E2E2E"/>
        </w:rPr>
      </w:pPr>
    </w:p>
    <w:p>
      <w:pPr>
        <w:ind w:left="740" w:right="20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may expend resources in anticipation of potential clinical trials and commercialization of AT-527, which we may not be able to recover if AT-527 is not approved for the treatment of COVID-19 or we are not successful at commercializing AT-527.</w:t>
      </w:r>
    </w:p>
    <w:p>
      <w:pPr>
        <w:spacing w:after="0" w:line="88" w:lineRule="exact"/>
        <w:rPr>
          <w:rFonts w:ascii="Arial" w:cs="Arial" w:eastAsia="Arial" w:hAnsi="Arial"/>
          <w:sz w:val="18"/>
          <w:szCs w:val="18"/>
          <w:color w:val="2E2E2E"/>
        </w:rPr>
      </w:pPr>
    </w:p>
    <w:p>
      <w:pPr>
        <w:ind w:left="740" w:right="26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 market for therapeutics for the treatment of COVID-19 may be reduced, perhaps significantly, as uptake of vaccines that are effective in providing immunity continues to increase.</w:t>
      </w:r>
    </w:p>
    <w:p>
      <w:pPr>
        <w:spacing w:after="0" w:line="88" w:lineRule="exact"/>
        <w:rPr>
          <w:rFonts w:ascii="Arial" w:cs="Arial" w:eastAsia="Arial" w:hAnsi="Arial"/>
          <w:sz w:val="18"/>
          <w:szCs w:val="18"/>
          <w:color w:val="2E2E2E"/>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AT-527 may face significant competition from other treatments for COVID-19 that are currently marketed or are in development.</w:t>
      </w:r>
    </w:p>
    <w:p>
      <w:pPr>
        <w:spacing w:after="0" w:line="117" w:lineRule="exact"/>
        <w:rPr>
          <w:rFonts w:ascii="Arial" w:cs="Arial" w:eastAsia="Arial" w:hAnsi="Arial"/>
          <w:sz w:val="18"/>
          <w:szCs w:val="18"/>
          <w:color w:val="2E2E2E"/>
        </w:rPr>
      </w:pPr>
    </w:p>
    <w:p>
      <w:pPr>
        <w:ind w:left="740" w:right="10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 COVID-19 pandemic continues to rapidly evolve and may materially and adversely affect our other business opportunities and financial results.</w:t>
      </w:r>
    </w:p>
    <w:p>
      <w:pPr>
        <w:spacing w:after="0" w:line="88" w:lineRule="exact"/>
        <w:rPr>
          <w:rFonts w:ascii="Arial" w:cs="Arial" w:eastAsia="Arial" w:hAnsi="Arial"/>
          <w:sz w:val="18"/>
          <w:szCs w:val="18"/>
          <w:color w:val="2E2E2E"/>
        </w:rPr>
      </w:pPr>
    </w:p>
    <w:p>
      <w:pPr>
        <w:ind w:left="740" w:right="180" w:hanging="368"/>
        <w:spacing w:after="0" w:line="274" w:lineRule="auto"/>
        <w:tabs>
          <w:tab w:leader="none" w:pos="740" w:val="left"/>
        </w:tabs>
        <w:numPr>
          <w:ilvl w:val="0"/>
          <w:numId w:val="4"/>
        </w:numPr>
        <w:rPr>
          <w:rFonts w:ascii="Arial" w:cs="Arial" w:eastAsia="Arial" w:hAnsi="Arial"/>
          <w:sz w:val="17"/>
          <w:szCs w:val="17"/>
          <w:color w:val="2E2E2E"/>
        </w:rPr>
      </w:pPr>
      <w:r>
        <w:rPr>
          <w:rFonts w:ascii="Arial" w:cs="Arial" w:eastAsia="Arial" w:hAnsi="Arial"/>
          <w:sz w:val="17"/>
          <w:szCs w:val="17"/>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66" w:lineRule="exact"/>
        <w:rPr>
          <w:rFonts w:ascii="Arial" w:cs="Arial" w:eastAsia="Arial" w:hAnsi="Arial"/>
          <w:sz w:val="17"/>
          <w:szCs w:val="17"/>
          <w:color w:val="2E2E2E"/>
        </w:rPr>
      </w:pPr>
    </w:p>
    <w:p>
      <w:pPr>
        <w:ind w:left="740" w:right="18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have incurred significant losses since inception. We expect our expenditures will increase for the foreseeable future. We have no products that have generated any commercial revenue and we may never achieve or maintain sustainable profitability.</w:t>
      </w:r>
    </w:p>
    <w:p>
      <w:pPr>
        <w:spacing w:after="0" w:line="88" w:lineRule="exact"/>
        <w:rPr>
          <w:rFonts w:ascii="Arial" w:cs="Arial" w:eastAsia="Arial" w:hAnsi="Arial"/>
          <w:sz w:val="18"/>
          <w:szCs w:val="18"/>
          <w:color w:val="2E2E2E"/>
        </w:rPr>
      </w:pPr>
    </w:p>
    <w:p>
      <w:pPr>
        <w:jc w:val="both"/>
        <w:ind w:left="740" w:right="28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94" w:lineRule="exact"/>
        <w:rPr>
          <w:rFonts w:ascii="Arial" w:cs="Arial" w:eastAsia="Arial" w:hAnsi="Arial"/>
          <w:sz w:val="18"/>
          <w:szCs w:val="18"/>
          <w:color w:val="2E2E2E"/>
        </w:rPr>
      </w:pPr>
    </w:p>
    <w:p>
      <w:pPr>
        <w:ind w:left="740" w:right="38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Our ability to use our net operating loss carryforwards and other tax attributes to offset future taxable income may be subject to certain limitations.</w:t>
      </w:r>
    </w:p>
    <w:p>
      <w:pPr>
        <w:spacing w:after="0" w:line="88" w:lineRule="exact"/>
        <w:rPr>
          <w:rFonts w:ascii="Arial" w:cs="Arial" w:eastAsia="Arial" w:hAnsi="Arial"/>
          <w:sz w:val="18"/>
          <w:szCs w:val="18"/>
          <w:color w:val="2E2E2E"/>
        </w:rPr>
      </w:pPr>
    </w:p>
    <w:p>
      <w:pPr>
        <w:ind w:left="740" w:right="28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Our business is highly dependent on the success of our most advanced product candidates. If these product candidates fail in preclinical or clinical development, do not receive regulatory approval or are not successfully commercialized, or are significantly delayed in doing so, our business will be harmed.</w:t>
      </w:r>
    </w:p>
    <w:p>
      <w:pPr>
        <w:spacing w:after="0" w:line="94" w:lineRule="exact"/>
        <w:rPr>
          <w:rFonts w:ascii="Arial" w:cs="Arial" w:eastAsia="Arial" w:hAnsi="Arial"/>
          <w:sz w:val="18"/>
          <w:szCs w:val="18"/>
          <w:color w:val="2E2E2E"/>
        </w:rPr>
      </w:pPr>
    </w:p>
    <w:p>
      <w:pPr>
        <w:ind w:left="740" w:right="40" w:hanging="368"/>
        <w:spacing w:after="0" w:line="237"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 regulatory approval processes of the U.S. Food and Drug Administration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 Even if we complete the necessary preclinical studies and clinical trials, the marketing approval process is expensive, time-consuming and uncertain and may prevent us, our current collaboration partner, Roche, or any future collaboration partners from obtaining approvals for the commercialization of any product candidate we develop.</w:t>
      </w:r>
    </w:p>
    <w:p>
      <w:pPr>
        <w:spacing w:after="0" w:line="96" w:lineRule="exact"/>
        <w:rPr>
          <w:rFonts w:ascii="Arial" w:cs="Arial" w:eastAsia="Arial" w:hAnsi="Arial"/>
          <w:sz w:val="18"/>
          <w:szCs w:val="18"/>
          <w:color w:val="2E2E2E"/>
        </w:rPr>
      </w:pPr>
    </w:p>
    <w:p>
      <w:pPr>
        <w:ind w:left="740" w:right="22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Clinical development is lengthy and uncertain. We may encounter substantial delays and costs in our clinical trials, or may not be able to conduct or complete our clinical trials on the timelines we expect, if at all.</w:t>
      </w:r>
    </w:p>
    <w:p>
      <w:pPr>
        <w:spacing w:after="0" w:line="88" w:lineRule="exact"/>
        <w:rPr>
          <w:rFonts w:ascii="Arial" w:cs="Arial" w:eastAsia="Arial" w:hAnsi="Arial"/>
          <w:sz w:val="18"/>
          <w:szCs w:val="18"/>
          <w:color w:val="2E2E2E"/>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94" w:lineRule="exact"/>
        <w:rPr>
          <w:rFonts w:ascii="Arial" w:cs="Arial" w:eastAsia="Arial" w:hAnsi="Arial"/>
          <w:sz w:val="18"/>
          <w:szCs w:val="18"/>
          <w:color w:val="2E2E2E"/>
        </w:rPr>
      </w:pPr>
    </w:p>
    <w:p>
      <w:pPr>
        <w:ind w:left="740" w:right="30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88" w:lineRule="exact"/>
        <w:rPr>
          <w:rFonts w:ascii="Arial" w:cs="Arial" w:eastAsia="Arial" w:hAnsi="Arial"/>
          <w:sz w:val="18"/>
          <w:szCs w:val="18"/>
          <w:color w:val="2E2E2E"/>
        </w:rPr>
      </w:pPr>
    </w:p>
    <w:p>
      <w:pPr>
        <w:ind w:left="740" w:right="4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Interim, topline and preliminary data from our clinical trials that we announce or publish from time to time may change as more data become available and are subject to audit and verification procedures that could result in material changes in the final data.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may not be successful in our efforts to identify and successfully develop additional product candidates.</w:t>
      </w:r>
    </w:p>
    <w:p>
      <w:pPr>
        <w:spacing w:after="0" w:line="116" w:lineRule="exact"/>
        <w:rPr>
          <w:rFonts w:ascii="Arial" w:cs="Arial" w:eastAsia="Arial" w:hAnsi="Arial"/>
          <w:sz w:val="18"/>
          <w:szCs w:val="18"/>
          <w:color w:val="2E2E2E"/>
        </w:rPr>
      </w:pPr>
    </w:p>
    <w:p>
      <w:pPr>
        <w:ind w:left="368" w:right="10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healthcare laws and other legal compliance matters may materially and adversely affect our business and financial results.</w:t>
      </w:r>
    </w:p>
    <w:p>
      <w:pPr>
        <w:spacing w:after="0" w:line="88"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commercialization may materially and adversely affect our business and financial results.</w:t>
      </w:r>
    </w:p>
    <w:p>
      <w:pPr>
        <w:spacing w:after="0" w:line="117" w:lineRule="exact"/>
        <w:rPr>
          <w:rFonts w:ascii="Arial" w:cs="Arial" w:eastAsia="Arial" w:hAnsi="Arial"/>
          <w:sz w:val="18"/>
          <w:szCs w:val="18"/>
          <w:color w:val="2E2E2E"/>
        </w:rPr>
      </w:pPr>
    </w:p>
    <w:p>
      <w:pPr>
        <w:ind w:left="368" w:right="12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manufacturing and our dependence on third parties may materially and adversely affect our business and financial results.</w:t>
      </w:r>
    </w:p>
    <w:p>
      <w:pPr>
        <w:spacing w:after="0" w:line="88" w:lineRule="exact"/>
        <w:rPr>
          <w:rFonts w:ascii="Arial" w:cs="Arial" w:eastAsia="Arial" w:hAnsi="Arial"/>
          <w:sz w:val="18"/>
          <w:szCs w:val="18"/>
          <w:color w:val="2E2E2E"/>
        </w:rPr>
      </w:pPr>
    </w:p>
    <w:p>
      <w:pPr>
        <w:ind w:left="368" w:hanging="368"/>
        <w:spacing w:after="0" w:line="238"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intellectual property may materially and adversely affect our business and financial results, including 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94"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have only a limited number of employees which may be inadequate to manage and operate our business.</w:t>
      </w:r>
    </w:p>
    <w:p>
      <w:pPr>
        <w:spacing w:after="0" w:line="117"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Our business and operations would suffer in the event of system failures, deficiencies or intrusions.</w:t>
      </w:r>
    </w:p>
    <w:p>
      <w:pPr>
        <w:spacing w:after="0" w:line="117" w:lineRule="exact"/>
        <w:rPr>
          <w:rFonts w:ascii="Arial" w:cs="Arial" w:eastAsia="Arial" w:hAnsi="Arial"/>
          <w:sz w:val="18"/>
          <w:szCs w:val="18"/>
          <w:color w:val="2E2E2E"/>
        </w:rPr>
      </w:pPr>
    </w:p>
    <w:p>
      <w:pPr>
        <w:ind w:left="368" w:right="56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will need to expand our organization, and we may experience difficulties in managing this growth, which could disrupt our operations.</w:t>
      </w:r>
    </w:p>
    <w:p>
      <w:pPr>
        <w:spacing w:after="0" w:line="88" w:lineRule="exact"/>
        <w:rPr>
          <w:rFonts w:ascii="Arial" w:cs="Arial" w:eastAsia="Arial" w:hAnsi="Arial"/>
          <w:sz w:val="18"/>
          <w:szCs w:val="18"/>
          <w:color w:val="2E2E2E"/>
        </w:rPr>
      </w:pPr>
    </w:p>
    <w:p>
      <w:pPr>
        <w:ind w:left="368" w:right="10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may engage in acquisitions or strategic partnerships that could disrupt our business, cause dilution to our stockholders, reduce our financial resources, cause us to incur debt or assume contingent liabilities, and subject us to other risks.</w:t>
      </w:r>
    </w:p>
    <w:p>
      <w:pPr>
        <w:spacing w:after="0" w:line="88"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or the third parties upon whom we depend may be adversely affected by natural disasters or other unforeseen events resulting in business interruptions and our business continuity and disaster recovery plans may not adequately protect us from such business interruptions.</w:t>
      </w:r>
    </w:p>
    <w:p>
      <w:pPr>
        <w:spacing w:after="0" w:line="94"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Litigation against us could be costly and time-consuming to defend and could result in additional liabilities.</w:t>
      </w:r>
    </w:p>
    <w:p>
      <w:pPr>
        <w:spacing w:after="0" w:line="117" w:lineRule="exact"/>
        <w:rPr>
          <w:rFonts w:ascii="Arial" w:cs="Arial" w:eastAsia="Arial" w:hAnsi="Arial"/>
          <w:sz w:val="18"/>
          <w:szCs w:val="18"/>
          <w:color w:val="2E2E2E"/>
        </w:rPr>
      </w:pPr>
    </w:p>
    <w:p>
      <w:pPr>
        <w:ind w:left="368" w:right="8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Unstable market and economic conditions may have serious adverse consequences on our business, financial condition and share price.</w:t>
      </w:r>
    </w:p>
    <w:p>
      <w:pPr>
        <w:spacing w:after="0" w:line="88"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our common stock may materially and adversely affect our stock price.</w:t>
      </w:r>
    </w:p>
    <w:p>
      <w:pPr>
        <w:spacing w:after="0" w:line="117"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94"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could be subject to securities class action litigation.</w:t>
      </w:r>
    </w:p>
    <w:p>
      <w:pPr>
        <w:spacing w:after="0" w:line="200" w:lineRule="exact"/>
        <w:rPr>
          <w:sz w:val="20"/>
          <w:szCs w:val="20"/>
          <w:color w:val="auto"/>
        </w:rPr>
      </w:pPr>
    </w:p>
    <w:p>
      <w:pPr>
        <w:spacing w:after="0" w:line="228" w:lineRule="exact"/>
        <w:rPr>
          <w:sz w:val="20"/>
          <w:szCs w:val="20"/>
          <w:color w:val="auto"/>
        </w:rPr>
      </w:pPr>
    </w:p>
    <w:p>
      <w:pPr>
        <w:jc w:val="center"/>
        <w:ind w:right="332"/>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92" w:top="1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r>
      <w:tr>
        <w:trPr>
          <w:trHeight w:val="183"/>
        </w:trPr>
        <w:tc>
          <w:tcPr>
            <w:tcW w:w="55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
              <w:r>
                <w:rPr>
                  <w:rFonts w:ascii="Arial" w:cs="Arial" w:eastAsia="Arial" w:hAnsi="Arial"/>
                  <w:sz w:val="18"/>
                  <w:szCs w:val="18"/>
                  <w:color w:val="0000EE"/>
                  <w:w w:val="99"/>
                </w:rPr>
                <w:t>SPECIAL NOTE REGARDING FORWARD-LOOKING STATEMENTS</w:t>
              </w:r>
            </w:hyperlink>
          </w:p>
        </w:tc>
        <w:tc>
          <w:tcPr>
            <w:tcW w:w="492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i</w:t>
            </w:r>
          </w:p>
        </w:tc>
      </w:tr>
      <w:tr>
        <w:trPr>
          <w:trHeight w:val="196"/>
        </w:trPr>
        <w:tc>
          <w:tcPr>
            <w:tcW w:w="230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SUMMARY RISK FACTORS</w:t>
              </w:r>
            </w:hyperlink>
          </w:p>
        </w:tc>
        <w:tc>
          <w:tcPr>
            <w:tcW w:w="816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290"/>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FINANCIAL INFORMATION</w:t>
              </w:r>
            </w:hyperlink>
          </w:p>
        </w:tc>
        <w:tc>
          <w:tcPr>
            <w:tcW w:w="70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28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28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280" w:type="dxa"/>
            <w:vAlign w:val="bottom"/>
            <w:gridSpan w:val="19"/>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 and Comprehensive Income (Loss</w:t>
              </w:r>
            </w:hyperlink>
            <w:r>
              <w:rPr>
                <w:rFonts w:ascii="Arial" w:cs="Arial" w:eastAsia="Arial" w:hAnsi="Arial"/>
                <w:sz w:val="18"/>
                <w:szCs w:val="18"/>
                <w:u w:val="single" w:color="auto"/>
                <w:color w:val="000000"/>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928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Convertible Preferred Stock and Stockholders’ Equity (Deficit</w:t>
              </w:r>
            </w:hyperlink>
            <w:r>
              <w:rPr>
                <w:rFonts w:ascii="Arial" w:cs="Arial" w:eastAsia="Arial" w:hAnsi="Arial"/>
                <w:sz w:val="18"/>
                <w:szCs w:val="18"/>
                <w:u w:val="single" w:color="auto"/>
                <w:color w:val="000000"/>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0"/>
        </w:trPr>
        <w:tc>
          <w:tcPr>
            <w:tcW w:w="1180" w:type="dxa"/>
            <w:vAlign w:val="bottom"/>
          </w:tcPr>
          <w:p>
            <w:pPr>
              <w:spacing w:after="0"/>
              <w:rPr>
                <w:sz w:val="18"/>
                <w:szCs w:val="18"/>
                <w:color w:val="auto"/>
              </w:rPr>
            </w:pPr>
          </w:p>
        </w:tc>
        <w:tc>
          <w:tcPr>
            <w:tcW w:w="8060" w:type="dxa"/>
            <w:vAlign w:val="bottom"/>
            <w:tcBorders>
              <w:top w:val="single" w:sz="8" w:color="0000EE"/>
            </w:tcBorders>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1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Notes to Unaudited Condensed Consolidated Financial Statements</w:t>
              </w:r>
            </w:hyperlink>
          </w:p>
        </w:tc>
        <w:tc>
          <w:tcPr>
            <w:tcW w:w="39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06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Management’s Discussion and Analysis of Financial Condition and Results of Operations</w:t>
              </w:r>
            </w:hyperlink>
          </w:p>
        </w:tc>
        <w:tc>
          <w:tcPr>
            <w:tcW w:w="22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28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6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91"/>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top w:val="single" w:sz="8" w:color="0000EE"/>
            </w:tcBorders>
            <w:gridSpan w:val="7"/>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OTHER INFORMATION</w:t>
              </w:r>
            </w:hyperlink>
          </w:p>
        </w:tc>
        <w:tc>
          <w:tcPr>
            <w:tcW w:w="73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9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73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Risk Factors</w:t>
              </w:r>
            </w:hyperlink>
          </w:p>
        </w:tc>
        <w:tc>
          <w:tcPr>
            <w:tcW w:w="480" w:type="dxa"/>
            <w:vAlign w:val="bottom"/>
            <w:tcBorders>
              <w:top w:val="single" w:sz="8" w:color="0000EE"/>
            </w:tcBorders>
            <w:gridSpan w:val="3"/>
          </w:tcPr>
          <w:p>
            <w:pPr>
              <w:spacing w:after="0"/>
              <w:rPr>
                <w:sz w:val="17"/>
                <w:szCs w:val="17"/>
                <w:color w:val="auto"/>
              </w:rPr>
            </w:pPr>
          </w:p>
        </w:tc>
        <w:tc>
          <w:tcPr>
            <w:tcW w:w="782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280" w:type="dxa"/>
            <w:vAlign w:val="bottom"/>
            <w:gridSpan w:val="19"/>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90">
              <w:r>
                <w:rPr>
                  <w:rFonts w:ascii="Arial" w:cs="Arial" w:eastAsia="Arial" w:hAnsi="Arial"/>
                  <w:sz w:val="18"/>
                  <w:szCs w:val="18"/>
                  <w:color w:val="0000EE"/>
                  <w:w w:val="97"/>
                </w:rPr>
                <w:t>Other Information</w:t>
              </w:r>
            </w:hyperlink>
          </w:p>
        </w:tc>
        <w:tc>
          <w:tcPr>
            <w:tcW w:w="3440" w:type="dxa"/>
            <w:vAlign w:val="bottom"/>
            <w:tcBorders>
              <w:top w:val="single" w:sz="8" w:color="0000EE"/>
            </w:tcBorders>
            <w:gridSpan w:val="10"/>
          </w:tcPr>
          <w:p>
            <w:pPr>
              <w:spacing w:after="0"/>
              <w:rPr>
                <w:sz w:val="17"/>
                <w:szCs w:val="17"/>
                <w:color w:val="auto"/>
              </w:rPr>
            </w:pPr>
          </w:p>
        </w:tc>
        <w:tc>
          <w:tcPr>
            <w:tcW w:w="44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280" w:type="dxa"/>
            <w:vAlign w:val="bottom"/>
            <w:gridSpan w:val="19"/>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Exhibits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8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tcPr>
          <w:p>
            <w:pPr>
              <w:spacing w:after="0" w:line="196" w:lineRule="exact"/>
              <w:rPr>
                <w:rFonts w:ascii="Arial" w:cs="Arial" w:eastAsia="Arial" w:hAnsi="Arial"/>
                <w:sz w:val="18"/>
                <w:szCs w:val="18"/>
                <w:color w:val="0000EE"/>
                <w:w w:val="97"/>
              </w:rPr>
            </w:pPr>
            <w:hyperlink w:anchor="page92">
              <w:r>
                <w:rPr>
                  <w:rFonts w:ascii="Arial" w:cs="Arial" w:eastAsia="Arial" w:hAnsi="Arial"/>
                  <w:sz w:val="18"/>
                  <w:szCs w:val="18"/>
                  <w:color w:val="0000EE"/>
                  <w:w w:val="97"/>
                </w:rPr>
                <w:t>SIGNATURES</w:t>
              </w:r>
            </w:hyperlink>
          </w:p>
        </w:tc>
        <w:tc>
          <w:tcPr>
            <w:tcW w:w="928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ind w:right="3760"/>
        <w:spacing w:after="0" w:line="258" w:lineRule="auto"/>
        <w:rPr>
          <w:sz w:val="20"/>
          <w:szCs w:val="20"/>
          <w:color w:val="auto"/>
        </w:rPr>
      </w:pPr>
      <w:r>
        <w:rPr>
          <w:rFonts w:ascii="Arial" w:cs="Arial" w:eastAsia="Arial" w:hAnsi="Arial"/>
          <w:sz w:val="32"/>
          <w:szCs w:val="32"/>
          <w:b w:val="1"/>
          <w:bCs w:val="1"/>
          <w:color w:val="auto"/>
        </w:rPr>
        <w:t>ATEA PHARMACEUTICALS, INC. and Subsidiary Condensed Consolidated Balance Sheets</w:t>
      </w:r>
    </w:p>
    <w:p>
      <w:pPr>
        <w:spacing w:after="0" w:line="235"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09"/>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839,660</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850,117</w:t>
            </w:r>
          </w:p>
        </w:tc>
      </w:tr>
      <w:tr>
        <w:trPr>
          <w:trHeight w:val="216"/>
        </w:trPr>
        <w:tc>
          <w:tcPr>
            <w:tcW w:w="6680" w:type="dxa"/>
            <w:vAlign w:val="bottom"/>
          </w:tcPr>
          <w:p>
            <w:pPr>
              <w:ind w:left="260"/>
              <w:spacing w:after="0"/>
              <w:rPr>
                <w:sz w:val="20"/>
                <w:szCs w:val="20"/>
                <w:color w:val="auto"/>
              </w:rPr>
            </w:pPr>
            <w:r>
              <w:rPr>
                <w:rFonts w:ascii="Arial" w:cs="Arial" w:eastAsia="Arial" w:hAnsi="Arial"/>
                <w:sz w:val="18"/>
                <w:szCs w:val="18"/>
                <w:color w:val="auto"/>
              </w:rPr>
              <w:t>Unbilled other receivable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5,815</w:t>
            </w:r>
          </w:p>
        </w:tc>
      </w:tr>
      <w:tr>
        <w:trPr>
          <w:trHeight w:val="216"/>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3,286</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7,545</w:t>
            </w:r>
          </w:p>
        </w:tc>
      </w:tr>
      <w:tr>
        <w:trPr>
          <w:trHeight w:val="209"/>
        </w:trPr>
        <w:tc>
          <w:tcPr>
            <w:tcW w:w="66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842,946</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863,477</w:t>
            </w:r>
          </w:p>
        </w:tc>
      </w:tr>
      <w:tr>
        <w:trPr>
          <w:trHeight w:val="216"/>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r>
      <w:tr>
        <w:trPr>
          <w:trHeight w:val="216"/>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532</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r>
      <w:tr>
        <w:trPr>
          <w:trHeight w:val="21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843,504</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863,632</w:t>
            </w:r>
          </w:p>
        </w:tc>
      </w:tr>
      <w:tr>
        <w:trPr>
          <w:trHeight w:val="209"/>
        </w:trPr>
        <w:tc>
          <w:tcPr>
            <w:tcW w:w="6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6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22,190</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60</w:t>
            </w:r>
          </w:p>
        </w:tc>
      </w:tr>
      <w:tr>
        <w:trPr>
          <w:trHeight w:val="216"/>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47,682</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14,368</w:t>
            </w:r>
          </w:p>
        </w:tc>
      </w:tr>
      <w:tr>
        <w:trPr>
          <w:trHeight w:val="216"/>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10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192,180</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301,367</w:t>
            </w:r>
          </w:p>
        </w:tc>
      </w:tr>
      <w:tr>
        <w:trPr>
          <w:trHeight w:val="209"/>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262,052</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315,795</w:t>
            </w:r>
          </w:p>
        </w:tc>
      </w:tr>
      <w:tr>
        <w:trPr>
          <w:trHeight w:val="216"/>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r>
      <w:tr>
        <w:trPr>
          <w:trHeight w:val="21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0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262,052</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315,831</w:t>
            </w:r>
          </w:p>
        </w:tc>
      </w:tr>
      <w:tr>
        <w:trPr>
          <w:trHeight w:val="209"/>
        </w:trPr>
        <w:tc>
          <w:tcPr>
            <w:tcW w:w="6680" w:type="dxa"/>
            <w:vAlign w:val="bottom"/>
          </w:tcPr>
          <w:p>
            <w:pPr>
              <w:spacing w:after="0"/>
              <w:rPr>
                <w:sz w:val="20"/>
                <w:szCs w:val="20"/>
                <w:color w:val="auto"/>
              </w:rPr>
            </w:pPr>
            <w:r>
              <w:rPr>
                <w:rFonts w:ascii="Arial" w:cs="Arial" w:eastAsia="Arial" w:hAnsi="Arial"/>
                <w:sz w:val="18"/>
                <w:szCs w:val="18"/>
                <w:color w:val="auto"/>
              </w:rPr>
              <w:t>Commitments and contingencies (see Note 11)</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5"/>
        </w:trPr>
        <w:tc>
          <w:tcPr>
            <w:tcW w:w="6680" w:type="dxa"/>
            <w:vAlign w:val="bottom"/>
          </w:tcPr>
          <w:p>
            <w:pPr>
              <w:ind w:left="260"/>
              <w:spacing w:after="0"/>
              <w:rPr>
                <w:sz w:val="20"/>
                <w:szCs w:val="20"/>
                <w:color w:val="auto"/>
              </w:rPr>
            </w:pPr>
            <w:r>
              <w:rPr>
                <w:rFonts w:ascii="Arial" w:cs="Arial" w:eastAsia="Arial" w:hAnsi="Arial"/>
                <w:sz w:val="18"/>
                <w:szCs w:val="18"/>
                <w:color w:val="auto"/>
              </w:rPr>
              <w:t>Preferred stock, $0.001 par value per share; 10,000,000 shares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3"/>
        </w:trPr>
        <w:tc>
          <w:tcPr>
            <w:tcW w:w="6680" w:type="dxa"/>
            <w:vAlign w:val="bottom"/>
          </w:tcPr>
          <w:p>
            <w:pPr>
              <w:ind w:left="360"/>
              <w:spacing w:after="0" w:line="202" w:lineRule="exact"/>
              <w:rPr>
                <w:sz w:val="20"/>
                <w:szCs w:val="20"/>
                <w:color w:val="auto"/>
              </w:rPr>
            </w:pPr>
            <w:r>
              <w:rPr>
                <w:rFonts w:ascii="Arial" w:cs="Arial" w:eastAsia="Arial" w:hAnsi="Arial"/>
                <w:sz w:val="18"/>
                <w:szCs w:val="18"/>
                <w:color w:val="auto"/>
              </w:rPr>
              <w:t>authorized; no shares issued and outstanding as of September 30,</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680" w:type="dxa"/>
            <w:vAlign w:val="bottom"/>
          </w:tcPr>
          <w:p>
            <w:pPr>
              <w:ind w:left="400"/>
              <w:spacing w:after="0" w:line="203" w:lineRule="exact"/>
              <w:rPr>
                <w:sz w:val="20"/>
                <w:szCs w:val="20"/>
                <w:color w:val="auto"/>
              </w:rPr>
            </w:pPr>
            <w:r>
              <w:rPr>
                <w:rFonts w:ascii="Arial" w:cs="Arial" w:eastAsia="Arial" w:hAnsi="Arial"/>
                <w:sz w:val="18"/>
                <w:szCs w:val="18"/>
                <w:color w:val="auto"/>
              </w:rPr>
              <w:t>2021 and December 31, 2020</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r>
      <w:tr>
        <w:trPr>
          <w:trHeight w:val="215"/>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300,000,000 shares authorized</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03"/>
        </w:trPr>
        <w:tc>
          <w:tcPr>
            <w:tcW w:w="66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as of September 30, 2021 and December 31, 2020;</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66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83,047,079 and 82,436,937 shares issued and outstanding</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66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as of September 30, 2021 and December 31, 2020, respectively</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90"/>
              <w:spacing w:after="0" w:line="203" w:lineRule="exact"/>
              <w:rPr>
                <w:sz w:val="20"/>
                <w:szCs w:val="20"/>
                <w:color w:val="auto"/>
              </w:rPr>
            </w:pPr>
            <w:r>
              <w:rPr>
                <w:rFonts w:ascii="Arial" w:cs="Arial" w:eastAsia="Arial" w:hAnsi="Arial"/>
                <w:sz w:val="18"/>
                <w:szCs w:val="18"/>
                <w:color w:val="auto"/>
              </w:rPr>
              <w:t>83</w:t>
            </w: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82</w:t>
            </w:r>
          </w:p>
        </w:tc>
      </w:tr>
      <w:tr>
        <w:trPr>
          <w:trHeight w:val="216"/>
        </w:trPr>
        <w:tc>
          <w:tcPr>
            <w:tcW w:w="66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642,471</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612,879</w:t>
            </w:r>
          </w:p>
        </w:tc>
      </w:tr>
      <w:tr>
        <w:trPr>
          <w:trHeight w:val="216"/>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0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(61,102)</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(65,160)</w:t>
            </w:r>
          </w:p>
        </w:tc>
      </w:tr>
      <w:tr>
        <w:trPr>
          <w:trHeight w:val="210"/>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0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581,452</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547,801</w:t>
            </w:r>
          </w:p>
        </w:tc>
      </w:tr>
      <w:tr>
        <w:trPr>
          <w:trHeight w:val="210"/>
        </w:trPr>
        <w:tc>
          <w:tcPr>
            <w:tcW w:w="66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4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843,504</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863,632</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Operations and Comprehensive</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Income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4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32,811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159,187</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43,019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13,601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109,394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24,177</w:t>
            </w:r>
          </w:p>
        </w:tc>
      </w:tr>
      <w:tr>
        <w:trPr>
          <w:trHeight w:val="216"/>
        </w:trPr>
        <w:tc>
          <w:tcPr>
            <w:tcW w:w="49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11,939</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4,028</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32,597</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7,500</w:t>
            </w:r>
          </w:p>
        </w:tc>
      </w:tr>
      <w:tr>
        <w:trPr>
          <w:trHeight w:val="209"/>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54,958</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17,629</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141,991</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31,677</w:t>
            </w:r>
          </w:p>
        </w:tc>
      </w:tr>
      <w:tr>
        <w:trPr>
          <w:trHeight w:val="209"/>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operations</w:t>
            </w:r>
          </w:p>
        </w:tc>
        <w:tc>
          <w:tcPr>
            <w:tcW w:w="8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(22,147)</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(17,629)</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17,196</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(31,677)</w:t>
            </w: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8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17,358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(31,603)</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(13,300)</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Net income (loss) and comprehensive income (loss)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(28,194)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(17,622)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4,058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(31,603)</w:t>
            </w:r>
          </w:p>
        </w:tc>
      </w:tr>
      <w:tr>
        <w:trPr>
          <w:trHeight w:val="209"/>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per share attributable to common</w:t>
            </w:r>
          </w:p>
        </w:tc>
        <w:tc>
          <w:tcPr>
            <w:tcW w:w="8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r>
      <w:tr>
        <w:trPr>
          <w:trHeight w:val="203"/>
        </w:trPr>
        <w:tc>
          <w:tcPr>
            <w:tcW w:w="49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w:t>
            </w: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Basic</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82,815,636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10,109,847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82,727,268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10,099,134</w:t>
            </w:r>
          </w:p>
        </w:tc>
      </w:tr>
      <w:tr>
        <w:trPr>
          <w:trHeight w:val="216"/>
        </w:trPr>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82,815,636</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10,109,847</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88,462,074</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10,099,134</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50" w:lineRule="exact"/>
        <w:rPr>
          <w:sz w:val="20"/>
          <w:szCs w:val="20"/>
          <w:color w:val="auto"/>
        </w:rPr>
      </w:pPr>
    </w:p>
    <w:p>
      <w:pPr>
        <w:ind w:right="60"/>
        <w:spacing w:after="0" w:line="245" w:lineRule="auto"/>
        <w:rPr>
          <w:sz w:val="20"/>
          <w:szCs w:val="20"/>
          <w:color w:val="auto"/>
        </w:rPr>
      </w:pPr>
      <w:r>
        <w:rPr>
          <w:rFonts w:ascii="Arial" w:cs="Arial" w:eastAsia="Arial" w:hAnsi="Arial"/>
          <w:sz w:val="32"/>
          <w:szCs w:val="32"/>
          <w:b w:val="1"/>
          <w:bCs w:val="1"/>
          <w:color w:val="auto"/>
        </w:rPr>
        <w:t>Condensed Consolidated Statements of Convertible Preferred Stock and Stockholders’ Equity (Deficit)</w:t>
      </w:r>
    </w:p>
    <w:p>
      <w:pPr>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540" w:type="dxa"/>
            <w:vAlign w:val="bottom"/>
            <w:tcBorders>
              <w:top w:val="single" w:sz="8" w:color="auto"/>
              <w:right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Convertible</w:t>
            </w:r>
          </w:p>
        </w:tc>
        <w:tc>
          <w:tcPr>
            <w:tcW w:w="1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Additional</w:t>
            </w: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Total</w:t>
            </w:r>
          </w:p>
        </w:tc>
      </w:tr>
      <w:tr>
        <w:trPr>
          <w:trHeight w:val="175"/>
        </w:trPr>
        <w:tc>
          <w:tcPr>
            <w:tcW w:w="32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Preferred Stock</w:t>
            </w:r>
          </w:p>
        </w:tc>
        <w:tc>
          <w:tcPr>
            <w:tcW w:w="1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3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Capital</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Deficit</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Equity</w:t>
            </w:r>
          </w:p>
        </w:tc>
      </w:tr>
      <w:tr>
        <w:trPr>
          <w:trHeight w:val="169"/>
        </w:trPr>
        <w:tc>
          <w:tcPr>
            <w:tcW w:w="3280" w:type="dxa"/>
            <w:vAlign w:val="bottom"/>
          </w:tcPr>
          <w:p>
            <w:pPr>
              <w:spacing w:after="0"/>
              <w:rPr>
                <w:sz w:val="20"/>
                <w:szCs w:val="20"/>
                <w:color w:val="auto"/>
              </w:rPr>
            </w:pPr>
            <w:r>
              <w:rPr>
                <w:rFonts w:ascii="Arial" w:cs="Arial" w:eastAsia="Arial" w:hAnsi="Arial"/>
                <w:sz w:val="14"/>
                <w:szCs w:val="14"/>
                <w:color w:val="auto"/>
              </w:rPr>
              <w:t>Balance—December 31, 2020</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82,436,937</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612,879</w:t>
            </w:r>
          </w:p>
        </w:tc>
        <w:tc>
          <w:tcPr>
            <w:tcW w:w="340" w:type="dxa"/>
            <w:vAlign w:val="bottom"/>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(65,160)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547,801</w:t>
            </w:r>
          </w:p>
        </w:tc>
      </w:tr>
      <w:tr>
        <w:trPr>
          <w:trHeight w:val="180"/>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7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20" w:type="dxa"/>
            <w:vAlign w:val="bottom"/>
            <w:tcBorders>
              <w:right w:val="single" w:sz="8" w:color="auto"/>
            </w:tcBorders>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7"/>
        </w:trPr>
        <w:tc>
          <w:tcPr>
            <w:tcW w:w="32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of stock options</w:t>
            </w:r>
          </w:p>
        </w:tc>
        <w:tc>
          <w:tcPr>
            <w:tcW w:w="7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ind w:right="348"/>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300,000</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470</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471</w:t>
            </w:r>
          </w:p>
        </w:tc>
      </w:tr>
      <w:tr>
        <w:trPr>
          <w:trHeight w:val="180"/>
        </w:trPr>
        <w:tc>
          <w:tcPr>
            <w:tcW w:w="32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280" w:type="dxa"/>
            <w:vAlign w:val="bottom"/>
          </w:tcPr>
          <w:p>
            <w:pPr>
              <w:ind w:left="380"/>
              <w:spacing w:after="0" w:line="157" w:lineRule="exact"/>
              <w:rPr>
                <w:sz w:val="20"/>
                <w:szCs w:val="20"/>
                <w:color w:val="auto"/>
              </w:rPr>
            </w:pPr>
            <w:r>
              <w:rPr>
                <w:rFonts w:ascii="Arial" w:cs="Arial" w:eastAsia="Arial" w:hAnsi="Arial"/>
                <w:sz w:val="14"/>
                <w:szCs w:val="14"/>
                <w:color w:val="auto"/>
              </w:rPr>
              <w:t>expense</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20" w:type="dxa"/>
            <w:vAlign w:val="bottom"/>
            <w:tcBorders>
              <w:right w:val="single" w:sz="8" w:color="auto"/>
            </w:tcBorders>
          </w:tcPr>
          <w:p>
            <w:pPr>
              <w:jc w:val="right"/>
              <w:ind w:right="348"/>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7,273</w:t>
            </w:r>
          </w:p>
        </w:tc>
        <w:tc>
          <w:tcPr>
            <w:tcW w:w="340" w:type="dxa"/>
            <w:vAlign w:val="bottom"/>
          </w:tcPr>
          <w:p>
            <w:pPr>
              <w:spacing w:after="0"/>
              <w:rPr>
                <w:sz w:val="13"/>
                <w:szCs w:val="13"/>
                <w:color w:val="auto"/>
              </w:rPr>
            </w:pPr>
          </w:p>
        </w:tc>
        <w:tc>
          <w:tcPr>
            <w:tcW w:w="8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7,273</w:t>
            </w:r>
          </w:p>
        </w:tc>
      </w:tr>
      <w:tr>
        <w:trPr>
          <w:trHeight w:val="175"/>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 (loss)</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right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30,713</w:t>
            </w:r>
          </w:p>
        </w:tc>
        <w:tc>
          <w:tcPr>
            <w:tcW w:w="3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30,713</w:t>
            </w:r>
          </w:p>
        </w:tc>
      </w:tr>
      <w:tr>
        <w:trPr>
          <w:trHeight w:val="169"/>
        </w:trPr>
        <w:tc>
          <w:tcPr>
            <w:tcW w:w="3280" w:type="dxa"/>
            <w:vAlign w:val="bottom"/>
          </w:tcPr>
          <w:p>
            <w:pPr>
              <w:spacing w:after="0"/>
              <w:rPr>
                <w:sz w:val="20"/>
                <w:szCs w:val="20"/>
                <w:color w:val="auto"/>
              </w:rPr>
            </w:pPr>
            <w:r>
              <w:rPr>
                <w:rFonts w:ascii="Arial" w:cs="Arial" w:eastAsia="Arial" w:hAnsi="Arial"/>
                <w:sz w:val="14"/>
                <w:szCs w:val="14"/>
                <w:color w:val="auto"/>
              </w:rPr>
              <w:t>Balance—March 31, 2021</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102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82,736,937</w:t>
            </w:r>
          </w:p>
        </w:tc>
        <w:tc>
          <w:tcPr>
            <w:tcW w:w="5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620,622</w:t>
            </w:r>
          </w:p>
        </w:tc>
        <w:tc>
          <w:tcPr>
            <w:tcW w:w="34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(34,447)</w:t>
            </w:r>
          </w:p>
        </w:tc>
        <w:tc>
          <w:tcPr>
            <w:tcW w:w="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586,258</w:t>
            </w:r>
          </w:p>
        </w:tc>
      </w:tr>
      <w:tr>
        <w:trPr>
          <w:trHeight w:val="180"/>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7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20" w:type="dxa"/>
            <w:vAlign w:val="bottom"/>
            <w:tcBorders>
              <w:right w:val="single" w:sz="8" w:color="auto"/>
            </w:tcBorders>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7"/>
        </w:trPr>
        <w:tc>
          <w:tcPr>
            <w:tcW w:w="32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of stock options</w:t>
            </w:r>
          </w:p>
        </w:tc>
        <w:tc>
          <w:tcPr>
            <w:tcW w:w="7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ind w:right="348"/>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40,000</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57</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57</w:t>
            </w:r>
          </w:p>
        </w:tc>
      </w:tr>
      <w:tr>
        <w:trPr>
          <w:trHeight w:val="180"/>
        </w:trPr>
        <w:tc>
          <w:tcPr>
            <w:tcW w:w="32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280" w:type="dxa"/>
            <w:vAlign w:val="bottom"/>
          </w:tcPr>
          <w:p>
            <w:pPr>
              <w:ind w:left="380"/>
              <w:spacing w:after="0" w:line="157" w:lineRule="exact"/>
              <w:rPr>
                <w:sz w:val="20"/>
                <w:szCs w:val="20"/>
                <w:color w:val="auto"/>
              </w:rPr>
            </w:pPr>
            <w:r>
              <w:rPr>
                <w:rFonts w:ascii="Arial" w:cs="Arial" w:eastAsia="Arial" w:hAnsi="Arial"/>
                <w:sz w:val="14"/>
                <w:szCs w:val="14"/>
                <w:color w:val="auto"/>
              </w:rPr>
              <w:t>expense</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20" w:type="dxa"/>
            <w:vAlign w:val="bottom"/>
            <w:tcBorders>
              <w:right w:val="single" w:sz="8" w:color="auto"/>
            </w:tcBorders>
          </w:tcPr>
          <w:p>
            <w:pPr>
              <w:jc w:val="right"/>
              <w:ind w:right="348"/>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10,007</w:t>
            </w:r>
          </w:p>
        </w:tc>
        <w:tc>
          <w:tcPr>
            <w:tcW w:w="340" w:type="dxa"/>
            <w:vAlign w:val="bottom"/>
          </w:tcPr>
          <w:p>
            <w:pPr>
              <w:spacing w:after="0"/>
              <w:rPr>
                <w:sz w:val="13"/>
                <w:szCs w:val="13"/>
                <w:color w:val="auto"/>
              </w:rPr>
            </w:pPr>
          </w:p>
        </w:tc>
        <w:tc>
          <w:tcPr>
            <w:tcW w:w="8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10,007</w:t>
            </w:r>
          </w:p>
        </w:tc>
      </w:tr>
      <w:tr>
        <w:trPr>
          <w:trHeight w:val="176"/>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 (loss)</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right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1,539</w:t>
            </w:r>
          </w:p>
        </w:tc>
        <w:tc>
          <w:tcPr>
            <w:tcW w:w="3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1,539</w:t>
            </w:r>
          </w:p>
        </w:tc>
      </w:tr>
      <w:tr>
        <w:trPr>
          <w:trHeight w:val="169"/>
        </w:trPr>
        <w:tc>
          <w:tcPr>
            <w:tcW w:w="3280" w:type="dxa"/>
            <w:vAlign w:val="bottom"/>
          </w:tcPr>
          <w:p>
            <w:pPr>
              <w:spacing w:after="0"/>
              <w:rPr>
                <w:sz w:val="20"/>
                <w:szCs w:val="20"/>
                <w:color w:val="auto"/>
              </w:rPr>
            </w:pPr>
            <w:r>
              <w:rPr>
                <w:rFonts w:ascii="Arial" w:cs="Arial" w:eastAsia="Arial" w:hAnsi="Arial"/>
                <w:sz w:val="14"/>
                <w:szCs w:val="14"/>
                <w:color w:val="auto"/>
              </w:rPr>
              <w:t>Balance—June 30, 2021</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102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82,776,937</w:t>
            </w:r>
          </w:p>
        </w:tc>
        <w:tc>
          <w:tcPr>
            <w:tcW w:w="5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630,686</w:t>
            </w:r>
          </w:p>
        </w:tc>
        <w:tc>
          <w:tcPr>
            <w:tcW w:w="34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(32,908)</w:t>
            </w:r>
          </w:p>
        </w:tc>
        <w:tc>
          <w:tcPr>
            <w:tcW w:w="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597,861</w:t>
            </w:r>
          </w:p>
        </w:tc>
      </w:tr>
      <w:tr>
        <w:trPr>
          <w:trHeight w:val="180"/>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7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20" w:type="dxa"/>
            <w:vAlign w:val="bottom"/>
            <w:tcBorders>
              <w:right w:val="single" w:sz="8" w:color="auto"/>
            </w:tcBorders>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57"/>
        </w:trPr>
        <w:tc>
          <w:tcPr>
            <w:tcW w:w="32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of stock options</w:t>
            </w:r>
          </w:p>
        </w:tc>
        <w:tc>
          <w:tcPr>
            <w:tcW w:w="7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jc w:val="right"/>
              <w:ind w:right="348"/>
              <w:spacing w:after="0" w:line="157"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270,142</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795</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795</w:t>
            </w:r>
          </w:p>
        </w:tc>
      </w:tr>
      <w:tr>
        <w:trPr>
          <w:trHeight w:val="180"/>
        </w:trPr>
        <w:tc>
          <w:tcPr>
            <w:tcW w:w="32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3280" w:type="dxa"/>
            <w:vAlign w:val="bottom"/>
          </w:tcPr>
          <w:p>
            <w:pPr>
              <w:ind w:left="380"/>
              <w:spacing w:after="0" w:line="157" w:lineRule="exact"/>
              <w:rPr>
                <w:sz w:val="20"/>
                <w:szCs w:val="20"/>
                <w:color w:val="auto"/>
              </w:rPr>
            </w:pPr>
            <w:r>
              <w:rPr>
                <w:rFonts w:ascii="Arial" w:cs="Arial" w:eastAsia="Arial" w:hAnsi="Arial"/>
                <w:sz w:val="14"/>
                <w:szCs w:val="14"/>
                <w:color w:val="auto"/>
              </w:rPr>
              <w:t>expense</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20" w:type="dxa"/>
            <w:vAlign w:val="bottom"/>
            <w:tcBorders>
              <w:right w:val="single" w:sz="8" w:color="auto"/>
            </w:tcBorders>
          </w:tcPr>
          <w:p>
            <w:pPr>
              <w:jc w:val="right"/>
              <w:ind w:right="348"/>
              <w:spacing w:after="0" w:line="157"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10,990</w:t>
            </w:r>
          </w:p>
        </w:tc>
        <w:tc>
          <w:tcPr>
            <w:tcW w:w="340" w:type="dxa"/>
            <w:vAlign w:val="bottom"/>
          </w:tcPr>
          <w:p>
            <w:pPr>
              <w:spacing w:after="0"/>
              <w:rPr>
                <w:sz w:val="13"/>
                <w:szCs w:val="13"/>
                <w:color w:val="auto"/>
              </w:rPr>
            </w:pPr>
          </w:p>
        </w:tc>
        <w:tc>
          <w:tcPr>
            <w:tcW w:w="8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10,990</w:t>
            </w:r>
          </w:p>
        </w:tc>
      </w:tr>
      <w:tr>
        <w:trPr>
          <w:trHeight w:val="176"/>
        </w:trPr>
        <w:tc>
          <w:tcPr>
            <w:tcW w:w="3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 (loss)</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right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(28,194)</w:t>
            </w:r>
          </w:p>
        </w:tc>
        <w:tc>
          <w:tcPr>
            <w:tcW w:w="3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(28,194)</w:t>
            </w:r>
          </w:p>
        </w:tc>
      </w:tr>
      <w:tr>
        <w:trPr>
          <w:trHeight w:val="16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Balance—September 30, 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83,047,079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642,471</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(61,102)</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581,452</w:t>
            </w:r>
          </w:p>
        </w:tc>
      </w:tr>
      <w:tr>
        <w:trPr>
          <w:trHeight w:val="344"/>
        </w:trPr>
        <w:tc>
          <w:tcPr>
            <w:tcW w:w="3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560" w:type="dxa"/>
            <w:vAlign w:val="bottom"/>
            <w:tcBorders>
              <w:top w:val="single" w:sz="8" w:color="auto"/>
              <w:right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Convertible</w:t>
            </w:r>
          </w:p>
        </w:tc>
        <w:tc>
          <w:tcPr>
            <w:tcW w:w="1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Additional</w:t>
            </w: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Total</w:t>
            </w:r>
          </w:p>
        </w:tc>
      </w:tr>
      <w:tr>
        <w:trPr>
          <w:trHeight w:val="175"/>
        </w:trPr>
        <w:tc>
          <w:tcPr>
            <w:tcW w:w="3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Preferred Stock</w:t>
            </w:r>
          </w:p>
        </w:tc>
        <w:tc>
          <w:tcPr>
            <w:tcW w:w="1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3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Capital</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Deficit</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Deficit</w:t>
            </w:r>
          </w:p>
        </w:tc>
      </w:tr>
      <w:tr>
        <w:trPr>
          <w:trHeight w:val="169"/>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Balance—December 31, 2019</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33,645,447</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69,114</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10,091,100</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4,632</w:t>
            </w:r>
          </w:p>
        </w:tc>
        <w:tc>
          <w:tcPr>
            <w:tcW w:w="32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(54,213)</w:t>
            </w:r>
          </w:p>
        </w:tc>
        <w:tc>
          <w:tcPr>
            <w:tcW w:w="3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(49,571)</w:t>
            </w:r>
          </w:p>
        </w:tc>
      </w:tr>
      <w:tr>
        <w:trPr>
          <w:trHeight w:val="180"/>
        </w:trPr>
        <w:tc>
          <w:tcPr>
            <w:tcW w:w="32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57"/>
        </w:trPr>
        <w:tc>
          <w:tcPr>
            <w:tcW w:w="3220" w:type="dxa"/>
            <w:vAlign w:val="bottom"/>
          </w:tcPr>
          <w:p>
            <w:pPr>
              <w:ind w:left="380"/>
              <w:spacing w:after="0" w:line="157" w:lineRule="exact"/>
              <w:rPr>
                <w:sz w:val="20"/>
                <w:szCs w:val="20"/>
                <w:color w:val="auto"/>
              </w:rPr>
            </w:pPr>
            <w:r>
              <w:rPr>
                <w:rFonts w:ascii="Arial" w:cs="Arial" w:eastAsia="Arial" w:hAnsi="Arial"/>
                <w:sz w:val="14"/>
                <w:szCs w:val="14"/>
                <w:color w:val="auto"/>
              </w:rPr>
              <w:t>expense</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40" w:type="dxa"/>
            <w:vAlign w:val="bottom"/>
            <w:tcBorders>
              <w:right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189</w:t>
            </w:r>
          </w:p>
        </w:tc>
        <w:tc>
          <w:tcPr>
            <w:tcW w:w="320" w:type="dxa"/>
            <w:vAlign w:val="bottom"/>
          </w:tcPr>
          <w:p>
            <w:pPr>
              <w:spacing w:after="0"/>
              <w:rPr>
                <w:sz w:val="13"/>
                <w:szCs w:val="13"/>
                <w:color w:val="auto"/>
              </w:rPr>
            </w:pPr>
          </w:p>
        </w:tc>
        <w:tc>
          <w:tcPr>
            <w:tcW w:w="8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189</w:t>
            </w: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(3,988)</w:t>
            </w:r>
          </w:p>
        </w:tc>
        <w:tc>
          <w:tcPr>
            <w:tcW w:w="3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(3,988)</w:t>
            </w:r>
          </w:p>
        </w:tc>
      </w:tr>
      <w:tr>
        <w:trPr>
          <w:trHeight w:val="169"/>
        </w:trPr>
        <w:tc>
          <w:tcPr>
            <w:tcW w:w="3220" w:type="dxa"/>
            <w:vAlign w:val="bottom"/>
          </w:tcPr>
          <w:p>
            <w:pPr>
              <w:spacing w:after="0"/>
              <w:rPr>
                <w:sz w:val="20"/>
                <w:szCs w:val="20"/>
                <w:color w:val="auto"/>
              </w:rPr>
            </w:pPr>
            <w:r>
              <w:rPr>
                <w:rFonts w:ascii="Arial" w:cs="Arial" w:eastAsia="Arial" w:hAnsi="Arial"/>
                <w:sz w:val="14"/>
                <w:szCs w:val="14"/>
                <w:color w:val="auto"/>
              </w:rPr>
              <w:t>Balance—March 31, 2020</w:t>
            </w:r>
          </w:p>
        </w:tc>
        <w:tc>
          <w:tcPr>
            <w:tcW w:w="860" w:type="dxa"/>
            <w:vAlign w:val="bottom"/>
          </w:tcPr>
          <w:p>
            <w:pPr>
              <w:jc w:val="right"/>
              <w:spacing w:after="0"/>
              <w:rPr>
                <w:sz w:val="20"/>
                <w:szCs w:val="20"/>
                <w:color w:val="auto"/>
              </w:rPr>
            </w:pPr>
            <w:r>
              <w:rPr>
                <w:rFonts w:ascii="Arial" w:cs="Arial" w:eastAsia="Arial" w:hAnsi="Arial"/>
                <w:sz w:val="14"/>
                <w:szCs w:val="14"/>
                <w:color w:val="auto"/>
              </w:rPr>
              <w:t>33,645,447</w:t>
            </w:r>
          </w:p>
        </w:tc>
        <w:tc>
          <w:tcPr>
            <w:tcW w:w="520" w:type="dxa"/>
            <w:vAlign w:val="bottom"/>
          </w:tcPr>
          <w:p>
            <w:pPr>
              <w:spacing w:after="0"/>
              <w:rPr>
                <w:sz w:val="14"/>
                <w:szCs w:val="14"/>
                <w:color w:val="auto"/>
              </w:rPr>
            </w:pPr>
          </w:p>
        </w:tc>
        <w:tc>
          <w:tcPr>
            <w:tcW w:w="104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69,114</w:t>
            </w:r>
          </w:p>
        </w:tc>
        <w:tc>
          <w:tcPr>
            <w:tcW w:w="1180" w:type="dxa"/>
            <w:vAlign w:val="bottom"/>
          </w:tcPr>
          <w:p>
            <w:pPr>
              <w:jc w:val="right"/>
              <w:spacing w:after="0"/>
              <w:rPr>
                <w:sz w:val="20"/>
                <w:szCs w:val="20"/>
                <w:color w:val="auto"/>
              </w:rPr>
            </w:pPr>
            <w:r>
              <w:rPr>
                <w:rFonts w:ascii="Arial" w:cs="Arial" w:eastAsia="Arial" w:hAnsi="Arial"/>
                <w:sz w:val="14"/>
                <w:szCs w:val="14"/>
                <w:color w:val="auto"/>
              </w:rPr>
              <w:t>10,091,100</w:t>
            </w:r>
          </w:p>
        </w:tc>
        <w:tc>
          <w:tcPr>
            <w:tcW w:w="5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4,821</w:t>
            </w:r>
          </w:p>
        </w:tc>
        <w:tc>
          <w:tcPr>
            <w:tcW w:w="3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(58,201)</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(53,370)</w:t>
            </w:r>
          </w:p>
        </w:tc>
      </w:tr>
      <w:tr>
        <w:trPr>
          <w:trHeight w:val="180"/>
        </w:trPr>
        <w:tc>
          <w:tcPr>
            <w:tcW w:w="3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Series D convertible</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tcBorders>
              <w:right w:val="single" w:sz="8" w:color="auto"/>
            </w:tcBorders>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r>
      <w:tr>
        <w:trPr>
          <w:trHeight w:val="162"/>
        </w:trPr>
        <w:tc>
          <w:tcPr>
            <w:tcW w:w="3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net of issuance costs of</w:t>
            </w: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r>
      <w:tr>
        <w:trPr>
          <w:trHeight w:val="157"/>
        </w:trPr>
        <w:tc>
          <w:tcPr>
            <w:tcW w:w="322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$869</w:t>
            </w: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15,313,382</w:t>
            </w:r>
          </w:p>
        </w:tc>
        <w:tc>
          <w:tcPr>
            <w:tcW w:w="52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jc w:val="right"/>
              <w:ind w:right="368"/>
              <w:spacing w:after="0" w:line="157" w:lineRule="exact"/>
              <w:rPr>
                <w:sz w:val="20"/>
                <w:szCs w:val="20"/>
                <w:color w:val="auto"/>
              </w:rPr>
            </w:pPr>
            <w:r>
              <w:rPr>
                <w:rFonts w:ascii="Arial" w:cs="Arial" w:eastAsia="Arial" w:hAnsi="Arial"/>
                <w:sz w:val="14"/>
                <w:szCs w:val="14"/>
                <w:color w:val="auto"/>
              </w:rPr>
              <w:t>106,631</w:t>
            </w:r>
          </w:p>
        </w:tc>
        <w:tc>
          <w:tcPr>
            <w:tcW w:w="11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r>
      <w:tr>
        <w:trPr>
          <w:trHeight w:val="180"/>
        </w:trPr>
        <w:tc>
          <w:tcPr>
            <w:tcW w:w="322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57"/>
        </w:trPr>
        <w:tc>
          <w:tcPr>
            <w:tcW w:w="3220" w:type="dxa"/>
            <w:vAlign w:val="bottom"/>
          </w:tcPr>
          <w:p>
            <w:pPr>
              <w:ind w:left="260"/>
              <w:spacing w:after="0" w:line="157" w:lineRule="exact"/>
              <w:rPr>
                <w:sz w:val="20"/>
                <w:szCs w:val="20"/>
                <w:color w:val="auto"/>
              </w:rPr>
            </w:pPr>
            <w:r>
              <w:rPr>
                <w:rFonts w:ascii="Arial" w:cs="Arial" w:eastAsia="Arial" w:hAnsi="Arial"/>
                <w:sz w:val="14"/>
                <w:szCs w:val="14"/>
                <w:color w:val="auto"/>
              </w:rPr>
              <w:t>of stock options</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40" w:type="dxa"/>
            <w:vAlign w:val="bottom"/>
            <w:tcBorders>
              <w:right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auto"/>
              </w:rPr>
              <w:t>18,747</w:t>
            </w:r>
          </w:p>
        </w:tc>
        <w:tc>
          <w:tcPr>
            <w:tcW w:w="50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27</w:t>
            </w:r>
          </w:p>
        </w:tc>
        <w:tc>
          <w:tcPr>
            <w:tcW w:w="320" w:type="dxa"/>
            <w:vAlign w:val="bottom"/>
          </w:tcPr>
          <w:p>
            <w:pPr>
              <w:spacing w:after="0"/>
              <w:rPr>
                <w:sz w:val="13"/>
                <w:szCs w:val="13"/>
                <w:color w:val="auto"/>
              </w:rPr>
            </w:pPr>
          </w:p>
        </w:tc>
        <w:tc>
          <w:tcPr>
            <w:tcW w:w="8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27</w:t>
            </w:r>
          </w:p>
        </w:tc>
      </w:tr>
      <w:tr>
        <w:trPr>
          <w:trHeight w:val="180"/>
        </w:trPr>
        <w:tc>
          <w:tcPr>
            <w:tcW w:w="3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tcBorders>
              <w:right w:val="single" w:sz="8" w:color="auto"/>
            </w:tcBorders>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r>
      <w:tr>
        <w:trPr>
          <w:trHeight w:val="157"/>
        </w:trPr>
        <w:tc>
          <w:tcPr>
            <w:tcW w:w="322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expense</w:t>
            </w: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209</w:t>
            </w: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209</w:t>
            </w:r>
          </w:p>
        </w:tc>
      </w:tr>
      <w:tr>
        <w:trPr>
          <w:trHeight w:val="175"/>
        </w:trPr>
        <w:tc>
          <w:tcPr>
            <w:tcW w:w="32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(9,993)</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(9,993)</w:t>
            </w:r>
          </w:p>
        </w:tc>
      </w:tr>
      <w:tr>
        <w:trPr>
          <w:trHeight w:val="169"/>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Balance—June 30, 2020</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48,958,829</w:t>
            </w:r>
          </w:p>
        </w:tc>
        <w:tc>
          <w:tcPr>
            <w:tcW w:w="5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175,745</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10,109,847</w:t>
            </w:r>
          </w:p>
        </w:tc>
        <w:tc>
          <w:tcPr>
            <w:tcW w:w="5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5,057</w:t>
            </w: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(68,194)</w:t>
            </w: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(63,127)</w:t>
            </w:r>
          </w:p>
        </w:tc>
      </w:tr>
      <w:tr>
        <w:trPr>
          <w:trHeight w:val="180"/>
        </w:trPr>
        <w:tc>
          <w:tcPr>
            <w:tcW w:w="322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57"/>
        </w:trPr>
        <w:tc>
          <w:tcPr>
            <w:tcW w:w="3220" w:type="dxa"/>
            <w:vAlign w:val="bottom"/>
          </w:tcPr>
          <w:p>
            <w:pPr>
              <w:ind w:left="260"/>
              <w:spacing w:after="0" w:line="157" w:lineRule="exact"/>
              <w:rPr>
                <w:sz w:val="20"/>
                <w:szCs w:val="20"/>
                <w:color w:val="auto"/>
              </w:rPr>
            </w:pPr>
            <w:r>
              <w:rPr>
                <w:rFonts w:ascii="Arial" w:cs="Arial" w:eastAsia="Arial" w:hAnsi="Arial"/>
                <w:sz w:val="14"/>
                <w:szCs w:val="14"/>
                <w:color w:val="auto"/>
              </w:rPr>
              <w:t>of stock options</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40" w:type="dxa"/>
            <w:vAlign w:val="bottom"/>
            <w:tcBorders>
              <w:right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r>
      <w:tr>
        <w:trPr>
          <w:trHeight w:val="180"/>
        </w:trPr>
        <w:tc>
          <w:tcPr>
            <w:tcW w:w="3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tcBorders>
              <w:right w:val="single" w:sz="8" w:color="auto"/>
            </w:tcBorders>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r>
      <w:tr>
        <w:trPr>
          <w:trHeight w:val="157"/>
        </w:trPr>
        <w:tc>
          <w:tcPr>
            <w:tcW w:w="322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expense</w:t>
            </w: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4,238</w:t>
            </w: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4,238</w:t>
            </w:r>
          </w:p>
        </w:tc>
      </w:tr>
      <w:tr>
        <w:trPr>
          <w:trHeight w:val="175"/>
        </w:trPr>
        <w:tc>
          <w:tcPr>
            <w:tcW w:w="32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(17,622)</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(17,622)</w:t>
            </w:r>
          </w:p>
        </w:tc>
      </w:tr>
      <w:tr>
        <w:trPr>
          <w:trHeight w:val="169"/>
        </w:trPr>
        <w:tc>
          <w:tcPr>
            <w:tcW w:w="3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Balance—September 30, 2020</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48,958,829</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175,745</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10,109,847</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9,295</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(85,816)</w:t>
            </w:r>
          </w:p>
        </w:tc>
        <w:tc>
          <w:tcPr>
            <w:tcW w:w="34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(76,511)</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8" w:name="page9"/>
    <w:bookmarkEnd w:id="8"/>
    <w:p>
      <w:pPr>
        <w:ind w:right="3200"/>
        <w:spacing w:after="0" w:line="258" w:lineRule="auto"/>
        <w:rPr>
          <w:sz w:val="20"/>
          <w:szCs w:val="20"/>
          <w:color w:val="auto"/>
        </w:rPr>
      </w:pPr>
      <w:r>
        <w:rPr>
          <w:rFonts w:ascii="Arial" w:cs="Arial" w:eastAsia="Arial" w:hAnsi="Arial"/>
          <w:sz w:val="32"/>
          <w:szCs w:val="32"/>
          <w:b w:val="1"/>
          <w:bCs w:val="1"/>
          <w:color w:val="auto"/>
        </w:rPr>
        <w:t>ATEA PHARMACEUTICALS, INC. and Subsidiary Condensed Consolidated Statements of Cash Flows</w:t>
      </w:r>
    </w:p>
    <w:p>
      <w:pPr>
        <w:spacing w:after="0" w:line="235" w:lineRule="auto"/>
        <w:rPr>
          <w:sz w:val="20"/>
          <w:szCs w:val="20"/>
          <w:color w:val="auto"/>
        </w:rPr>
      </w:pPr>
      <w:r>
        <w:rPr>
          <w:rFonts w:ascii="Arial" w:cs="Arial" w:eastAsia="Arial" w:hAnsi="Arial"/>
          <w:sz w:val="18"/>
          <w:szCs w:val="18"/>
          <w:b w:val="1"/>
          <w:bCs w:val="1"/>
          <w:color w:val="auto"/>
        </w:rPr>
        <w:t>(in thousands)</w:t>
      </w: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77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7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income (loss)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4,058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(31,603)</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28,270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4,636</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expense</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4,259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27,945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3,689</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33,278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4,259</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(109,187)</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(11,582)</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(21,787)</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Additions to property and equipment</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4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106,631</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for exercise of stock options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1,323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Payments made for initial public offering costs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r>
      <w:tr>
        <w:trPr>
          <w:trHeight w:val="20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1,323</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105,530</w:t>
            </w: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83,722</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850,224</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21,768</w:t>
            </w: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839,965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105,490</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4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839,660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105,383</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107</w:t>
            </w:r>
          </w:p>
        </w:tc>
      </w:tr>
      <w:tr>
        <w:trPr>
          <w:trHeight w:val="209"/>
        </w:trPr>
        <w:tc>
          <w:tcPr>
            <w:tcW w:w="7720" w:type="dxa"/>
            <w:vAlign w:val="bottom"/>
          </w:tcPr>
          <w:p>
            <w:pPr>
              <w:ind w:left="500"/>
              <w:spacing w:after="0"/>
              <w:rPr>
                <w:sz w:val="20"/>
                <w:szCs w:val="20"/>
                <w:color w:val="auto"/>
              </w:rPr>
            </w:pPr>
            <w:r>
              <w:rPr>
                <w:rFonts w:ascii="Arial" w:cs="Arial" w:eastAsia="Arial" w:hAnsi="Arial"/>
                <w:sz w:val="18"/>
                <w:szCs w:val="18"/>
                <w:color w:val="auto"/>
              </w:rPr>
              <w:t>Total cash, cash equivalents and restricted cash</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839,965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105,490</w:t>
            </w:r>
          </w:p>
        </w:tc>
      </w:tr>
      <w:tr>
        <w:trPr>
          <w:trHeight w:val="210"/>
        </w:trPr>
        <w:tc>
          <w:tcPr>
            <w:tcW w:w="77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Equity issuance costs included in accounts payable and accrued expenses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Nature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2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Atea Pharmaceuticals, Inc., together with its subsidiary Atea Pharmaceuticals Securities Corporation, is referred to on a consolidated basis as “the Company”.</w:t>
      </w:r>
    </w:p>
    <w:p>
      <w:pPr>
        <w:spacing w:after="0" w:line="8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Company is a clinical-stage biopharmaceutical company focused on discovering, developing and commercializing antiviral therapeutics to improve the lives of patients suffering from life-threatening viral infections.</w:t>
      </w:r>
    </w:p>
    <w:p>
      <w:pPr>
        <w:spacing w:after="0" w:line="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On November 3, 2020, the Company completed an initial public offering of its common stock (the “IPO”). In connection with the IPO, the Company issued 14,375,000 shares of its common stock at $24.00 per share for net proceeds of $317,605 after deducting underwriting discounts and commissions and offering expenses. Upon closing of the IPO, all outstanding shares of the Company’s convertible preferred stock converted into 57,932,090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The Company is subject to risks and uncertainties common to clinical-stage biopharmaceutical companies. These risks include, but are not limited to, potential failure of preclinical and clinical studies, uncertainties associated with research and development activities generally, competition from technical innovations of others, dependence upon key personnel, compliance with governmental regulations, the need to obtain marketing approval for any product candidate that the Company may discover and develop, the need to gain broad acceptance among patients, payers and health care providers to successfully commercialize any product for which marketing approval is obtained and the need to secure and maintain adequate intellectual property protection for the Company’s proprietary technology and products. Further, the Company is currently dependent on third-party service providers for much of its preclinical research, clinical development and manufacturing activities. Product candidates currently under development will require significant amounts of additional capital, additional research and development efforts, including extensive preclinical and clinical testing and regulatory approval, prior to commercialization. Even if the Company is able to generate revenues from the sale of its product candidates, if approved, it may not become profitable or be able to sustain profitability. If the Company fails to become profitable or is unable to sustain profitability on a continuing basis, then it may be unable to continue its operations at planned levels and be forced to reduce its operations. The Company is also subject to risks associated with the COVID-19 global pandemic, including actual and potential delays associated with certain of its ongoing and anticipated trials, and potential negative impacts on the Company’s business operations and its ability to raise additional capital to finance its operations.</w:t>
      </w:r>
    </w:p>
    <w:p>
      <w:pPr>
        <w:spacing w:after="0" w:line="92"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The Company may seek additional capital through one or more of a combination of financing through the sale of additional equity securities, debt financing, or funding in connection with any additional collaborative relationships it may enter into or other arrangements. There can be no assurance that the Company will be able to obtain such additional funding, on terms acceptable to the Company, on a timely basis or at</w:t>
      </w:r>
    </w:p>
    <w:p>
      <w:pPr>
        <w:spacing w:after="0" w:line="1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all. The terms of any financing may adversely affect the holdings or the rights of the Company’s existing shareholders. The Company believes that its cash and cash equivalents of $839,660 as of September 30, 2021 will be sufficient to fund its operations as currently planned through at least 2023.</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0" w:name="page11"/>
    <w:bookmarkEnd w:id="10"/>
    <w:p>
      <w:pPr>
        <w:ind w:right="220"/>
        <w:spacing w:after="0" w:line="238" w:lineRule="auto"/>
        <w:rPr>
          <w:sz w:val="20"/>
          <w:szCs w:val="20"/>
          <w:color w:val="auto"/>
        </w:rPr>
      </w:pPr>
      <w:r>
        <w:rPr>
          <w:rFonts w:ascii="Arial" w:cs="Arial" w:eastAsia="Arial" w:hAnsi="Arial"/>
          <w:sz w:val="18"/>
          <w:szCs w:val="18"/>
          <w:color w:val="auto"/>
        </w:rPr>
        <w:t>accordance with GAAP have been condensed or omitted from this report, as is permitted by such SEC rules and regulations. Accordingly, these unaudited condensed consolidated financial statements should be read in conjunction with the Company’s audited consolidated financial statements and the notes thereto for the year ended December 31, 2020 included in the Company’s Annual Report on Form 10-K filed with the SEC on March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accompanying condensed consolidated balance sheet as of September 30, 2021, the condensed consolidated statements of operations and comprehensive income (loss) for the three and nine months ended September 30, 2021 and 2020, the condensed consolidated statements of convertible preferred stock and stockholders’ equity (deficit) for the three and nine months ended September 30, 2021 and September 30, 2020, and the condensed consolidated statements of cash flows for the nine months ended September 30, 2021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2021, the results of its operations for the three and nine months ended September 30, 2021 and 2020 and its cash flows for the three and nine months ended September 30, 2021 and 2020. The results for the nine months ended September 30, 2021 and 2020 are not necessarily indicative of results to be expected for the year ending December 31, 2021, or any other interim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preparation of unaudited financial statements in conformity with GAAP requires management to make estimates and assumptions that affect the amounts reported in the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estimates of revenue recognition, accrued research and development expenses, income taxes and the valuation of common stock in connection with the issuance of stock-based awards prior to the Company’s IPO. Changes in estimates are recorded in the period in which they become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6"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The unaudited condensed consolidated financial statements include the accounts of Atea Pharmaceuticals, Inc. and its wholly owned subsidiary, Atea Pharmaceuticals Securities Corporation. All intercompany amounts have been eliminated in consolidation.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There were no changes in the Company’s significant accounting policies as described in the Annual Report on Form 10-K for the year ended December 31, 2020 filed with the SEC on March 30, 2021 except as discussed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jc w:val="both"/>
        <w:ind w:right="340"/>
        <w:spacing w:after="0" w:line="250" w:lineRule="auto"/>
        <w:rPr>
          <w:sz w:val="20"/>
          <w:szCs w:val="20"/>
          <w:color w:val="auto"/>
        </w:rPr>
      </w:pPr>
      <w:r>
        <w:rPr>
          <w:rFonts w:ascii="Arial" w:cs="Arial" w:eastAsia="Arial" w:hAnsi="Arial"/>
          <w:sz w:val="18"/>
          <w:szCs w:val="18"/>
          <w:color w:val="auto"/>
        </w:rPr>
        <w:t xml:space="preserve">The Company adopted Accounting Standards Updated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or “ASC 842”) effective January 1, 2021, using the modified retrospective method and utilized the effective date as its date of initial application, with prior periods presented in accordance with previous guidance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8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The Company has elected not to recognize leases with an original term of one year or less on the unaudited condensed consolidated balance sheet. The Company typically only includes an initial lease term in its assessment of a lease arrangement. Options to renew a lease are not included in the Company’s assessment unless there is reasonable certainty that the Company will renew. Leases with a term greater than one year are recognized on the balance sheet as right-of-use assets and current and non-current lease liabilities, as applicable.</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Leases that are economically similar to the purchase of assets are generally classified as finance leases; otherwise the leases are classified as operating leases. Operating lease liabilities and their corresponding right-of-use assets are initially recorded based on the present value of lease payments over the expected remaining lease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1" w:name="page12"/>
    <w:bookmarkEnd w:id="11"/>
    <w:p>
      <w:pPr>
        <w:ind w:right="40"/>
        <w:spacing w:after="0" w:line="237" w:lineRule="auto"/>
        <w:rPr>
          <w:sz w:val="20"/>
          <w:szCs w:val="20"/>
          <w:color w:val="auto"/>
        </w:rPr>
      </w:pPr>
      <w:r>
        <w:rPr>
          <w:rFonts w:ascii="Arial" w:cs="Arial" w:eastAsia="Arial" w:hAnsi="Arial"/>
          <w:sz w:val="18"/>
          <w:szCs w:val="18"/>
          <w:color w:val="auto"/>
        </w:rPr>
        <w:t>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including outstanding stock options. Diluted net income (loss) per share attributable to common stockholders is computed by dividing the diluted net income (loss) attributable to common stockholders by the weighted average number of common shares outstanding for the period, including potential dilutive common shares assuming the dilutive effect of outstanding stock options.</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Prior to the Company’s IPO in November 2020, basic and diluted net loss per share attributable to common stockholders was determined using the two-class method, which is required for participating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or “ASC 842”),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July 2018, an amendment was made that allows companies the option of using the effective date of the new standard as the initial application date (at the beginning of the period in which the new standard is adopted, rather than at the beginning of the earliest comparative period). This update includes a short-term lease exception for leases with a term of 12 months or less, in which a lessee can make an accounting policy election not to recognize the associated lease assets and lease liabilities on its balance sheet.</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Additionally, in March 2019, the FASB issued ASU 2019-01 (“ASU No. 2019-01”). ASU No. 2019-01 clarifies the transition guidance related to interim disclosures provided in the year of adoption.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did not significantly change from previous U.S. GAAP. The modified retrospective method includes several optional practical expedients that entities may elect to apply, as well as transition guidance specific to nonstandard leasing transactions.</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the Company has elected to use the extended transition period for complying with new or revised accounting standards as available under the Jobs Act, the Company adopted the new standard effective January 1, 2021 using the modified retrospective method as of the beginning of the period of the adoption. The Company has elected the package of practical expedients permitted in ASC Topic 842. Accordingly, the Company accounted for its existing operating lease as an operating lease under the new guidance, without reassessing (a) whether the contracts contain a lease under ASC Topic 842, (b) whether classification of the operating leases would be different in accordance with ASC Topic 842, or (c) whether the unamortized initial direct costs would have met the definition of initial direct costs in ASC Topic 842 at lease commencement.</w:t>
      </w:r>
    </w:p>
    <w:p>
      <w:pPr>
        <w:spacing w:after="0" w:line="95"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The adoption of this standard resulted in the recording of operating lease liabilities and right-of-use assets on the Company’s unaudited condensed consolidated balance sheet (see Note 9). The adoption of the standard did not have a material effect on the Company’s unaudited condensed consolidated statements of operations and comprehensive income (loss), unaudited condensed consolidated statements of cash flows or unaudited condensed consolidated statement of stockholders’ equity (deficit).</w:t>
      </w:r>
    </w:p>
    <w:p>
      <w:pPr>
        <w:spacing w:after="0" w:line="79" w:lineRule="exact"/>
        <w:rPr>
          <w:sz w:val="20"/>
          <w:szCs w:val="20"/>
          <w:color w:val="auto"/>
        </w:rPr>
      </w:pPr>
    </w:p>
    <w:p>
      <w:pPr>
        <w:ind w:right="780"/>
        <w:spacing w:after="0" w:line="267" w:lineRule="auto"/>
        <w:rPr>
          <w:sz w:val="20"/>
          <w:szCs w:val="20"/>
          <w:color w:val="auto"/>
        </w:rPr>
      </w:pPr>
      <w:r>
        <w:rPr>
          <w:rFonts w:ascii="Arial" w:cs="Arial" w:eastAsia="Arial" w:hAnsi="Arial"/>
          <w:sz w:val="18"/>
          <w:szCs w:val="18"/>
          <w:color w:val="auto"/>
        </w:rPr>
        <w:t xml:space="preserve">In July 2017, the FASB issued ASU No. 2017-11, </w:t>
      </w:r>
      <w:r>
        <w:rPr>
          <w:rFonts w:ascii="Arial" w:cs="Arial" w:eastAsia="Arial" w:hAnsi="Arial"/>
          <w:sz w:val="18"/>
          <w:szCs w:val="18"/>
          <w:i w:val="1"/>
          <w:iCs w:val="1"/>
          <w:color w:val="auto"/>
        </w:rPr>
        <w:t>Earnings Per Share (Topic 260), Distinguishing Liabilities from Equity (Topic 480),</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(Topic 815) I. Accounting for Certain Financial Instruments with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ind w:right="40"/>
        <w:spacing w:after="0" w:line="238" w:lineRule="auto"/>
        <w:rPr>
          <w:sz w:val="20"/>
          <w:szCs w:val="20"/>
          <w:color w:val="auto"/>
        </w:rPr>
      </w:pPr>
      <w:r>
        <w:rPr>
          <w:rFonts w:ascii="Arial" w:cs="Arial" w:eastAsia="Arial" w:hAnsi="Arial"/>
          <w:sz w:val="18"/>
          <w:szCs w:val="18"/>
          <w:i w:val="1"/>
          <w:iCs w:val="1"/>
          <w:color w:val="auto"/>
        </w:rPr>
        <w:t>Down Round Features II. Replacement of the Indefinite Deferral for Mandatorily Redeemable Financial Instruments of Certain Nonpublic Entities and Certain Mandatorily Redeemable Noncontrolling Interests with a Scope Exception (“ASU 2017-11”)</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Part I applies to entities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Company adopted the standard effective January 1, 2021. The adoption of the standard did not have a material effect on the Company’s unaudited condensed consolidated balance sheets, unaudited condensed consolidated statements of operations and comprehensive income (loss), unaudited condensed consolidated statements of cash flows or unaudited condensed consolidated statement of stockholders’ equity (deficit).</w:t>
      </w:r>
    </w:p>
    <w:p>
      <w:pPr>
        <w:spacing w:after="0" w:line="83"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the accounting for income taxes. ASU 2019-12 removes certain exceptions to the general principles in Topic 740 and also clarifies and amends existing guidance to improve consistent application. The Company adopted the standard effective January 1,</w:t>
      </w:r>
    </w:p>
    <w:p>
      <w:pPr>
        <w:spacing w:after="0" w:line="2"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2021. The adoption of the standard did not have a material effect on the Company’s unaudited condensed consolidated balance sheets, unaudited condensed consolidated statements of operations and comprehensive income (loss), unaudited condensed consolidated statements of cash flows or unaudited condensed consolidated statement of stockholders’ equity (deficit).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The new standard requires that expected credit losses relating to financial assets measured on an amortized cost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standard will be effective for the Company effective December 31, 2021 and the Company believes that the adoption of this standard will not have a material impact on its consolidated financial statements.</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Collaboration Revenue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35" w:lineRule="exact"/>
        <w:rPr>
          <w:sz w:val="20"/>
          <w:szCs w:val="20"/>
          <w:color w:val="auto"/>
        </w:rPr>
      </w:pPr>
    </w:p>
    <w:p>
      <w:pPr>
        <w:jc w:val="both"/>
        <w:ind w:right="80"/>
        <w:spacing w:after="0" w:line="274" w:lineRule="auto"/>
        <w:rPr>
          <w:sz w:val="20"/>
          <w:szCs w:val="20"/>
          <w:color w:val="auto"/>
        </w:rPr>
      </w:pPr>
      <w:r>
        <w:rPr>
          <w:rFonts w:ascii="Arial" w:cs="Arial" w:eastAsia="Arial" w:hAnsi="Arial"/>
          <w:sz w:val="17"/>
          <w:szCs w:val="17"/>
          <w:color w:val="auto"/>
        </w:rPr>
        <w:t>In October 2020, the Company licensed to F. Hoffmann-LaRoche Ltd. and Genentech, Inc. (collectively, “Roche”) under a license agreement (the “Roche License Agreement”) ex-US rights to develop and commercialize certain of the Company’s compounds, including AT-527.</w:t>
      </w:r>
    </w:p>
    <w:p>
      <w:pPr>
        <w:spacing w:after="0" w:line="67" w:lineRule="exact"/>
        <w:rPr>
          <w:sz w:val="20"/>
          <w:szCs w:val="20"/>
          <w:color w:val="auto"/>
        </w:rPr>
      </w:pPr>
    </w:p>
    <w:p>
      <w:pPr>
        <w:jc w:val="both"/>
        <w:ind w:right="80"/>
        <w:spacing w:after="0" w:line="261" w:lineRule="auto"/>
        <w:rPr>
          <w:sz w:val="20"/>
          <w:szCs w:val="20"/>
          <w:color w:val="auto"/>
        </w:rPr>
      </w:pPr>
      <w:r>
        <w:rPr>
          <w:rFonts w:ascii="Arial" w:cs="Arial" w:eastAsia="Arial" w:hAnsi="Arial"/>
          <w:sz w:val="17"/>
          <w:szCs w:val="17"/>
          <w:color w:val="auto"/>
        </w:rPr>
        <w:t>The Company is responsible for completing certain ongoing clinical and non-clinical and manufacturing activities at its own expense. These obligations are referred to as the Atea Ongoing Studies and the Atea Manufacturing Obligations, respectively. The parties are collaboratively executing a global development plan intended to support regulatory approvals and are sharing joint development costs equally.</w:t>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Roche License Agreement provided for a nonrefundable upfront payment of $ 350,000 which the Company received in November 2020. In addition, the Roche License Agreement further provides that Roche is obligated to pay the Company up to $330,000 in the aggregate upon the achievement of certain development and regulatory milestone events; up to $320,000 in the aggregate upon the achievement of certain sales based milestone events; and tiered royalties based on annual net sales of the products covered by the agreement, ranging between low double-digits and mid-twenties, subject to certain adjustments and limitations. The Company achieved a development milestone in the amount of $50,000 during the nine months ended September 30, 2021. Further, under the Roche License Agreement, the Company has a one time option to request that Roche co-promote with the Company in the United States products covered by the Roche License Agreement that are successfully developed and commercialized. Roche has the right to terminate the Roche License Agreement for convenience pursuant to the terms of the agreement.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Accounting Analysis</w:t>
      </w:r>
    </w:p>
    <w:p>
      <w:pPr>
        <w:spacing w:after="0" w:line="1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Company concluded that the License Agreement is under the scope of ASC 808 as both parties will actively participate in a joint operating activity and are exposed to significant risks and rewards that depend on the activity’s commercial success. ASC 808 provides that certain transactions between collaborative arrangement participants should be accounted for as revenue under ASC 606 when the collaborative arrangement participant is a customer in the context of a unit of account. In those situations, all of the guidance in ASC 606 should be applied, including recognition, measurement, presentation, and disclosure requirements related to such unit of account. The unit-of-account guidance in ASC 808, which aligns with the guidance in ASC 606 (that is, a distinct good or service) is used when an entity is assessing whether the collaborative arrangement or a part of the arrangement is within the scope of ASC 606. Based on the Company’s analysis, it concluded that the delivery of the license to Roche, the performance of the Atea Ongoing Studies and the Atea Manufacturing Obligations should be accounted for under ASC 606. The Company’s efforts under the global development plan and certain Atea Manufacturing Obligations in the initial year of the contract, will be accounted for under ASC 808.</w:t>
      </w:r>
    </w:p>
    <w:p>
      <w:pPr>
        <w:spacing w:after="0" w:line="11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 concluded that the provision of the license to Roche, the performance of the Atea Ongoing Studies and the Atea Manufacturing Obligations should be combined as one performance obligation as Roche cannot receive the benefit of each promise without the other promises. Specifically, Roche is dependent on the Company’s expertise and ability to complete the Atea Ongoing Studies and the Atea Manufacturing Obligations, which cannot be performed by other third parties, in order to exploit the value from the license.</w:t>
      </w:r>
    </w:p>
    <w:p>
      <w:pPr>
        <w:spacing w:after="0" w:line="11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initial transaction price was $350,000 which consisted of the upfront payment. The Company concluded that all other forms of variable consideration, including future development and regulatory milestones should be constrained at contract inception. As part of this conclusion, the Company assessed the stage of development and risk associated with remaining development required to achieve each milestone, including whether the achievement of certain milestones was outside the control of the Company. During the nine months ended September 30, 2021, the transaction price was increased to $400,000 which includes the $350,000 upfront payment and $50,000 related to the development milestone payment achieved during the nine months ended September 30, 2021. Sales based milestone payments and royalty payments qualify for the sales based royalty exception and will be recognized when the underlying sale transactions have occurred.</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transaction price is being recognized as collaboration revenue over the period in which the Company performs the Atea Ongoing Studies and the Atea Manufacturing Obligations. The Company concluded that an inputs method based on costs incurred compared to total estimated costs-to-complete approach most faithfully depicts the Company’s progress towards completion. Revenue recognized for the three months ended September 30, 2021 was calculated by applying the cumulative percent complete to the transaction price of $400,000 minus the cumulative revenue previously recognized.</w:t>
      </w:r>
    </w:p>
    <w:p>
      <w:pPr>
        <w:spacing w:after="0" w:line="108"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 xml:space="preserve">The Company concluded that its efforts to complete the global development plan will be accounted for under ASC 808. The Company will account for expenses incurred and reimbursements made or received from Roche pursuant to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As such, the Company will expense costs as incurred, including any reimbursements made to Roche, and recognize reimbursement received from Roche as a reduction of research and development expense.</w:t>
      </w:r>
    </w:p>
    <w:p>
      <w:pPr>
        <w:spacing w:after="0" w:line="11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 classifies all revenues recognized under the Roche License Agreement as collaboration revenues within the accompanying unaudited condensed consolidated statements of operations and comprehensive income (loss). For the three and nine months ended September 30, 2021, the Company recognized collaboration revenue of $32,811 and $159,187, respectively, related to the combined performance obligation. As of September 30, 2021, the Company had deferred revenue of $192,180 related to the Roche License Agreement. Deferred revenue is classified in current liabilities in the accompanying unaudited condensed consolidated balance sheet as of September 30, 2021 as the performance obligation associated with the deferred revenue as of September 30, 2021 is expected to be completed within twelve months.</w:t>
      </w:r>
    </w:p>
    <w:p>
      <w:pPr>
        <w:spacing w:after="0" w:line="10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For the three and nine months ended September 30, 2021, costs reimbursable by Roche which are reflected as a reduction to operating expenses were $1,726 and $7,623, respectively. The Company recorded research and development expense of $25,257 and $62,986, respectively, related to its share of costs incurred by Roche. The net liability to Roche related to reimbursable costs was $44,264 as of September 30, 2021, with $18,414 recorded as accounts payable and $25,850 recorded as accrued expenses and other current liabilities in the accompanying unaudited condensed consolidated balance sheet.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4. Fair Value Measurements</w:t>
      </w:r>
    </w:p>
    <w:p>
      <w:pPr>
        <w:spacing w:after="0" w:line="13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Fair Value Measurements as of</w:t>
      </w:r>
    </w:p>
    <w:p>
      <w:pPr>
        <w:spacing w:after="0" w:line="14"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September 30, 2021</w:t>
      </w:r>
    </w:p>
    <w:tbl>
      <w:tblPr>
        <w:tblLayout w:type="fixed"/>
        <w:tblInd w:w="0" w:type="dxa"/>
        <w:tblCellMar>
          <w:top w:w="0" w:type="dxa"/>
          <w:left w:w="0" w:type="dxa"/>
          <w:bottom w:w="0" w:type="dxa"/>
          <w:right w:w="0" w:type="dxa"/>
        </w:tblCellMar>
      </w:tblPr>
      <w:tr>
        <w:trPr>
          <w:trHeight w:val="209"/>
        </w:trPr>
        <w:tc>
          <w:tcPr>
            <w:tcW w:w="578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811,731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811,731</w:t>
            </w:r>
          </w:p>
        </w:tc>
      </w:tr>
      <w:tr>
        <w:trPr>
          <w:trHeight w:val="209"/>
        </w:trPr>
        <w:tc>
          <w:tcPr>
            <w:tcW w:w="57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811,731</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811,731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Fair Value Measurements as of</w:t>
      </w:r>
    </w:p>
    <w:p>
      <w:pPr>
        <w:spacing w:after="0" w:line="14"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December 31, 2020</w:t>
      </w:r>
    </w:p>
    <w:tbl>
      <w:tblPr>
        <w:tblLayout w:type="fixed"/>
        <w:tblInd w:w="0" w:type="dxa"/>
        <w:tblCellMar>
          <w:top w:w="0" w:type="dxa"/>
          <w:left w:w="0" w:type="dxa"/>
          <w:bottom w:w="0" w:type="dxa"/>
          <w:right w:w="0" w:type="dxa"/>
        </w:tblCellMar>
      </w:tblPr>
      <w:tr>
        <w:trPr>
          <w:trHeight w:val="209"/>
        </w:trPr>
        <w:tc>
          <w:tcPr>
            <w:tcW w:w="578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Total</w:t>
            </w:r>
          </w:p>
        </w:tc>
      </w:tr>
      <w:tr>
        <w:trPr>
          <w:trHeight w:val="20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846,701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846,701</w:t>
            </w:r>
          </w:p>
        </w:tc>
      </w:tr>
      <w:tr>
        <w:trPr>
          <w:trHeight w:val="209"/>
        </w:trPr>
        <w:tc>
          <w:tcPr>
            <w:tcW w:w="57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846,701</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846,701</w:t>
            </w:r>
          </w:p>
        </w:tc>
      </w:tr>
    </w:tbl>
    <w:p>
      <w:pPr>
        <w:spacing w:after="0" w:line="12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Company’s assets with fair value categorized as Level 1 within the fair value hierarchy include money market funds. Money market funds are publicly traded mutual funds and are presented as cash equivalents on the unaudited condensed consolidated balance sheets as of September 30, 2021 and December 31,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Level 1, Level 2 or Level 3 categories in the nine months ended September 30, 2021 and 2020.</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Accrued Expenses and Other Current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0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1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31,391</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10,546</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Professional fees and other</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1,386</w:t>
            </w:r>
          </w:p>
        </w:tc>
        <w:tc>
          <w:tcPr>
            <w:tcW w:w="3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1,079</w:t>
            </w:r>
          </w:p>
        </w:tc>
      </w:tr>
      <w:tr>
        <w:trPr>
          <w:trHeight w:val="216"/>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Payroll and payroll related</w:t>
            </w:r>
          </w:p>
        </w:tc>
        <w:tc>
          <w:tcPr>
            <w:tcW w:w="1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2,903</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2,743</w:t>
            </w:r>
          </w:p>
        </w:tc>
      </w:tr>
      <w:tr>
        <w:trPr>
          <w:trHeight w:val="216"/>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7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12,002</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60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192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47,682</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14,368</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Common Stock</w:t>
      </w:r>
    </w:p>
    <w:p>
      <w:pPr>
        <w:spacing w:after="0" w:line="130"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At September 30, 2021, the authorized capital of the Company included 300,000,000 shares of common stock, of which 83,047,079 shares of common stock were issued and outstanding. On all matters to be voted upon by the holders of common stock, holders of common stock are entitled to one vote per share. The holders of common stock have no preemptive, redemption or conversion rights.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Stock-based Compensation</w:t>
      </w:r>
    </w:p>
    <w:p>
      <w:pPr>
        <w:spacing w:after="0" w:line="13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October 2020, the Company’s shareholders approved the Company’s 2020 Incentive Award Plan (the “2020 Plan”), which became effective in connection with the Company’s initial public offering on October 29, 2020. The 2020 Plan provides for the issuance of up to 7,924,000 shares of common stock and for grant of incentive stock options or other incentive awards to employees, officers, directors and consultants of the Company. The number of shares of common stock that may be issued under the 2020 Plan is also subject to increase on the first day of each calendar year equal to the lesser of i) 5% of the aggregate number of shares of common stock outstanding on the final day of the immediately preceding calendar year or ii) such smaller number of shares as is determined by the board of directors. In January 2021, the shares available under the plan were increased by 4,130,847 shares.</w:t>
      </w:r>
    </w:p>
    <w:p>
      <w:pPr>
        <w:spacing w:after="0" w:line="9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2020 Plan replaced and is the successor of the 2013 Equity Incentive Plan, as amended (the “2013 Plan”), which provided for the grant of incentive stock options, non-qualified stock options, restricted common stock awards and other awards for up to 7,807,200 shares of common stock to employees, officers, directors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 w:name="page16"/>
    <w:bookmarkEnd w:id="15"/>
    <w:p>
      <w:pPr>
        <w:jc w:val="both"/>
        <w:ind w:right="440"/>
        <w:spacing w:after="0"/>
        <w:rPr>
          <w:sz w:val="20"/>
          <w:szCs w:val="20"/>
          <w:color w:val="auto"/>
        </w:rPr>
      </w:pPr>
      <w:r>
        <w:rPr>
          <w:rFonts w:ascii="Arial" w:cs="Arial" w:eastAsia="Arial" w:hAnsi="Arial"/>
          <w:sz w:val="18"/>
          <w:szCs w:val="18"/>
          <w:color w:val="auto"/>
        </w:rPr>
        <w:t>consultants of the Company. Upon the closing of the Company’s IPO the 2013 Plan was terminated and no further awards will be made under the 2013 Plan. Any cancellation of outstanding awards at the time of the IPO under the 2013 Plan will be made available for grant under 2020 Plan.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were 8,081,033 shares of common stock remaining available for future issuance under the 2020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6"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During the three and nine months ended September 30, 2021, the Company granted 206,000 and 3,440,295 options, respectively, to employees with an aggregate grant date fair market value of $3,933 and $136,216, respectively. During the three and nine months ended</w:t>
      </w:r>
    </w:p>
    <w:p>
      <w:pPr>
        <w:ind w:right="40"/>
        <w:spacing w:after="0" w:line="261" w:lineRule="auto"/>
        <w:rPr>
          <w:sz w:val="20"/>
          <w:szCs w:val="20"/>
          <w:color w:val="auto"/>
        </w:rPr>
      </w:pPr>
      <w:r>
        <w:rPr>
          <w:rFonts w:ascii="Arial" w:cs="Arial" w:eastAsia="Arial" w:hAnsi="Arial"/>
          <w:sz w:val="18"/>
          <w:szCs w:val="18"/>
          <w:color w:val="auto"/>
        </w:rPr>
        <w:t>September 30, 2020, 3,115,000 and 3,408,861 options were granted with an aggregate grant date fair market value of $15,652 and $15,969,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classified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78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0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5,022</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12,793</w:t>
            </w:r>
          </w:p>
        </w:tc>
        <w:tc>
          <w:tcPr>
            <w:tcW w:w="5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2,627</w:t>
            </w:r>
          </w:p>
        </w:tc>
      </w:tr>
      <w:tr>
        <w:trPr>
          <w:trHeight w:val="216"/>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5,968</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1,769</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15,477</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2,009</w:t>
            </w:r>
          </w:p>
        </w:tc>
      </w:tr>
      <w:tr>
        <w:trPr>
          <w:trHeight w:val="210"/>
        </w:trPr>
        <w:tc>
          <w:tcPr>
            <w:tcW w:w="5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10,990</w:t>
            </w:r>
          </w:p>
        </w:tc>
        <w:tc>
          <w:tcPr>
            <w:tcW w:w="520" w:type="dxa"/>
            <w:vAlign w:val="bottom"/>
            <w:tcBorders>
              <w:bottom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4,238</w:t>
            </w:r>
          </w:p>
        </w:tc>
        <w:tc>
          <w:tcPr>
            <w:tcW w:w="1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28,270</w:t>
            </w:r>
          </w:p>
        </w:tc>
        <w:tc>
          <w:tcPr>
            <w:tcW w:w="5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4,636</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Net Income (Loss) Per Share Attributable to Common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are calculated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10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0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(28,194)</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(17,622)</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4,058</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Weighted average common shares outstanding, basic</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82,815,636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10,109,847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82,727,268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10,099,134</w:t>
            </w: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outstanding stock options</w:t>
            </w:r>
          </w:p>
        </w:tc>
        <w:tc>
          <w:tcPr>
            <w:tcW w:w="7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5,734,806</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Weighted average common shares outstanding, diluted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82,815,636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10,109,847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88,462,074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10,099,134</w:t>
            </w: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basic</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per share, diluted</w:t>
            </w: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bl>
    <w:p>
      <w:pPr>
        <w:spacing w:after="0" w:line="20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Stock options for the purchase of 5,119,092 weighted average shares were excluded from the computation of the net loss per share attributable to common stockholders for the three months ended September 30, 2021 due to net loss during the period as their effect is anti-</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dilutive. Stock options for the purchase of 2,466,086 weighted average shares were excluded from the computation of diluted net income per share attributable to common stockholders for the nine months ended September 30, 2021 because those options had an anti-dilutive impact due to the assumed proceeds per share using the treasury stock method being greater than the average fair value of the Company’s common shares for the period. For the three and nine months ended September 30, 2020, 48,958,829 shares of convertible preferred stock, options to purchase 7,001,747 shares of common stock and 200,000 shares of non-vested restricted common stock have been excluded from the calculation of diluted net loss per share, as their effect is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Leases</w:t>
      </w:r>
    </w:p>
    <w:p>
      <w:pPr>
        <w:spacing w:after="0" w:line="23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As of January 1, 2021, the date of adoption of ASC 842, the Company utilized operating classification for its facility lease and recorded a right-of-use asset and lease liability.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 w:name="page17"/>
    <w:bookmarkEnd w:id="16"/>
    <w:p>
      <w:pPr>
        <w:ind w:right="460"/>
        <w:spacing w:after="0"/>
        <w:rPr>
          <w:sz w:val="20"/>
          <w:szCs w:val="20"/>
          <w:color w:val="auto"/>
        </w:rPr>
      </w:pPr>
      <w:r>
        <w:rPr>
          <w:rFonts w:ascii="Arial" w:cs="Arial" w:eastAsia="Arial" w:hAnsi="Arial"/>
          <w:sz w:val="18"/>
          <w:szCs w:val="18"/>
          <w:color w:val="auto"/>
        </w:rPr>
        <w:t>The following assets and liabilities are recorded on the Company’s balance sheet as of September 30, 2021. The right-of-use asset is included in other assets, the current lease liability is included in accrued expenses and other current liabilities and the non-current lease liability is included in other liabilities,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As of September 30,</w:t>
            </w:r>
          </w:p>
        </w:tc>
      </w:tr>
      <w:tr>
        <w:trPr>
          <w:trHeight w:val="225"/>
        </w:trPr>
        <w:tc>
          <w:tcPr>
            <w:tcW w:w="562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r>
      <w:tr>
        <w:trPr>
          <w:trHeight w:val="20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3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Current lease liability</w:t>
            </w:r>
          </w:p>
        </w:tc>
        <w:tc>
          <w:tcPr>
            <w:tcW w:w="3740" w:type="dxa"/>
            <w:vAlign w:val="bottom"/>
          </w:tcPr>
          <w:p>
            <w:pPr>
              <w:spacing w:after="0"/>
              <w:rPr>
                <w:sz w:val="18"/>
                <w:szCs w:val="18"/>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279</w:t>
            </w:r>
          </w:p>
        </w:tc>
      </w:tr>
      <w:tr>
        <w:trPr>
          <w:trHeight w:val="216"/>
        </w:trPr>
        <w:tc>
          <w:tcPr>
            <w:tcW w:w="5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Non-current lease liability</w:t>
            </w:r>
          </w:p>
        </w:tc>
        <w:tc>
          <w:tcPr>
            <w:tcW w:w="374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components of the lease allocated between the general and administrative and the research and development expenses on the unaudited condensed consolidated statement of operations costs for the three and nine months ended September 30, 2021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Nine Months</w:t>
            </w:r>
          </w:p>
        </w:tc>
      </w:tr>
      <w:tr>
        <w:trPr>
          <w:trHeight w:val="203"/>
        </w:trPr>
        <w:tc>
          <w:tcPr>
            <w:tcW w:w="47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Ended</w:t>
            </w:r>
          </w:p>
        </w:tc>
        <w:tc>
          <w:tcPr>
            <w:tcW w:w="22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Ended</w:t>
            </w:r>
          </w:p>
        </w:tc>
      </w:tr>
      <w:tr>
        <w:trPr>
          <w:trHeight w:val="216"/>
        </w:trPr>
        <w:tc>
          <w:tcPr>
            <w:tcW w:w="4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25"/>
        </w:trPr>
        <w:tc>
          <w:tcPr>
            <w:tcW w:w="47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3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211</w:t>
            </w:r>
          </w:p>
        </w:tc>
      </w:tr>
      <w:tr>
        <w:trPr>
          <w:trHeight w:val="21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costs</w:t>
            </w:r>
          </w:p>
        </w:tc>
        <w:tc>
          <w:tcPr>
            <w:tcW w:w="30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r>
      <w:tr>
        <w:trPr>
          <w:trHeight w:val="209"/>
        </w:trPr>
        <w:tc>
          <w:tcPr>
            <w:tcW w:w="4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lease costs</w:t>
            </w:r>
          </w:p>
        </w:tc>
        <w:tc>
          <w:tcPr>
            <w:tcW w:w="320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235</w:t>
            </w:r>
          </w:p>
        </w:tc>
      </w:tr>
    </w:tbl>
    <w:p>
      <w:pPr>
        <w:spacing w:after="0" w:line="21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variable lease costs for the three and nine months ended September 30, 2021 include common area maintenance and other operating charges associated with the Company’s lease of its principal office facilities in Boston, MA. As the Company’s lease does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color w:val="auto"/>
        </w:rPr>
        <w:t>As of September 30,</w:t>
      </w:r>
    </w:p>
    <w:p>
      <w:pPr>
        <w:spacing w:after="0" w:line="32"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Remaining lease term (in years)</w:t>
            </w: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0.8</w:t>
            </w:r>
          </w:p>
        </w:tc>
      </w:tr>
      <w:tr>
        <w:trPr>
          <w:trHeight w:val="216"/>
        </w:trPr>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426"/>
        </w:trPr>
        <w:tc>
          <w:tcPr>
            <w:tcW w:w="9180" w:type="dxa"/>
            <w:vAlign w:val="bottom"/>
          </w:tcPr>
          <w:p>
            <w:pPr>
              <w:spacing w:after="0"/>
              <w:rPr>
                <w:sz w:val="20"/>
                <w:szCs w:val="20"/>
                <w:color w:val="auto"/>
              </w:rPr>
            </w:pPr>
            <w:r>
              <w:rPr>
                <w:rFonts w:ascii="Arial" w:cs="Arial" w:eastAsia="Arial" w:hAnsi="Arial"/>
                <w:sz w:val="18"/>
                <w:szCs w:val="18"/>
                <w:color w:val="auto"/>
              </w:rPr>
              <w:t>Future minimum payments under the Company’s operating leases as of September 30, 2021 were as follows: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9"/>
        </w:trPr>
        <w:tc>
          <w:tcPr>
            <w:tcW w:w="9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32"/>
        </w:trPr>
        <w:tc>
          <w:tcPr>
            <w:tcW w:w="9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As of September 30,</w:t>
            </w:r>
          </w:p>
        </w:tc>
      </w:tr>
      <w:tr>
        <w:trPr>
          <w:trHeight w:val="234"/>
        </w:trPr>
        <w:tc>
          <w:tcPr>
            <w:tcW w:w="9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r>
      <w:tr>
        <w:trPr>
          <w:trHeight w:val="21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w:t>
            </w:r>
          </w:p>
        </w:tc>
      </w:tr>
      <w:tr>
        <w:trPr>
          <w:trHeight w:val="216"/>
        </w:trPr>
        <w:tc>
          <w:tcPr>
            <w:tcW w:w="9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w:t>
            </w:r>
          </w:p>
        </w:tc>
      </w:tr>
      <w:tr>
        <w:trPr>
          <w:trHeight w:val="209"/>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286</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Less amount representing implied interest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lease liability</w:t>
            </w:r>
          </w:p>
        </w:tc>
        <w:tc>
          <w:tcPr>
            <w:tcW w:w="1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279</w:t>
            </w:r>
          </w:p>
        </w:tc>
      </w:tr>
    </w:tbl>
    <w:p>
      <w:pPr>
        <w:spacing w:after="0" w:line="24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On July 19, 2021, the Company entered into a sublease (the “Sublease”) pursuant to which the Company will lease additional office space in Boston, Massachusetts (the “Premises”). The term of the Sublease is expected to commence on January 1, 2022 (the “Commencement Date”) and end on December 31, 2026.</w:t>
      </w:r>
    </w:p>
    <w:p>
      <w:pPr>
        <w:spacing w:after="0" w:line="95"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The Sublease provides that the initial base rent for the Premises will be $66 per month, subject to upward adjustment of 2% each year starting on the first anniversary of the Commencement Date. In addition to base rent, the Company is required to pay certain operating expenses and taxes associated with the Premises as well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spacing w:after="0" w:line="246" w:lineRule="auto"/>
        <w:rPr>
          <w:sz w:val="20"/>
          <w:szCs w:val="20"/>
          <w:color w:val="auto"/>
        </w:rPr>
      </w:pPr>
      <w:r>
        <w:rPr>
          <w:rFonts w:ascii="Arial" w:cs="Arial" w:eastAsia="Arial" w:hAnsi="Arial"/>
          <w:sz w:val="18"/>
          <w:szCs w:val="18"/>
          <w:color w:val="auto"/>
        </w:rPr>
        <w:t>as certain utilities supplied to the Premises. The sublease includes a leasehold improvement allowance of $877 for certain improvements the Company is expecting to construct in the Premises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Income Taxes</w:t>
      </w:r>
    </w:p>
    <w:p>
      <w:pPr>
        <w:spacing w:after="0" w:line="1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recorded a provision for income taxes of $6,100 and $13,300 for the three and nine months ended September 30, 2021 and $0 for the three and nine months ended September 30, 2020. The tax expense recorded in the three and nine months ended September 30, 2021 is due to the application of a year-to-date effective tax rate rather than an annual effective rate estimated for the entire year as the Company determined that using a year-to-date approach resulted in a better estimate of its income tax expense/benefit. The Company used a year-to-date effective tax rate during the three and nine months ended September 30, 2021 due to a change in forecast resulting in the Company anticipating federal and state taxable income for the year, while maintaining a full valuation allowance on its net deferred tax assets, as it is more likely than not that any future benefit beyond 2021 will not be realized.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Commitments and Contingencies</w:t>
      </w:r>
    </w:p>
    <w:p>
      <w:pPr>
        <w:spacing w:after="0" w:line="34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has an agreement with a consultant that requires payment of a success fee calculated as a percentage of certain product sales, subject to a cumulative maximum payout of $ 5.0 million. This success payment is contingent upon the occurrence of future events and the timing and likelihood of such payment is neither probable nor estimable.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enters into certain types of contracts that contingently require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determine the maximum potential amount potentially payable under these contracts since the Company has no history of prior indemnification claims and the unique facts and circumstances involved in each particular claim will be determinative.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Benefit Plan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the Company implemented a defined contribution plan under Section 401(k) of the</w:t>
      </w:r>
    </w:p>
    <w:p>
      <w:pPr>
        <w:spacing w:after="0" w:line="234" w:lineRule="auto"/>
        <w:rPr>
          <w:sz w:val="20"/>
          <w:szCs w:val="20"/>
          <w:color w:val="auto"/>
        </w:rPr>
      </w:pPr>
      <w:r>
        <w:rPr>
          <w:rFonts w:ascii="Arial" w:cs="Arial" w:eastAsia="Arial" w:hAnsi="Arial"/>
          <w:sz w:val="18"/>
          <w:szCs w:val="18"/>
          <w:color w:val="auto"/>
        </w:rPr>
        <w:t>Internal Revenue Code (the “401(k) Plan”). The plan covers substantially all employees who meet minimum age and service</w:t>
      </w:r>
    </w:p>
    <w:p>
      <w:pPr>
        <w:spacing w:after="0" w:line="235" w:lineRule="auto"/>
        <w:rPr>
          <w:sz w:val="20"/>
          <w:szCs w:val="20"/>
          <w:color w:val="auto"/>
        </w:rPr>
      </w:pPr>
      <w:r>
        <w:rPr>
          <w:rFonts w:ascii="Arial" w:cs="Arial" w:eastAsia="Arial" w:hAnsi="Arial"/>
          <w:sz w:val="18"/>
          <w:szCs w:val="18"/>
          <w:color w:val="auto"/>
        </w:rPr>
        <w:t>requirements. Under the terms of the plan, the Company records matching contributions up to 4% of the participant’s eligible compensation.</w:t>
      </w:r>
    </w:p>
    <w:p>
      <w:pPr>
        <w:spacing w:after="0" w:line="235" w:lineRule="auto"/>
        <w:rPr>
          <w:sz w:val="20"/>
          <w:szCs w:val="20"/>
          <w:color w:val="auto"/>
        </w:rPr>
      </w:pPr>
      <w:r>
        <w:rPr>
          <w:rFonts w:ascii="Arial" w:cs="Arial" w:eastAsia="Arial" w:hAnsi="Arial"/>
          <w:sz w:val="18"/>
          <w:szCs w:val="18"/>
          <w:color w:val="auto"/>
        </w:rPr>
        <w:t>During the three and nine months ended September 30, 2021 the Company recognized expense of $102 and $178 relating to matching</w:t>
      </w:r>
    </w:p>
    <w:p>
      <w:pPr>
        <w:spacing w:after="0"/>
        <w:rPr>
          <w:sz w:val="20"/>
          <w:szCs w:val="20"/>
          <w:color w:val="auto"/>
        </w:rPr>
      </w:pPr>
      <w:r>
        <w:rPr>
          <w:rFonts w:ascii="Arial" w:cs="Arial" w:eastAsia="Arial" w:hAnsi="Arial"/>
          <w:sz w:val="18"/>
          <w:szCs w:val="18"/>
          <w:color w:val="auto"/>
        </w:rPr>
        <w:t>contributions to the 401(k)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Related Party Transactions</w:t>
      </w:r>
    </w:p>
    <w:p>
      <w:pPr>
        <w:spacing w:after="0" w:line="23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During the nine months ended September 30, 2021, the Company entered into a consulting agreement with an entity controlled by one of its directors. The agreement provides for annual retainer of $110; the Company recognized expense in the amount of $27 and $41 for the three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 nine months ended September 30, 2021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dated December 31, 2020, filed with the Securities and Exchange Commission (“SEC”) on March 30, 2021.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II, Item 1A, “Risk Factors” and other factors set forth in other parts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are a clinical stage biopharmaceutical company focused on discovering, developing and commercializing antiviral therapeutics to improve the lives of patients suffering from life threatening viral infections. Leveraging our deep understanding of antiviral drug development, nucleoside biology, and medicinal chemistry, we have built a proprietary purine nucleotide prodrug platform to develop novel product candidates to treat single stranded ribonucleic acid viruses, which are a prevalent cause of severe viral diseases. Currently, we are focused on the development of orally available, potent, and selective nucleotide and nucleoside prodrugs for difficult to treat, life-threatening viral infections, including SARS-CoV-2, the virus that causes COVID-19, dengue virus, chronic hepatitis C infection (“HCV”), and respiratory syncytial virus (“RSV”).</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AT-527 for the Treatment of COVID-19</w:t>
      </w:r>
    </w:p>
    <w:p>
      <w:pPr>
        <w:spacing w:after="0" w:line="12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product candidate for the treatment of patients with COVID-19 is AT-527, an orally administered, novel antiviral agent. In October 2020, we entered into a license agreement (“Roche License Agreement”) with F. Hoffmann-LaRoche Ltd. and Genentech, Inc. (together, “Roche”) under which we granted to Roche an exclusive license to development and commercialization rights related to certain of our compounds, including AT-527, outside of the United States (other than for certain HCV uses).</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together with our collaborator Roche, initiated in April 2021 a global Phase 3 clinical trial to study AT-527 in adult patients with mild or moderate COVID-19 in the outpatient setting (MORNINGSKY). In June 2021, the first patient was enrolled in a Phase 3 six month follow-on study (MEADOWSPRING) that is designed to evaluate the impact of AT-527 treatment on the long-term sequelae of COVID-19 in patients previously enrolled in MORNINGSKY. Following the results from our Phase 2 MOONSONG trial, we are planning certain amendments to the trial protocol for the MORNINGSKY trial, as described below.</w:t>
      </w:r>
    </w:p>
    <w:p>
      <w:pPr>
        <w:spacing w:after="0" w:line="1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to the MORNINGSKY Phase 3 clinical trial, we are currently evaluating AT-527 for the treatment of hospitalized patients with moderate COVID-19 in a Phase 2 clinical trial. This Phase 2 clinical trial is a randomized, double-blind, placebo-controlled trial in approximately 190 adult patients with moderate COVID-19 and one or more risk factors for poor outcomes in the hospital setting. We dosed our first patient in this clinical trial in September 2020. In June 2021, we announced results of the interim analysis of data from this Phase 2 clinical trial. These interim results included data from 70 patients of which data from 62 patients were evaluable for virology analysis. Interim virology results indicated that AT-527 rapidly reduced viral load levels. At Day 2, patients receiving 550 mg of AT-527 twice daily experienced a 0.7 log</w:t>
      </w:r>
      <w:r>
        <w:rPr>
          <w:rFonts w:ascii="Arial" w:cs="Arial" w:eastAsia="Arial" w:hAnsi="Arial"/>
          <w:sz w:val="15"/>
          <w:szCs w:val="15"/>
          <w:color w:val="auto"/>
        </w:rPr>
        <w:t>10</w:t>
      </w:r>
      <w:r>
        <w:rPr>
          <w:rFonts w:ascii="Arial" w:cs="Arial" w:eastAsia="Arial" w:hAnsi="Arial"/>
          <w:sz w:val="18"/>
          <w:szCs w:val="18"/>
          <w:color w:val="auto"/>
        </w:rPr>
        <w:t xml:space="preserve"> (80%) greater mean reduction from baseline viral load as compared to placebo. A sustained difference in viral load reduction was maintained through Day 8. In addition, AT-527’s SARS-CoV-2 potent antiviral activity was also observed in patients with baseline viral loads above the median of 5.26 log</w:t>
      </w:r>
      <w:r>
        <w:rPr>
          <w:rFonts w:ascii="Arial" w:cs="Arial" w:eastAsia="Arial" w:hAnsi="Arial"/>
          <w:sz w:val="15"/>
          <w:szCs w:val="15"/>
          <w:color w:val="auto"/>
        </w:rPr>
        <w:t>10</w:t>
      </w:r>
      <w:r>
        <w:rPr>
          <w:rFonts w:ascii="Arial" w:cs="Arial" w:eastAsia="Arial" w:hAnsi="Arial"/>
          <w:sz w:val="18"/>
          <w:szCs w:val="18"/>
          <w:color w:val="auto"/>
        </w:rPr>
        <w:t xml:space="preserve"> as compared to placebo. The results showed that viral clearance of SARS-CoV-2 RNA in patients with higher baseline viral load (≥ median) is faster in patients treated with AT-527 versus placebo. We have recently amended the protocol for this Phase 2 clinical trial to evaluate a dose of 1,100 mg twice daily of AT-527. We expect to enroll up to 110 patients in the 1,100 mg cohort of this clinical trial and to report results in the first half of 2022.</w:t>
      </w:r>
    </w:p>
    <w:p>
      <w:pPr>
        <w:spacing w:after="0" w:line="9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second Phase 2 clinical trial, conducted in collaboration with Roche, has recently been completed. The global Phase 2 MOONSONG trial was a randomized, double-blind, multi-center, placebo-controlled trial, evaluating the antiviral activity, safety and pharmacokinetics of AT-527 550 mg (Cohort A, n=30) and 1,100 mg (Cohort B, n=30) administered twice daily (BID) in adult patients with mild or moderate COVID-19 versus placebo (n=40). The primary endpoint of this virology trial, which enrolled patients who were SARS-CoV-2 positive, was change from baseline in amount of SARS-CoV-2 virus RNA as measured by RT-PCR at specified timepoints.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9" w:name="page20"/>
    <w:bookmarkEnd w:id="19"/>
    <w:p>
      <w:pPr>
        <w:spacing w:after="0" w:line="237" w:lineRule="auto"/>
        <w:rPr>
          <w:sz w:val="20"/>
          <w:szCs w:val="20"/>
          <w:color w:val="auto"/>
        </w:rPr>
      </w:pPr>
      <w:r>
        <w:rPr>
          <w:rFonts w:ascii="Arial" w:cs="Arial" w:eastAsia="Arial" w:hAnsi="Arial"/>
          <w:sz w:val="18"/>
          <w:szCs w:val="18"/>
          <w:color w:val="auto"/>
        </w:rPr>
        <w:t>In October 2021, we announced top-line data from the Phase 2 MOONSONG trial evaluating AT-527 in the outpatient setting which showed that the trial did not meet the primary endpoint of reduction from baseline in the amount of SARS-CoV-2 virus in patients with mild or moderate COVID-19 compared to placebo in the overall study population, of which approximately two thirds of patients were low-risk with mild symptoms. However, in high-risk patients with underlying health conditions, a reduction of viral load of approximately 0.5 log10 at Day 7 was observed at 550 mg twice daily compared to placebo (prespecified subgroup analysis, AT-527 n=7, placebo n=11) and at 1,100 mg twice daily compared with placebo (exploratory subgroup analysis, AT-527 n=14, placebo n=7).</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AT-527 was generally safe and well tolerated in the MOONSONG study. The proportion of patients experiencing any adverse event was 20% in the placebo group, 20% in the AT-527 550 mg twice daily group (“Cohort A”) and 27% in the AT-527 1,100 mg twice daily group (“Cohort B”). There were 3 serious adverse events in total (1 in Cohort A, 1 in Cohort B and 1 in placebo), all deemed to be non-drug related, and all other adverse events were grade 1 or 2. Gastrointestinal-related adverse events were the most commonly reported adverse events: 8% in the placebo group; 7% in Cohort A; 17% in Cohort B, with mild to moderate nausea/vomiting resulting in premature study drug discontinuation of 3% in the placebo group, 0% in Cohort A and 17% in Cohort B. No clinically significant differences in laboratory abnormalities were observed in the treatment arms as compared to placebo.</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Based on the data from these two Phase 2 clinical trials and additional recent results for AT-527 as well as the evolving COVID-19 environment, we are seeking to amend the global Phase 3 MORNINGSKY trial protocol to (i) change the trial’s primary endpoint to proportion of patients with COVID-19 related hospitalization or all-cause death from time to alleviation or improvement of COVID -19 symptoms which will become a secondary endpoint; (ii) refine the patient population eligible for enrollment in the trial to include only unvaccinated high risk patients; and (iii) increase the dose of AT-527 to 1,100 mg BID from 550 mg BID. We expect to submit these amendments to regulatory authorities where the MORNINGSKY trial is currently being conducted and to additional regulatory authorities as we and Roche seek to expand the geographic footprint of the MORNINGSKY trial. We will not be able to implement such amendments to the MORNINGSKY clinical trial protocol until we have received regulatory authority to do so. We now anticipate reporting Phase 3 MORNINGSKY top-line data in the second half of 2022.</w:t>
      </w:r>
    </w:p>
    <w:p>
      <w:pPr>
        <w:spacing w:after="0" w:line="99"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In addition to the ongoing Phase 3 and Phase 2 clinical trials we are also conducting a comprehensive Phase 1 program that includes several clinical trials in healthy volunteers which are either currently underway or planned.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AT-752 for the Treatment of Dengue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developing AT-752, an oral, purine nucleoside prodrug product candidate for the treatment of dengue. AT-752 has shown</w:t>
      </w:r>
    </w:p>
    <w:p>
      <w:pPr>
        <w:ind w:right="160"/>
        <w:spacing w:after="0" w:line="237" w:lineRule="auto"/>
        <w:rPr>
          <w:sz w:val="20"/>
          <w:szCs w:val="20"/>
          <w:color w:val="auto"/>
        </w:rPr>
      </w:pPr>
      <w:r>
        <w:rPr>
          <w:rFonts w:ascii="Arial" w:cs="Arial" w:eastAsia="Arial" w:hAnsi="Arial"/>
          <w:sz w:val="18"/>
          <w:szCs w:val="18"/>
          <w:color w:val="auto"/>
        </w:rPr>
        <w:t>potent activity against all serotypes tested in preclinical studies. In March 2021, we initiated a randomized, double-blind, placebo-controlled Phase 1 trial to evaluate the safety and pharmacokinetics (“PK”) of several different dosages of AT-752 in up to 60 healthy adult subjects. Part 1 of this trial, consisting of single ascending dose escalation of AT-752, has been completed and Part 2 of this trial, which is evaluating multiple doses of AT-752, is ongoing. The Phase 2 trial of AT-752 is anticipated to evaluate antiviral activity, safety and PK in patients with dengue virus infection. As part of the Roche License Agreement, we agreed that we would not commercialize AT-752 outside the United States unless we enter into a separate agreement with Roche to do so. We currently plan to initiate a Phase 2 trial of AT-752 during the first half of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AT-787 for the Treatment of Hepatitis C</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HCV is a blood-borne, positive sense, ssRNA virus, primarily infecting cells of the liver. HCV is a leading cause of chronic liver disease and liver transplants and spreads via blood transfusion, hemodialysis and needle sticks. We are developing AT-787 for the treatment of chronic HCV infection, including patients with decompensated cirrhosis. AT-787 combines AT-527 with a second generation investigational NS5A inhibitor, AT-777, into a single, oral, pan-genotypic fixed-dose combination product candidate. Despite recent advances in treatment, there remains a large underserved HCV patient population which continues to grow. Based on our preclinical and clinical data to date, we believe that AT-787, if approved, could offer potential benefits over currently available treatments, including to shorten treatment duration in non-cirrhotic and compensated cirrhosis HCV in all genotypes and to eliminate the need for ribavirin in patients with decompensated cirrhosis. We temporarily paused our development program for AT-787 in HCV infected patients at the outset of the COVID-19 pandemic in March 2020. Currently we expect to restart this program in the first half of 2022, starting with our planned Phase 1/2a clinical trial, which is designed to evaluate the safety and PK of different dosages of AT-777 in healthy adults and evaluate the combination of AT-527 and AT-777.</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Product Candidates for the Treatment of RSV</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RSV is a seasonal respiratory virus that can be serious for infants, older adults, and the immuno-compromised population. We are evaluating second generation nucleoside pyrimidine prodrugs and other compounds for the treatment of RSV. We are optimizing compounds for RSV that we believe have the potential to inhibit both initiation of viral replication, as well as viral transcription. We anticipate nominating a lead product candidate and initiating the IND-enabling studies in the first half of 2022. We believe that the product candidate we develop, if successful, could be the first therapy in over 30 years to be approved specifically for the treatment of RSV.</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Operations Overview</w:t>
      </w:r>
    </w:p>
    <w:p>
      <w:pPr>
        <w:spacing w:after="0" w:line="13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of September 30, 2021, we had cash and cash equivalents of $839.7 million. Net cash used in operating activities was $11.6 million for the nine months ended September 30, 2021. We expect that our net cash used in operating activities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expect to incur additional costs as we continue to operate as a public company. We believe that our available cash and cash equivalents will be sufficient to fund our planned operations through at least 2023.</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do not have any product candidates approved for sale and have not generated any product revenue since inception. 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9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plan to continue to use third-party service providers, including contract research organizations (“CROs”) and contract manufacturing organizations (“CMOs”), to carry out our preclinical and clinical development and to manufacture and supply the materials to be used during the development and commercialization of our product candidates.</w:t>
      </w:r>
    </w:p>
    <w:p>
      <w:pPr>
        <w:spacing w:after="0" w:line="95"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We expect to continue to incur significantly higher expenses over the next several years. We anticipate that our expenses will increase significantly in connection with our ongoing activities, as we:</w:t>
      </w:r>
    </w:p>
    <w:p>
      <w:pPr>
        <w:spacing w:after="0" w:line="89"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clinical development of AT-527 for the treatment of COVID-19;</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clinical development of AT-752 for the treatment of dengue;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re-initiate clinical development of AT-787 for the treatment of HCV;</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IND-enabling activities and commence clinical development activities for product candidates for the treatment of RSV;</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research, development and general and administrative personnel;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commercialization capabilities;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date, we have not generated any revenue from product sales. Our revenue has been collaboration revenue solely derived from the Roche License Agreement, which became effective in October 2020. If our development efforts for our product candidates are successful and result in commercialization, we may generate additional revenue in the future from a combination of product sales or payments from collaboration or license agreements that we may enter into with third parties.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Substantially all of our research and development expenses consist of expenses incurred in connection with the development of our product candidates. These expenses include fees paid to third parties, including CROs and CMOs, to conduct certain research and development activities on our behalf, consulting costs, certain payroll and personnel-related expenses, including salaries and bonuses, employee benefit costs and stock-based compensation expenses for our research and product development employees and allocated overhead, including rent, equipment, depreciation, information technology costs and utilities attributable to research and development personnel. We expense both internal and external research and development expenses as they are incurred. In circumstances where amounts have been paid in advance or in excess of costs incurred, we record a prepaid expense, which is expensed as services are performed or goods are delivered.</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 significant portion of our research and development costs have been external costs, which we track by therapeutic area. Our internal research and development costs are primarily personnel-related costs, including stock-based compensation, facility costs, including depreciation and lab consumables. We have not historically tracked our internal research and development expenses by therapeutic area as they are deployed across multiple programs.</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discussed in Note 3 to our unaudited condensed consolidated financial statements, we and Roche share certain manufacturing and clinical development costs on a 50/50 basis. Billings to us by Roche for our percentage share of such expenses are recorded in research and development expenses. These costs represent a material portion of our total expenses and may continue to increase based on the activities being performed by Roche.</w:t>
      </w:r>
    </w:p>
    <w:p>
      <w:pPr>
        <w:spacing w:after="0" w:line="9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following table summarizes our external research and development expenses by indication and internal research and development expenses: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4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09"/>
        </w:trPr>
        <w:tc>
          <w:tcPr>
            <w:tcW w:w="4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2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COVID-19 external costs</w:t>
            </w: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28,515</w:t>
            </w:r>
          </w:p>
        </w:tc>
        <w:tc>
          <w:tcPr>
            <w:tcW w:w="7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8,192</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75,469</w:t>
            </w:r>
          </w:p>
        </w:tc>
        <w:tc>
          <w:tcPr>
            <w:tcW w:w="7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13,679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Dengue external costs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3,214</w:t>
            </w:r>
          </w:p>
        </w:tc>
        <w:tc>
          <w:tcPr>
            <w:tcW w:w="7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6,806</w:t>
            </w:r>
          </w:p>
        </w:tc>
        <w:tc>
          <w:tcPr>
            <w:tcW w:w="7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1,657</w:t>
            </w: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HCV external costs</w:t>
            </w: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7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7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RSV external costs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w:t>
            </w:r>
          </w:p>
        </w:tc>
        <w:tc>
          <w:tcPr>
            <w:tcW w:w="7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1,552</w:t>
            </w:r>
          </w:p>
        </w:tc>
        <w:tc>
          <w:tcPr>
            <w:tcW w:w="7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1,775</w:t>
            </w: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Internal research and development costs</w:t>
            </w:r>
          </w:p>
        </w:tc>
        <w:tc>
          <w:tcPr>
            <w:tcW w:w="12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9,343</w:t>
            </w:r>
          </w:p>
        </w:tc>
        <w:tc>
          <w:tcPr>
            <w:tcW w:w="7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4,446</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24,189</w:t>
            </w:r>
          </w:p>
        </w:tc>
        <w:tc>
          <w:tcPr>
            <w:tcW w:w="7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6,143</w:t>
            </w:r>
          </w:p>
        </w:tc>
      </w:tr>
      <w:tr>
        <w:trPr>
          <w:trHeight w:val="21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research and development costs</w:t>
            </w:r>
          </w:p>
        </w:tc>
        <w:tc>
          <w:tcPr>
            <w:tcW w:w="1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43,019</w:t>
            </w: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13,601</w:t>
            </w:r>
          </w:p>
        </w:tc>
        <w:tc>
          <w:tcPr>
            <w:tcW w:w="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109,394</w:t>
            </w: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24,177</w:t>
            </w:r>
          </w:p>
        </w:tc>
      </w:tr>
    </w:tbl>
    <w:p>
      <w:pPr>
        <w:spacing w:after="0" w:line="12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focusing substantially all of our resources on the development of our product candidates, particularly AT-527. We expect our research and development expenses to increase substantially for at least the next few years, as we seek to initiate additional clinical trials for our product candidates, complete our clinical programs, pursue regulatory approval of our product candidates and prepare for the possible commercialization of these product candidates. Predicting the timing or cost to complete our clinical programs or validation of our commercial manufacturing and supply processes is difficult and delays may occur because of many factors, including factors outside of our control. For example, if the U.S. Food and Drug Administration (“FDA”) or other regulatory authorities were to require us to conduct clinical trials beyond those that we currently anticipate, we could be required to expend significant additional financial resources and time on the completion of clinical development. Furthermore, we are unable to predict when or if our product candidates will receive regulatory approval with any certainty.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salaries and bonuses, benefits and stock-based compensation expenses, professional fees for legal, consulting, accounting and tax services, allocated overhead, including rent, equipment, depreciation, information technology costs and utilities, and other general operating expenses not otherwise classified as research and development expenses.</w:t>
      </w:r>
    </w:p>
    <w:p>
      <w:pPr>
        <w:spacing w:after="0" w:line="9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expanded infrastructure and higher consulting, legal and accounting services costs associated with complying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line="246" w:lineRule="auto"/>
        <w:rPr>
          <w:sz w:val="20"/>
          <w:szCs w:val="20"/>
          <w:color w:val="auto"/>
        </w:rPr>
      </w:pPr>
      <w:r>
        <w:rPr>
          <w:rFonts w:ascii="Arial" w:cs="Arial" w:eastAsia="Arial" w:hAnsi="Arial"/>
          <w:sz w:val="18"/>
          <w:szCs w:val="18"/>
          <w:color w:val="auto"/>
        </w:rPr>
        <w:t>with Nasdaq and SEC requirements, investor relations costs and director and officer insurance premiums associated with being a public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and other, net, consists primarily of interest income earned on our cash and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Income taxes consists primarily of federal and state current income taxes.</w:t>
      </w:r>
    </w:p>
    <w:p>
      <w:pPr>
        <w:spacing w:after="0" w:line="21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247" w:right="77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Pr>
          <w:p>
            <w:pPr>
              <w:spacing w:after="0"/>
              <w:rPr>
                <w:sz w:val="19"/>
                <w:szCs w:val="19"/>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32,811</w:t>
            </w:r>
          </w:p>
        </w:tc>
        <w:tc>
          <w:tcPr>
            <w:tcW w:w="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32,811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43,019</w:t>
            </w: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13,601</w:t>
            </w: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29,418</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11,939</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4,028</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7,911</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54,958</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17,629</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37,329</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(22,147)</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(17,629)</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4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53</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(22,094)</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(9,993)</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(6,100)</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and comprehensive income (loss)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(28,194)</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(9,993)</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22" w:lineRule="exact"/>
        <w:rPr>
          <w:sz w:val="20"/>
          <w:szCs w:val="20"/>
          <w:color w:val="auto"/>
        </w:rPr>
      </w:pPr>
    </w:p>
    <w:p>
      <w:pPr>
        <w:ind w:firstLine="27"/>
        <w:spacing w:after="0" w:line="237" w:lineRule="auto"/>
        <w:rPr>
          <w:sz w:val="20"/>
          <w:szCs w:val="20"/>
          <w:color w:val="auto"/>
        </w:rPr>
      </w:pPr>
      <w:r>
        <w:rPr>
          <w:rFonts w:ascii="Arial" w:cs="Arial" w:eastAsia="Arial" w:hAnsi="Arial"/>
          <w:sz w:val="18"/>
          <w:szCs w:val="18"/>
          <w:color w:val="auto"/>
        </w:rPr>
        <w:t>Collaboration revenue for the three months ended September 30, 2021 was derived from the Roche License Agreement that was executed in October 2020. As discussed in Note 3 to our unaudited condensed consolidated financial statements included elsewhere in this Quarterly Report on Form 10-Q, revenue is being recognized over the period in which the Company performs the Atea Ongoing Studies and the Atea Manufacturing Obligations. Revenue was calculated based on a transaction price of $400.0 million, which consisted of the upfront payment of</w:t>
      </w:r>
    </w:p>
    <w:p>
      <w:pPr>
        <w:spacing w:after="0"/>
        <w:rPr>
          <w:sz w:val="20"/>
          <w:szCs w:val="20"/>
          <w:color w:val="auto"/>
        </w:rPr>
      </w:pPr>
      <w:r>
        <w:rPr>
          <w:rFonts w:ascii="Arial" w:cs="Arial" w:eastAsia="Arial" w:hAnsi="Arial"/>
          <w:sz w:val="18"/>
          <w:szCs w:val="18"/>
          <w:color w:val="auto"/>
        </w:rPr>
        <w:t>$350.0 million and $50.0 million from a milestone achieved in the previous quarter</w:t>
      </w:r>
      <w:r>
        <w:rPr>
          <w:rFonts w:ascii="Arial" w:cs="Arial" w:eastAsia="Arial" w:hAnsi="Arial"/>
          <w:sz w:val="21"/>
          <w:szCs w:val="21"/>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Research and development expenses increased by $29.4 million from $13.6 for the three months ended September 30, 2020 to $43.0 million for the three months ended September 30, 2021. The increase in research and development expenses was primarily due to a $24.5 million increase in external expenses incurred related to services provided by the CROs and CMOs in conjunction with the advancement of product candidates for the treatment of COVID-19 and dengue, including $25.3 million related to the Company’s share of costs incurred by Roche. In addition, there was an increase of $ 4.9 million in internal spend primarily due to the expansion of our organization resulting in an increase in personnel-related expenses of $4.3 million, including salaries and bonuses, benefits and stock-based compensation expense of $2.5 million for our research and product development employees and consulting fees and other research and development expenses. Research and development expenses include a reduction of $1.7 million representing Roche’s share of certain expenses incurred that are subject to ASC 808 as discussed in Note 3 to our unaudited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by $7.9 million from $4.0 million for the three months ended September 30, 2020 to</w:t>
      </w:r>
    </w:p>
    <w:p>
      <w:pPr>
        <w:ind w:right="60"/>
        <w:spacing w:after="0" w:line="238" w:lineRule="auto"/>
        <w:rPr>
          <w:sz w:val="20"/>
          <w:szCs w:val="20"/>
          <w:color w:val="auto"/>
        </w:rPr>
      </w:pPr>
      <w:r>
        <w:rPr>
          <w:rFonts w:ascii="Arial" w:cs="Arial" w:eastAsia="Arial" w:hAnsi="Arial"/>
          <w:sz w:val="18"/>
          <w:szCs w:val="18"/>
          <w:color w:val="auto"/>
        </w:rPr>
        <w:t>$11.9 million for the three months ended September 30, 2021. The increase in general and administrative expenses was primarily due to the expansion of our organization resulting in an increase in payroll and personnel-related expenses of $5.3 million, including salaries, benefits and stock-based compensation expense of $4.2 million. In addition, there was an increase in professional fees of $0.6 million; and an increase in other general and administrative expenses of $2.0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2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Interest income and other, net, remained consistent during the three months ended September 30, 2021 compared to the three months ended September 30, 2020 primarily due to lower interest rates applied to higher investment balances.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Income Tax Expense</w:t>
      </w:r>
    </w:p>
    <w:p>
      <w:pPr>
        <w:spacing w:after="0" w:line="122"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Income tax expense was $6.1 million and $0 million for the three months ended September 30, 2021 and 2020, respectively. The effective tax rate for the three months ended September 30, 2021 and 2020 was (28)% and 0%, respectively. The increase in income tax expense was primarily due to higher income before income taxes as a result of revenue generated in 2021. The tax provision for the three months ended September 30, 2021 was calculated based on the year to date effective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Nine Months Ended</w:t>
            </w:r>
          </w:p>
        </w:tc>
        <w:tc>
          <w:tcPr>
            <w:tcW w:w="5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Pr>
          <w:p>
            <w:pPr>
              <w:spacing w:after="0"/>
              <w:rPr>
                <w:sz w:val="19"/>
                <w:szCs w:val="19"/>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159,187</w:t>
            </w:r>
          </w:p>
        </w:tc>
        <w:tc>
          <w:tcPr>
            <w:tcW w:w="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159,187</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109,394</w:t>
            </w: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24,177</w:t>
            </w: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85,217</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32,597</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7,500</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25,097</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141,991</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31,677</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110,314</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17,196</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(31,677)</w:t>
            </w:r>
          </w:p>
        </w:tc>
        <w:tc>
          <w:tcPr>
            <w:tcW w:w="5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48,873</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162</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17,358</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(31,603)</w:t>
            </w:r>
          </w:p>
        </w:tc>
        <w:tc>
          <w:tcPr>
            <w:tcW w:w="5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48,961</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(13,300)</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and comprehensive income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4,058</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(31,603)</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35,661</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22" w:lineRule="exact"/>
        <w:rPr>
          <w:sz w:val="20"/>
          <w:szCs w:val="20"/>
          <w:color w:val="auto"/>
        </w:rPr>
      </w:pPr>
    </w:p>
    <w:p>
      <w:pPr>
        <w:ind w:firstLine="27"/>
        <w:spacing w:after="0" w:line="238" w:lineRule="auto"/>
        <w:rPr>
          <w:sz w:val="20"/>
          <w:szCs w:val="20"/>
          <w:color w:val="auto"/>
        </w:rPr>
      </w:pPr>
      <w:r>
        <w:rPr>
          <w:rFonts w:ascii="Arial" w:cs="Arial" w:eastAsia="Arial" w:hAnsi="Arial"/>
          <w:sz w:val="18"/>
          <w:szCs w:val="18"/>
          <w:color w:val="auto"/>
        </w:rPr>
        <w:t>Collaboration revenue for the nine months ended September 30, 2021 was derived from the Roche License Agreement that was executed in October 2020. As discussed in Note 3 to our unaudited condensed consolidated financial statements included elsewhere in this Quarterly Report on Form 10-Q, revenue is being recognized over the period in which the Company performs the Atea Ongoing Studies and the Atea Manufacturing Obligations. Revenue was calculated based on a transaction price of $400.0 million, which consisted of the upfront payment of $350.0 million and $50.0 million from a milestone achieved during the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by $85.2 million from $24.2 million for the nine months ended September 30, 2020 to</w:t>
      </w:r>
    </w:p>
    <w:p>
      <w:pPr>
        <w:spacing w:after="0" w:line="234" w:lineRule="auto"/>
        <w:rPr>
          <w:sz w:val="20"/>
          <w:szCs w:val="20"/>
          <w:color w:val="auto"/>
        </w:rPr>
      </w:pPr>
      <w:r>
        <w:rPr>
          <w:rFonts w:ascii="Arial" w:cs="Arial" w:eastAsia="Arial" w:hAnsi="Arial"/>
          <w:sz w:val="18"/>
          <w:szCs w:val="18"/>
          <w:color w:val="auto"/>
        </w:rPr>
        <w:t>$109.4 million for the nine months ended September 30, 2021. The increase in research and development expenses was primarily due to a $67.2 million increase in external expenses incurred related to services provided by CROs and CMOs in conjunction with the advancement of product candidates for the treatment of COVID-19 and dengue, including $63.0 million related to the Company’s share of costs incurred by Roche. In addition, there was an increase of $18.0 million in internal spend primarily due to the expansion of our organization resulting in an increase in personnel-related expenses of $15.7 million, including salaries and bonuses, benefits and stock-based compensation expense of $10.2 million for our research and product development employees and consulting fees and other research and development</w:t>
      </w:r>
    </w:p>
    <w:p>
      <w:pPr>
        <w:spacing w:after="0" w:line="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expenses. Research and development expenses include a reduction of $7.6 million representing Roche’s share of certain expenses incurred that are subject to ASC 808 as discussed in Note 3 to our unaudited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by $25.1 million from $7.5 million for the nine months ended September 30, 2020 to</w:t>
      </w:r>
    </w:p>
    <w:p>
      <w:pPr>
        <w:ind w:right="100"/>
        <w:spacing w:after="0" w:line="238" w:lineRule="auto"/>
        <w:rPr>
          <w:sz w:val="20"/>
          <w:szCs w:val="20"/>
          <w:color w:val="auto"/>
        </w:rPr>
      </w:pPr>
      <w:r>
        <w:rPr>
          <w:rFonts w:ascii="Arial" w:cs="Arial" w:eastAsia="Arial" w:hAnsi="Arial"/>
          <w:sz w:val="18"/>
          <w:szCs w:val="18"/>
          <w:color w:val="auto"/>
        </w:rPr>
        <w:t>$32.6 million for the nine months ended September 30, 2021. The increase in general and administrative expenses was primarily due to the expansion of our organization resulting in an increase in payroll and personnel-related expenses of $16.6 million, including salaries, benefits and stock-based compensation expense of $13.5 million. In addition, there was an increase in professional fees of $2.4 million; and an increase in other general and administrative expenses of $6.1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2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Interest income and other, net, remained consistent during the nine months ended September 30, 2021 compared to the nine months ended September 30, 2020 primarily due to lower interest rates applied to higher investment balances.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2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Income tax expense was $13.3 million and $0 million for the nine months ended September 30, 2021 and 2020, respectively. The effective tax rate for the nine months ended September 30, 2021 and 2020 was 77% and 0%, respectively. The increase in income tax expense was primarily due to higher income before income taxes as a result of revenue generated in 2021. The tax provision for the nine months ended September 30, 2021 was calculated based on the year to date effective rate.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September 30, 2021, we had cash and cash equivalents of $839.7 million. We believe that our available cash and cash equivalents will be sufficient to fund our planned operations through at least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and we do not know when, or if, this will occur. We expect to continue to incur increased expenditures for the foreseeable future, and we expect our expenses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incur additional general and administrative costs as we continue to operate as a public company.</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public or private equity or debt financings, collaborative or other arrangements with corporate sources, or through other sources of financing. We anticipate that we may need to raise substantial additional capital, the requirements for which will depend on many factors, including:</w:t>
      </w:r>
    </w:p>
    <w:p>
      <w:pPr>
        <w:spacing w:after="0" w:line="97" w:lineRule="exact"/>
        <w:rPr>
          <w:sz w:val="20"/>
          <w:szCs w:val="20"/>
          <w:color w:val="auto"/>
        </w:rPr>
      </w:pPr>
    </w:p>
    <w:p>
      <w:pPr>
        <w:ind w:left="280" w:hanging="272"/>
        <w:spacing w:after="0" w:line="246"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and costs of development and commercial manufacturing activities;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280" w:right="120" w:hanging="272"/>
        <w:spacing w:after="0" w:line="246"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the collaboration with Roche and to establish and maintain other collaborations on favorable terms, if at all;</w:t>
      </w:r>
    </w:p>
    <w:p>
      <w:pPr>
        <w:spacing w:after="0" w:line="117" w:lineRule="exact"/>
        <w:rPr>
          <w:rFonts w:ascii="Arial" w:cs="Arial" w:eastAsia="Arial" w:hAnsi="Arial"/>
          <w:sz w:val="18"/>
          <w:szCs w:val="18"/>
          <w:color w:val="auto"/>
        </w:rPr>
      </w:pPr>
    </w:p>
    <w:p>
      <w:pPr>
        <w:ind w:left="280" w:right="40" w:hanging="272"/>
        <w:spacing w:after="0" w:line="246"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 ultimately, the sale of our products, following regulatory approval;</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implementation of operational, financial and management systems;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20"/>
        <w:spacing w:after="0" w:line="236"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0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others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1A,“Risk Factors” for additional risks associated with our substantial capital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each of the periods presented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6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6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09"/>
        </w:trPr>
        <w:tc>
          <w:tcPr>
            <w:tcW w:w="6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0" w:type="dxa"/>
            <w:vAlign w:val="bottom"/>
            <w:gridSpan w:val="3"/>
          </w:tcPr>
          <w:p>
            <w:pPr>
              <w:jc w:val="right"/>
              <w:ind w:right="11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66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(11,582)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(21,787)</w:t>
            </w:r>
          </w:p>
        </w:tc>
      </w:tr>
      <w:tr>
        <w:trPr>
          <w:trHeight w:val="216"/>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10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1,323</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105,530</w:t>
            </w:r>
          </w:p>
        </w:tc>
      </w:tr>
      <w:tr>
        <w:trPr>
          <w:trHeight w:val="210"/>
        </w:trPr>
        <w:tc>
          <w:tcPr>
            <w:tcW w:w="6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0" w:type="dxa"/>
            <w:vAlign w:val="bottom"/>
            <w:tcBorders>
              <w:bottom w:val="single" w:sz="8" w:color="auto"/>
            </w:tcBorders>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(10,259)</w:t>
            </w: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83,722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2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Net cash used in operating activities for the nine months ended September 30, 2021 was $11.6 million. Cash used in operating activities was primarily due to net income of $4.1 million offset by stock-based compensation of $28.3 million, an increase in accounts payable and accrued expenses of $61.2 million, an increase in other assets of $0.2 million, a decrease in prepaid expenses of $4.3 million and a decrease in deferred revenue of $109.2 million.</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Net cash used in operating activities was $21.8 million for the nine months ended September 30, 2020. Cash used in operating activities was primarily related to the use of funds in our efforts to develop our product candidates, resulting in a net loss of $ 31.6 million, offset by stock-based compensation of $4.6 million. Additional uses of cash during the period included an increase in prepaid expenses of $2.8 million and a decrease in accounts payable and accrued expenses of $7.9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2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There were no cash flows from investing activities for the nine months ended September 30, 2021. Cash used in investing activities for the nine months ended September 30, 2020 was less than $0.1 million and consisted of purchases of fixed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Net cash provided by financing activities was $1.3 million for the nine months ended September 30, 2021 and consisted of proceeds from the exercise of stock options.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7" w:name="page28"/>
    <w:bookmarkEnd w:id="27"/>
    <w:p>
      <w:pPr>
        <w:ind w:right="240"/>
        <w:spacing w:after="0"/>
        <w:rPr>
          <w:sz w:val="20"/>
          <w:szCs w:val="20"/>
          <w:color w:val="auto"/>
        </w:rPr>
      </w:pPr>
      <w:r>
        <w:rPr>
          <w:rFonts w:ascii="Arial" w:cs="Arial" w:eastAsia="Arial" w:hAnsi="Arial"/>
          <w:sz w:val="18"/>
          <w:szCs w:val="18"/>
          <w:color w:val="auto"/>
        </w:rPr>
        <w:t>Net cash provided by financing activities was $ 105.5 million for the nine months ended September 30, 2020, which consisted primarily of $106.6 million of net proceeds from the sale of Series D convertible preferred stock partially offset by payment of deferred offering costs of $1.1 million.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3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Other than the lease disclosed in Note 9, there have been no material changes to our contractual obligations during the nine months ended September 30, 2021 from those previously disclosed in our Annual Report on Form 10-K for the year ended December 31, 2020.</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enter into contracts in the normal course of business with third-party contract organizations including CROs and CMOs for preclinical and clinical studies and testing, manufacture and supply of our preclinical materials and other services and products used for operating purposes. These contracts do not contain any minimum purchase commitments and generally provide for termination following a certain period after notice, and therefore we believe that our non-cancelable obligations under these agreements are not material. Payments due upon cancelation consist only of payments for services provided and expenses incurred up to the date of cancelation.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Significant Judgments and Use of Estimates</w:t>
      </w:r>
    </w:p>
    <w:p>
      <w:pPr>
        <w:spacing w:after="0" w:line="13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financial statements have been prepared in accordance with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9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Significant Judgments and Use of Estimates” in our Annual Report on Form 10-K for the year ended December 31, 2020. We believe that these accounting policies are critical to understanding our historical and future performance, as these policies relate to significant areas involving management’s judgments and estimates. During the nine months ended September 30, 2021 there were no material changes to our critical accounting policies from those discussed in our Annual Report on Form 10-K except as discussed in Note 2, “Summary of Significant Accounting Policies” in the financial statements included elsewhere in this Quarterly Report on Form 10-Q.</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8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 We believe the estimated fair value of these indemnification agreements in excess of applicable insurance coverage is minimal.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Emerging Growth Company Status and JOBS Act Accounting Election</w:t>
      </w:r>
    </w:p>
    <w:p>
      <w:pPr>
        <w:spacing w:after="0" w:line="13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Jumpstart Our Business Startups Act of 2012 (the “JOBS Act”) permits an “emerging growth company” such as us to take advantage of an extended transition period to comply with new or revised accounting standards applicable to public companies. We previously elected to avail ourselves of this exemption from new or revised accounting standards, and, therefore, will not be subject to the same new or revised accounting standards as public companies that are not emerging growth companies. We previously intended to rely on other exemptions provided by the JOBS Act, including without limitation, not being required to comply with the auditor attestation requirements of Section 404(b) of the Sarbanes-Oxley Act.</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Based on our public float as of June 30, 2021, we will become a large accelerated filer, and lose emerging growth company status, as of December 31, 2021. As of December 31, 2021, we will be required to adopt new or revised accounting standards when they are applicable to public companies that are not emerging growth companies and will be required to comply with the auditor attestation requirements Section 404(b) of the Sarbanes-Oxley Act.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30"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See the section titled “Summary of Significant Accounting Policies—Recent Accounting Pronouncements” in Note 2 to our unaudited condensed consolidated financial statements included in this Quarterly Report on Form 10-Q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 As of September 30, 2021, we had cash and cash equivalents of $839.7 million, consisting of interest-bearing money market funds for which the fair value would be affected by changes in the general level of U.S. interest rates. However, due to the short-term maturities and the low-risk profile of our cash equivalents, an immediate 10% relative change in interest rates would not have a material effect on the fair value of our cash equivalents or on our future interest income.</w:t>
      </w:r>
    </w:p>
    <w:p>
      <w:pPr>
        <w:spacing w:after="0" w:line="9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We do not believe that inflation, interest rate changes or foreign currency exchange rate fluctuations have had a significant impact on our results of operations for any periods presented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2021,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in this Quarterly Report on Form 10-Q, including our financial statements and the related notes and “Management’s Discussion and Analysis of Results of Operations and Financial Condition.” Our business, financial condition, results of operations or prospects could be materially and adversely affected if any of these risks occurs, and as a result, the market price of our common stock could decline and you could lose all or part of your investment. Our actual results could differ materially and adversely from those anticipated in these forward-looking statements as a result of certain factors, including those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significant uncertainty around our development of AT-527 as a potential treatment for COVID-19.</w:t>
      </w:r>
    </w:p>
    <w:p>
      <w:pPr>
        <w:spacing w:after="0" w:line="12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development of AT-527 for the treatment of COVID-19 is in its early stages, and we may not be successful in our development of AT-527 as a potential treatment for COVID-19. In October 2020, we entered into a license agreement (“Roche License Agreement”) with F. Hoffmann-LaRoche Ltd. and Genentech, Inc. (together, “Roche”) under which we granted to Roche an exclusive license to development and commercialization rights related to certain of our compounds, including AT-527, outside of the United States (other than for certain HCV uses). Together with Roche, we initiated a Phase 3 clinical trial to study AT-527 in adult patients with mild or moderate COVID-19 in the outpatient setting in April 2021 and we are evaluating, in a Phase 3 six month followup study, the impact of AT-527 treatment on long-term sequelae of COVID-19 in the patients previously enrolled in MORNINGSKY. Concurrently, we are also evaluating AT-527 for the treatment of patients with mild to moderate COVID-19 in a Phase 2 clinical trial in the hospitalized setting. Additionally, we are currently conducting a comprehensive Phase 1 program that includes ongoing Phase 1 studies and additional Phase 1 studies that are being planned. In October 2021, we, together with Roche, completed MOONSONG, a Phase 2 clinical trial evaluating AT-527 in the outpatient setting and we announced that this trial did not meet the primary endpoint of reduction from baseline in the amount of SARS-CoV-2 virus in patients with mild or moderate COVID-19 compared to placebo in the overall study population, of which approximately two thirds of patients were low-risk with mild symptoms. As a result of this data and other data that we have recently obtained, we are amending the protocol for the MORNINGSKY Phase 3 clinical trial. We will not be able to implement such amendments to the MORNINGSKY clinical trial protocol until we have received allowance from the applicable regulatory authorities to do so.</w:t>
      </w:r>
    </w:p>
    <w:p>
      <w:pPr>
        <w:spacing w:after="0" w:line="10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committed and plan to continue to commit significant financial and personnel resources to the development of AT-527 as a potential treatment for COVID-19. If we are unable to successfully develop AT-527 for the treatment of COVID-19, we will have taken resources away from other development programs and will not be able to recuperate the resources dedicated to developing AT-527 as a potential treatment for COVID-19, which could have a material adverse impact on our business. If the data from our clinical trials are not supportive of further development of AT-527 as a treatment for COVID-19 or the investor community has a negative reaction to the data, the demand for our common stock could decrease significantly, and the price of our common stock could decline substantially, which could result in significant losses for our stockholders.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 while there is currently an urgent need for treatments for COVID-19, the longevity and extent of the ongoing COVID-19 pandemic is uncertain and it is unclear whether SARS-CoV-2 will become an endemic human coronavirus that may circulate in the human population after the current pandemic has subsided. If the pandemic were to dissipate, whether due to a significant decrease in new infections, the effectiveness of vaccines, the effectiveness of other treatment options, or otherwise, the need for treatments could decrease significantly. If the need for a treatment decreases before or soon after commercialization of AT-527, if approved, or other treatments for COVID-19 are developed before AT-527, our business could be adversely impacted.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right="180"/>
        <w:spacing w:after="0" w:line="271" w:lineRule="auto"/>
        <w:rPr>
          <w:sz w:val="20"/>
          <w:szCs w:val="20"/>
          <w:color w:val="auto"/>
        </w:rPr>
      </w:pPr>
      <w:r>
        <w:rPr>
          <w:rFonts w:ascii="Arial" w:cs="Arial" w:eastAsia="Arial" w:hAnsi="Arial"/>
          <w:sz w:val="18"/>
          <w:szCs w:val="18"/>
          <w:b w:val="1"/>
          <w:bCs w:val="1"/>
          <w:i w:val="1"/>
          <w:iCs w:val="1"/>
          <w:color w:val="auto"/>
        </w:rPr>
        <w:t>We may expend resources in anticipation of clinical trials and potential commercialization of AT-527, which we may not be able to recover if AT-527 is not approved for the treatment of COVID-19 or we are not successful at commercializing AT-527.</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believe that there is an urgent unmet need for effective orally administered COVID-19 treatments particularly for patients in the outpatient setting. Accordingly, if the data from our ongoing and planned clinical trials of AT-527 in COVID-19 patients are positive, we may pursue certain expedited development, review and approval programs offered by the U.S. Food and Drug Administration (“FDA”) to sponsors of drugs designed to treat serious diseases and conditions. These programs may offer the potential for a more rapid approval and commercialization process than traditional FDA review pathways.</w:t>
      </w:r>
    </w:p>
    <w:p>
      <w:pPr>
        <w:spacing w:after="0" w:line="9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order to prepare for the possibility that we may be required to develop and rapidly commercialize AT-527, we have entered and may enter into additional agreements with, and make payments to, contract manufacturing organizations (“CMOs”), third parties we are engaging to assist us in the potential commercialization of AT-527, and other third parties prior to obtaining any approval to market AT-527 for the treatment of COVID-19. As a result, we may not be able to recover these costs if AT-527 is not approved for the treatment of COVID-19, which could have a material adverse effect on our business.</w:t>
      </w:r>
    </w:p>
    <w:p>
      <w:pPr>
        <w:spacing w:after="0" w:line="9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currently expect that the market for a treatment for COVID-19 will be large, and we cannot be certain that Roche, our exclusive supplier of AT-527 commercial product for COVID-19, will be able to satisfy commercial demand for AT-527, if approved. If AT-527 is approved and we are unable to meet commercial demand, we may not be able to fully capitalize on our development of AT-527, which could have an adverse effect on our business.</w:t>
      </w:r>
    </w:p>
    <w:p>
      <w:pPr>
        <w:spacing w:after="0" w:line="9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Furthermore, we have never commercialized a product and may not be successful in establishing the capabilities required for commercialization. In order to commercialize AT-527, we are developing commercial capabilities. If we do not obtain approval for AT-527, we will have expended those resources prematurely, and our business could be adversely affected.</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There has also been significant media coverage regarding the pricing of treatments for COVID-19. For example, Gilead Sciences, Inc. came under scrutiny regarding its pricing of Veklury (remdesivir), after having donated the initial supply of the drug. Pricing for drugs to treat COVID-19 continues to evolve, and we cannot be certain of the factors that will determine the sales price of AT-527, if approved. If we are unable to sell AT-527 at a sufficient price point, our ability to commercialize AT-527, if approved, may be adversely affected.</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AT-527 may face significant competition from vaccines and other treatments for COVID-19 which have been authorized or approved for use or are in development.</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in November 2021, molnupiravir, an orally administered direct-acting antiviral, which is being developed by Merck and Ridgeback Biotherapeutics for the treatment of adults with mild to moderate COVID-19 in the outpatient setting has received conditional authorization for use from the health authorities in the United Kingdom. Merck and Ridgeback are currently seeking similar authorizations from numerous other global health authorities, including the FDA. Pfizer is also developing an orally administered direct-acting antiviral for the treatment of adults with mild to moderate COVID 19 in the outpatient setting. Pfizer has indicated that it may seek authorization or approval of its product candidate as soon as December 2021. Other products for the treatment of COVID-19 are currently authorized for use or approved by health regulatory authorities in numerous countries throughout the world. These products include the antiviral drug Veklury (remdesivir), a direct acting antiviral marketed by Gilead Sciences for the treatment of COVID-19 for certain patients requiring hospitalization, casirivimab and imdevimab, monoclonal antibodies which are administered together, for the treatment of mild to moderate coronavirus COVID-19 in adult and certain pediatric patients with positive results of direct SARS-CoV-2 viral testing who are at high risk for progressing to severe COVID-19 and/or hospitalization for which Regeneron has received emergency use authorization from the FDA and </w:t>
      </w:r>
      <w:r>
        <w:rPr>
          <w:rFonts w:ascii="Arial" w:cs="Arial" w:eastAsia="Arial" w:hAnsi="Arial"/>
          <w:sz w:val="18"/>
          <w:szCs w:val="18"/>
          <w:color w:val="333333"/>
        </w:rPr>
        <w:t>sotrovimab, a monoclonal antibody for the treatment of high risk adults and adolescents with mild to moderate COVID-19 for</w:t>
      </w:r>
      <w:r>
        <w:rPr>
          <w:rFonts w:ascii="Arial" w:cs="Arial" w:eastAsia="Arial" w:hAnsi="Arial"/>
          <w:sz w:val="18"/>
          <w:szCs w:val="18"/>
          <w:color w:val="auto"/>
        </w:rPr>
        <w:t xml:space="preserve"> </w:t>
      </w:r>
      <w:r>
        <w:rPr>
          <w:rFonts w:ascii="Arial" w:cs="Arial" w:eastAsia="Arial" w:hAnsi="Arial"/>
          <w:sz w:val="18"/>
          <w:szCs w:val="18"/>
          <w:color w:val="333333"/>
        </w:rPr>
        <w:t xml:space="preserve">which VIR Biotechnology, Inc. and GlaxoSmithKline have received emergency use authorization from the FDA. In addition to therapeutics, vaccines indicated for active immunization to prevent COVID-19 have been authorized by the FDA. In December 2020, the FDA granted authorization for emergency use for vaccines from </w:t>
      </w:r>
      <w:r>
        <w:rPr>
          <w:rFonts w:ascii="Arial" w:cs="Arial" w:eastAsia="Arial" w:hAnsi="Arial"/>
          <w:sz w:val="18"/>
          <w:szCs w:val="18"/>
          <w:color w:val="000000"/>
        </w:rPr>
        <w:t>Pfizer Inc. and BioNTech and Moderna, Inc. each of which announced clinical trial results</w:t>
      </w:r>
      <w:r>
        <w:rPr>
          <w:rFonts w:ascii="Arial" w:cs="Arial" w:eastAsia="Arial" w:hAnsi="Arial"/>
          <w:sz w:val="18"/>
          <w:szCs w:val="18"/>
          <w:color w:val="333333"/>
        </w:rPr>
        <w:t xml:space="preserve"> </w:t>
      </w:r>
      <w:r>
        <w:rPr>
          <w:rFonts w:ascii="Arial" w:cs="Arial" w:eastAsia="Arial" w:hAnsi="Arial"/>
          <w:sz w:val="18"/>
          <w:szCs w:val="18"/>
          <w:color w:val="000000"/>
        </w:rPr>
        <w:t>showing that their respective vaccine candidate was found to be more than 90% effective in preventing COVID-19 during such trials and in February 2021, the FDA granted emergency use authorization to a vaccine developed by Janssen Pharmaceutical Company. In August 2021, the vaccine from Pfizer Inc. and BioNTech received full FDA approval. Additional vaccines and therapeutics are in development by other pharmaceutical and biopharmaceutical companies. Given the products currently approved or authorized for use as well as those in development by others, any treatment we may develop could face significant competition.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right="40"/>
        <w:spacing w:after="0" w:line="237" w:lineRule="auto"/>
        <w:rPr>
          <w:sz w:val="20"/>
          <w:szCs w:val="20"/>
          <w:color w:val="auto"/>
        </w:rPr>
      </w:pPr>
      <w:r>
        <w:rPr>
          <w:rFonts w:ascii="Arial" w:cs="Arial" w:eastAsia="Arial" w:hAnsi="Arial"/>
          <w:sz w:val="18"/>
          <w:szCs w:val="18"/>
          <w:color w:val="auto"/>
        </w:rPr>
        <w:t>In addition, the availability of competing authorized or approved therapeutics for the treatment COVID-19 may require us to amend our ongoing and planned clinical trials, which could increase our costs, or delay or prevent us from seeking regulatory approval. For example, regulatory authorities may limit our ability to randomize high-risk patients into placebo-controlled trials, or we may be required to demonstrate the non-inferiority or superiority of AT-527 as compared to currently authorized or approved treatments. If we are required to make significant amendments to the protocols for our ongoing trials, there is an additional risk that such amendments could affect the interpretability of trial results, or require us to enroll more patients than previously anticipated to adequately power a given clinical trial.</w:t>
      </w:r>
    </w:p>
    <w:p>
      <w:pPr>
        <w:spacing w:after="0" w:line="9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If any other company develops treatments more rapidly or effectively than we do, develops a treatment that becomes the standard of care, develops a treatment at a lower cost, or is more successful at commercializing an approved treatment, we may not be able to successfully commercialize AT-527 for the treatment of COVID-19, even if approved, or compete with other treatments or vaccines, which could adversely impact our business and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 and financial results.</w:t>
      </w:r>
    </w:p>
    <w:p>
      <w:pPr>
        <w:spacing w:after="0" w:line="12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December 2019, SARS-CoV-2 surfaced in China. Since then, COVID-19 has spread globally. The recent global emergence of variants of SARS-CoV-2, including the Delta variant, has resulted in an increasing number of infections, including breakthrough infections in persons who have been vaccinated against the infection. In the United States, travel bans and government stay-at-home orders in response to the initial outbreak caused widespread disruption in business operations and economic activity. Governmental authorities around the world implemented measures to reduce the spread of COVID-19. These measures, including suggested or mandated “shelter-in-place” orders, have adversely affected workforces, customers, consumer sentiment, economies, and financial markets, and, along with decreased consumer spending, contributed to an economic downturn in the United States. Future resurgences in cases may result in continuation or renewal of previously relaxed measures intended to reduce the spread of COVID-19. In response to the public health directives and orders and to help minimize the risk of COVID-19 for our employees, we have taken precautionary measures, including implementing work-from-home policies for all our employees. Many of our third-party collaborators, such as our CMOs, clinical research organizations (“CROs”), suppliers and others, have taken similar precautionary measures. These measures have disrupted our business and delayed certain of our clinical programs and timelines. For example, our Phase 1/2a clinical trial of AT-787 for the treatment of hepatitis C virus (“HCV”) was paused when clinical trial sites closed due to COVID-19 precautions by the countries and medical facilities where the trial was to be conducted. Efforts to re-open are likely to take a significant amount of time, require additional resources to implement social-distancing and other containment measures, or may not be successful.</w:t>
      </w:r>
    </w:p>
    <w:p>
      <w:pPr>
        <w:spacing w:after="0" w:line="1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impact to our operations due to the COVID-19 pandemic could be severe and could negatively affect our business, financial condition and results of operations. To the extent the COVID-19 pandemic adversely affects our business and financial results, it may also have the effect of heightening many of the other risk factors described in this “Risk Factors” section, such as those relating to our clinical trial timelines, our ability to enroll subjects for clinical trials and obtain materials that are required for the production of our product candidates, and our ability to raise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clinical trials.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COVID-19 pandemic, we may experience additional disruptions that could severely impact our clinical trials, including:</w:t>
      </w:r>
    </w:p>
    <w:p>
      <w:pPr>
        <w:spacing w:after="0" w:line="104" w:lineRule="exact"/>
        <w:rPr>
          <w:sz w:val="20"/>
          <w:szCs w:val="20"/>
          <w:color w:val="auto"/>
        </w:rPr>
      </w:pPr>
    </w:p>
    <w:p>
      <w:pPr>
        <w:ind w:left="280" w:right="360" w:hanging="272"/>
        <w:spacing w:after="0" w:line="246"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difficulties in enrolling patients in a clinical trial, including rapidly evolving treatment paradigms, and patients that may not be able to comply with clinical trial protocols if quarantines impede patient movement or interrupt healthcare services;</w:t>
      </w:r>
    </w:p>
    <w:p>
      <w:pPr>
        <w:spacing w:after="0" w:line="88" w:lineRule="exact"/>
        <w:rPr>
          <w:rFonts w:ascii="Arial" w:cs="Arial" w:eastAsia="Arial" w:hAnsi="Arial"/>
          <w:sz w:val="18"/>
          <w:szCs w:val="18"/>
          <w:color w:val="auto"/>
        </w:rPr>
      </w:pPr>
    </w:p>
    <w:p>
      <w:pPr>
        <w:ind w:left="280" w:right="700" w:hanging="272"/>
        <w:spacing w:after="0" w:line="246"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or the overwork of existing investigators and staff;</w:t>
      </w:r>
    </w:p>
    <w:p>
      <w:pPr>
        <w:spacing w:after="0" w:line="88" w:lineRule="exact"/>
        <w:rPr>
          <w:rFonts w:ascii="Arial" w:cs="Arial" w:eastAsia="Arial" w:hAnsi="Arial"/>
          <w:sz w:val="18"/>
          <w:szCs w:val="18"/>
          <w:color w:val="auto"/>
        </w:rPr>
      </w:pPr>
    </w:p>
    <w:p>
      <w:pPr>
        <w:ind w:left="280" w:right="160" w:hanging="272"/>
        <w:spacing w:after="0" w:line="246"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interruptions or delays in preclinical studies due to restricted or limited operations at research and development laboratory facilities;</w:t>
      </w:r>
    </w:p>
    <w:p>
      <w:pPr>
        <w:spacing w:after="0" w:line="117" w:lineRule="exact"/>
        <w:rPr>
          <w:rFonts w:ascii="Arial" w:cs="Arial" w:eastAsia="Arial" w:hAnsi="Arial"/>
          <w:sz w:val="18"/>
          <w:szCs w:val="18"/>
          <w:color w:val="auto"/>
        </w:rPr>
      </w:pPr>
    </w:p>
    <w:p>
      <w:pPr>
        <w:ind w:left="280" w:right="420" w:hanging="272"/>
        <w:spacing w:after="0" w:line="246"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state or provincial governments, employers and others;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ind w:left="280" w:hanging="272"/>
        <w:spacing w:after="0" w:line="245"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that participants enrolled in our non-COVID-19-related clinical trials will contract COVID-19 while the clinical trial is ongoing, which could impact the results of the clinical trial, including by increasing the number of observed adverse events;</w:t>
      </w:r>
    </w:p>
    <w:p>
      <w:pPr>
        <w:spacing w:after="0" w:line="89" w:lineRule="exact"/>
        <w:rPr>
          <w:rFonts w:ascii="Arial" w:cs="Arial" w:eastAsia="Arial" w:hAnsi="Arial"/>
          <w:sz w:val="18"/>
          <w:szCs w:val="18"/>
          <w:color w:val="auto"/>
        </w:rPr>
      </w:pPr>
    </w:p>
    <w:p>
      <w:pPr>
        <w:ind w:left="280" w:right="220" w:hanging="272"/>
        <w:spacing w:after="0" w:line="246"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w:t>
      </w:r>
    </w:p>
    <w:p>
      <w:pPr>
        <w:spacing w:after="0" w:line="117" w:lineRule="exact"/>
        <w:rPr>
          <w:rFonts w:ascii="Arial" w:cs="Arial" w:eastAsia="Arial" w:hAnsi="Arial"/>
          <w:sz w:val="18"/>
          <w:szCs w:val="18"/>
          <w:color w:val="auto"/>
        </w:rPr>
      </w:pPr>
    </w:p>
    <w:p>
      <w:pPr>
        <w:ind w:left="280" w:right="60" w:hanging="272"/>
        <w:spacing w:after="0" w:line="246"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88" w:lineRule="exact"/>
        <w:rPr>
          <w:rFonts w:ascii="Arial" w:cs="Arial" w:eastAsia="Arial" w:hAnsi="Arial"/>
          <w:sz w:val="18"/>
          <w:szCs w:val="18"/>
          <w:color w:val="auto"/>
        </w:rPr>
      </w:pPr>
    </w:p>
    <w:p>
      <w:pPr>
        <w:ind w:left="280" w:right="140" w:hanging="272"/>
        <w:spacing w:after="0" w:line="246"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refusal of the FDA to accept data from clinical trials in these affected geographies.</w:t>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example, our HCV program was delayed when clinical trial sites conducting our Phase 1/2a trials closed, and our other development programs may be delayed or otherwise negatively impacted. As a result, the expected timeline for data readouts of our clinical trials and certain regulatory submissions will likely be negatively impacted, which would adversely affect and delay our ability to seek regulatory approvals for our product candidates, increase our operating expenses, and have a material adverse effect on our financial condition. Moreover, SARS-CoV-2 is a novel pathogen, and information regarding the emergence of viral variants, and the symptoms, progression, and transmission of COVID-19 continues to rapidly evolve, presenting additional challenges for the conduct of our clinical trials in COVID-19 patients. For example, COVID-19 patients have presented with a wide range of symptoms and side effects, which may make it more difficult for clinical trial investigators to determine whether any adverse events observed in our clinical trials are related to AT-527 or are consistent with the underlying disease. Any increase in the severity or incidence of adverse events deemed to be related to AT-527 could delay or prevent its regulatory approval, which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a clinical-stage biopharmaceutical company.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biopharmaceutical companies in their early stages of operations. We have not yet demonstrated an ability to complete any late-stage or pivotal clinical trials, obtain marketing approval, manufacture a commercial-scale product, or conduct sales and marketing activities necessary for successful product commercialization, or arrange for third parties to do these activities on our behalf. Consequently, predictions about our future success or viability may not be as accurate as they could be if we had a longer operating history or a history of successfully developing, obtaining marketing approval for and commercializing antiviral therapies.</w:t>
      </w:r>
    </w:p>
    <w:p>
      <w:pPr>
        <w:spacing w:after="0" w:line="10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obstacles. If we successfully develop a product candidate, we will eventually need to transition from a company with a research and development focus to a company capable of supporting commercial activities. We may not be successful in this transition. For example, we may need to rapidly develop our commercialization capabilities if AT-527 is approved for the treatment of COVID-19.</w:t>
      </w:r>
    </w:p>
    <w:p>
      <w:pPr>
        <w:spacing w:after="0" w:line="9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As we continue to build our business, we expect our financial condition and operating results may fluctuate significantly from quarter to quarter and year to year due to a variety of factors, many of which are beyond our control. Accordingly, you should not rely upon the results of any particular quarterly or annual period as indications of future operating performance.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3" w:name="page34"/>
    <w:bookmarkEnd w:id="33"/>
    <w:p>
      <w:pPr>
        <w:ind w:right="100"/>
        <w:spacing w:after="0" w:line="271" w:lineRule="auto"/>
        <w:rPr>
          <w:sz w:val="20"/>
          <w:szCs w:val="20"/>
          <w:color w:val="auto"/>
        </w:rPr>
      </w:pPr>
      <w:r>
        <w:rPr>
          <w:rFonts w:ascii="Arial" w:cs="Arial" w:eastAsia="Arial" w:hAnsi="Arial"/>
          <w:sz w:val="18"/>
          <w:szCs w:val="18"/>
          <w:b w:val="1"/>
          <w:bCs w:val="1"/>
          <w:i w:val="1"/>
          <w:iCs w:val="1"/>
          <w:color w:val="auto"/>
        </w:rPr>
        <w:t>We have incurred significant operating expenses since inception and expect to incur significant additional operating expenses for the foreseeable future. We have no products that have generated any commercial revenue and we may not maintain profitability.</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incurred significant operating expenses since our inception, including operating expenses of $ 142.0 million and $59.7 million for the nine months ended September 30, 2021 and the year ended December 31, 2020, respectively. Prior to the quarter ended March 31, 2021, we had incurred significant operating losses. In addition, we have not commercialized any products and have never generated any revenue from product sales. We have devoted almost all of our financial resources to research and development, including our clinical trials and preclinical development activities.</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expect to continue to incur significant additional operating expenses for the foreseeable future as we seek to advance product candidates through clinical development, continue preclinical development, expand our research and development activities, develop new product candidates, complete preclinical studies and clinical trials, seek regulatory approval and, if we receive regulatory approval, commercialize our products, and we may incur operating losses in future periods. In order to obtain FDA approval to market any product candidate in the United States, we must submit to the FDA a New Drug Application (“NDA”) demonstrating to the FDA’s satisfaction that the product candidate is safe and effective for its intended use(s). This demonstration requires significant research and extensive data from animal tests, which are referred to as nonclinical or preclinical studies, as well as human tests, which are referred to as clinical trials. Furthermore, the costs of advancing product candidates into each succeeding clinical phase tend to increase substantially over time. The total costs to advance any of our product candidates to marketing approval in even a single jurisdiction would be substantial and difficult to accurately predict. Because of the numerous risks and uncertainties associated with the development of drug products, we are unable to accurately predict the timing or amount of increased expenses or when, or if, we will be able to begin generating revenue from the commercialization of products or maintain profitability. Our expenses will also increase substantially if or as we:</w:t>
      </w:r>
    </w:p>
    <w:p>
      <w:pPr>
        <w:spacing w:after="0" w:line="96" w:lineRule="exact"/>
        <w:rPr>
          <w:sz w:val="20"/>
          <w:szCs w:val="20"/>
          <w:color w:val="auto"/>
        </w:rPr>
      </w:pPr>
    </w:p>
    <w:p>
      <w:pPr>
        <w:ind w:left="280" w:right="14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additional clinical trials of our most advanced product candidate, AT-527, and progress our ongoing clinical trials for the treatment of patients with moderate COVID-19 and our current and planned Phase 1 clinical trials in healthy volunteers;</w:t>
      </w:r>
    </w:p>
    <w:p>
      <w:pPr>
        <w:spacing w:after="0" w:line="88" w:lineRule="exact"/>
        <w:rPr>
          <w:rFonts w:ascii="Arial" w:cs="Arial" w:eastAsia="Arial" w:hAnsi="Arial"/>
          <w:sz w:val="18"/>
          <w:szCs w:val="18"/>
          <w:color w:val="auto"/>
        </w:rPr>
      </w:pPr>
    </w:p>
    <w:p>
      <w:pPr>
        <w:ind w:left="280" w:right="500" w:hanging="272"/>
        <w:spacing w:after="0" w:line="238"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development of our other product candidates, including the ongoing clinical development of AT-752 for the treatment of dengue, resuming our Phase 1/2a clinical trial of AT-787 for the treatment of HCV, which has been delayed due to the COVID-19 pandemic, and the preclinical development of our other product candidates, including AT-899 and other product candidates for the treatment of RSV;</w:t>
      </w:r>
    </w:p>
    <w:p>
      <w:pPr>
        <w:spacing w:after="0" w:line="96"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discover and develop additional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and marketing approvals for product candidates that successfully complete clinical trials, if any;</w:t>
      </w:r>
    </w:p>
    <w:p>
      <w:pPr>
        <w:spacing w:after="0" w:line="117" w:lineRule="exact"/>
        <w:rPr>
          <w:rFonts w:ascii="Arial" w:cs="Arial" w:eastAsia="Arial" w:hAnsi="Arial"/>
          <w:sz w:val="18"/>
          <w:szCs w:val="18"/>
          <w:color w:val="auto"/>
        </w:rPr>
      </w:pPr>
    </w:p>
    <w:p>
      <w:pPr>
        <w:ind w:left="280" w:right="2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manufacturing and supply chain capacity sufficient to provide commercial quantities of any product candidates for which we may obtain marketing approval, if any;</w:t>
      </w:r>
    </w:p>
    <w:p>
      <w:pPr>
        <w:spacing w:after="0" w:line="88" w:lineRule="exact"/>
        <w:rPr>
          <w:rFonts w:ascii="Arial" w:cs="Arial" w:eastAsia="Arial" w:hAnsi="Arial"/>
          <w:sz w:val="18"/>
          <w:szCs w:val="18"/>
          <w:color w:val="auto"/>
        </w:rPr>
      </w:pPr>
    </w:p>
    <w:p>
      <w:pPr>
        <w:ind w:left="280" w:right="180" w:hanging="272"/>
        <w:spacing w:after="0" w:line="274" w:lineRule="auto"/>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 a sales, marketing, internal systems and distribution infrastructure to commercialize any products for which we may obtain regulatory approval, if any, in geographies in which we plan to commercialize our products ourselves or with co-promotion collaborators;</w:t>
      </w:r>
    </w:p>
    <w:p>
      <w:pPr>
        <w:spacing w:after="0" w:line="66" w:lineRule="exact"/>
        <w:rPr>
          <w:rFonts w:ascii="Arial" w:cs="Arial" w:eastAsia="Arial" w:hAnsi="Arial"/>
          <w:sz w:val="17"/>
          <w:szCs w:val="17"/>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17" w:lineRule="exact"/>
        <w:rPr>
          <w:rFonts w:ascii="Arial" w:cs="Arial" w:eastAsia="Arial" w:hAnsi="Arial"/>
          <w:sz w:val="18"/>
          <w:szCs w:val="18"/>
          <w:color w:val="auto"/>
        </w:rPr>
      </w:pPr>
    </w:p>
    <w:p>
      <w:pPr>
        <w:ind w:left="280" w:right="2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technical, regulatory, operational, financial, commercial and support personnel, to execute our business plan and support our product development and potential future commercialization efforts;</w:t>
      </w:r>
    </w:p>
    <w:p>
      <w:pPr>
        <w:spacing w:after="0" w:line="88" w:lineRule="exact"/>
        <w:rPr>
          <w:rFonts w:ascii="Arial" w:cs="Arial" w:eastAsia="Arial" w:hAnsi="Arial"/>
          <w:sz w:val="18"/>
          <w:szCs w:val="18"/>
          <w:color w:val="auto"/>
        </w:rPr>
      </w:pPr>
    </w:p>
    <w:p>
      <w:pPr>
        <w:ind w:left="28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extensively utilize external vendors for support with respect to research, development, manufacturing, commercialization, regulatory, pharmacovigilance and other functions;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in-license commercial products, additional product candidates and technologies;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as a public company.</w:t>
      </w:r>
    </w:p>
    <w:p>
      <w:pPr>
        <w:spacing w:after="0" w:line="11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Furthermore, our ability to successfully develop, commercialize and license any products and generate product revenue is subject to substantial additional risks and uncertainties. Each of our product candidates will require additional preclinical and/or clinical development, regulatory approval in not less than one jurisdiction, the securing of manufacturing supply, capacity, distribution channels and expertise, the use of external vendors,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ind w:right="20"/>
        <w:spacing w:after="0" w:line="238" w:lineRule="auto"/>
        <w:rPr>
          <w:sz w:val="20"/>
          <w:szCs w:val="20"/>
          <w:color w:val="auto"/>
        </w:rPr>
      </w:pPr>
      <w:r>
        <w:rPr>
          <w:rFonts w:ascii="Arial" w:cs="Arial" w:eastAsia="Arial" w:hAnsi="Arial"/>
          <w:sz w:val="18"/>
          <w:szCs w:val="18"/>
          <w:color w:val="auto"/>
        </w:rPr>
        <w:t>building of a commercial organization, substantial investment and significant marketing efforts before we generate any revenue from product sales. As a result, we expect to continue to incur operating expenses and use cash for operating activities for the foreseeable future. These operating expenses and use of cash have had, and will continue to have, an adverse effect on our working capital. Additionally, we may incur operating losses in future periods.</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amount of future expenses or losses and our ability to maintain profitability are uncertain. We have no products that have generated any commercial revenue, do not expect to generate revenues from the commercial sale of products in the foreseeable future until we have successfully developed one or more product candidates, and might never generate revenues from the sale of products. Our ability to generate product revenue and maintain profitability will depend on, among other things, successful completion of the clinical development of our product candidates; obtaining necessary regulatory approvals from the FDA and foreign regulatory authorities; establishing manufacturing and sales capabilities; market acceptance of our products, if approved, and establishing marketing infrastructure to commercialize our product candidates for which we obtain approval; and raising sufficient funds to finance our activities. We might not succeed at any of these undertakings. If we are unsuccessful at some or all of these undertakings, our business, prospects, and results of operations may be materially adversely affected.</w:t>
      </w:r>
    </w:p>
    <w:p>
      <w:pPr>
        <w:spacing w:after="0" w:line="185"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83"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Our operations have incurred substantial expenses since inception. We expect to continue to incur substantial expenses to continue the clinical development of AT-527, AT-752 and AT-787, for future clinical trials for our other product candidates and to continue to identify new product candidates.</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will continue to need additional capital to fund future clinical trials and preclinical development,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initiate or complete planned clinical trials or seek regulatory approvals of any of our product candidates from the FDA, or any foreign regulatory authorities, and could be forced to discontinue product development. In addition, attempting to secure additional financing may divert the time and attention of our management from day-to-day activities and harm our product candidate development efforts.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Based on our current operating plan, we believe that our cash and cash equivalents as of September 30, 2021, will be sufficient to fund our operating expenses and capital expenditure requirements through at least 2023. This estimate is based on assumptions that may prove to be wrong, and we could use our available capital resources sooner than we currently expect. We will require significant additional funds in order to launch and commercialize our current and any future product candidates to the extent that such launch and commercialization are not the responsibility of a collaborator.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 we develop.</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04"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our preclinical studies and clinical trials;</w:t>
      </w:r>
    </w:p>
    <w:p>
      <w:pPr>
        <w:spacing w:after="0" w:line="117" w:lineRule="exact"/>
        <w:rPr>
          <w:rFonts w:ascii="Arial" w:cs="Arial" w:eastAsia="Arial" w:hAnsi="Arial"/>
          <w:sz w:val="18"/>
          <w:szCs w:val="18"/>
          <w:color w:val="auto"/>
        </w:rPr>
      </w:pPr>
    </w:p>
    <w:p>
      <w:pPr>
        <w:ind w:left="280" w:right="120" w:hanging="272"/>
        <w:spacing w:after="0" w:line="246"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our current and future product candidates in regions where we choose to commercialize any products;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future product candidates and potential additional indications that we may pursue and their development requirements;</w:t>
      </w:r>
    </w:p>
    <w:p>
      <w:pPr>
        <w:spacing w:after="0" w:line="117" w:lineRule="exact"/>
        <w:rPr>
          <w:rFonts w:ascii="Arial" w:cs="Arial" w:eastAsia="Arial" w:hAnsi="Arial"/>
          <w:sz w:val="18"/>
          <w:szCs w:val="18"/>
          <w:color w:val="auto"/>
        </w:rPr>
      </w:pPr>
    </w:p>
    <w:p>
      <w:pPr>
        <w:ind w:left="280" w:right="200" w:hanging="272"/>
        <w:spacing w:after="0" w:line="246"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stability, scale, yield and cost of manufacturing our product candidates for clinical trials, in preparation for regulatory approval and in preparation for commercialization;</w:t>
      </w:r>
    </w:p>
    <w:p>
      <w:pPr>
        <w:spacing w:after="0" w:line="88" w:lineRule="exact"/>
        <w:rPr>
          <w:rFonts w:ascii="Arial" w:cs="Arial" w:eastAsia="Arial" w:hAnsi="Arial"/>
          <w:sz w:val="18"/>
          <w:szCs w:val="18"/>
          <w:color w:val="auto"/>
        </w:rPr>
      </w:pPr>
    </w:p>
    <w:p>
      <w:pPr>
        <w:ind w:left="280" w:right="440" w:hanging="272"/>
        <w:spacing w:after="0" w:line="274" w:lineRule="auto"/>
        <w:tabs>
          <w:tab w:leader="none" w:pos="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approved product candidate to the extent such costs are not the responsibility of any collaborators, including the costs and timing of establishing product sales, marketing, distribution and manufacturing capabilities;</w:t>
      </w:r>
    </w:p>
    <w:p>
      <w:pPr>
        <w:spacing w:after="0" w:line="66" w:lineRule="exact"/>
        <w:rPr>
          <w:rFonts w:ascii="Arial" w:cs="Arial" w:eastAsia="Arial" w:hAnsi="Arial"/>
          <w:sz w:val="17"/>
          <w:szCs w:val="17"/>
          <w:color w:val="auto"/>
        </w:rPr>
      </w:pPr>
    </w:p>
    <w:p>
      <w:pPr>
        <w:ind w:left="280" w:right="540" w:hanging="272"/>
        <w:spacing w:after="0" w:line="246"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5" w:name="page36"/>
    <w:bookmarkEnd w:id="35"/>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changes in pharmaceutical pricing and reimbursement infrastructure;</w:t>
      </w:r>
    </w:p>
    <w:p>
      <w:pPr>
        <w:spacing w:after="0" w:line="116" w:lineRule="exact"/>
        <w:rPr>
          <w:rFonts w:ascii="Arial" w:cs="Arial" w:eastAsia="Arial" w:hAnsi="Arial"/>
          <w:sz w:val="18"/>
          <w:szCs w:val="18"/>
          <w:color w:val="auto"/>
        </w:rPr>
      </w:pPr>
    </w:p>
    <w:p>
      <w:pPr>
        <w:ind w:left="280" w:right="140" w:hanging="272"/>
        <w:spacing w:after="0" w:line="246"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receipt of regulatory approval and revenue, if any, received from commercial sales for any approved indications for any of our product candidates;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compete with other therapies in the indications we target;</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other products, product candidates or technologies;</w:t>
      </w:r>
    </w:p>
    <w:p>
      <w:pPr>
        <w:spacing w:after="0" w:line="117" w:lineRule="exact"/>
        <w:rPr>
          <w:rFonts w:ascii="Arial" w:cs="Arial" w:eastAsia="Arial" w:hAnsi="Arial"/>
          <w:sz w:val="18"/>
          <w:szCs w:val="18"/>
          <w:color w:val="auto"/>
        </w:rPr>
      </w:pPr>
    </w:p>
    <w:p>
      <w:pPr>
        <w:ind w:left="280" w:right="600" w:hanging="272"/>
        <w:spacing w:after="0" w:line="246"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88" w:lineRule="exact"/>
        <w:rPr>
          <w:rFonts w:ascii="Arial" w:cs="Arial" w:eastAsia="Arial" w:hAnsi="Arial"/>
          <w:sz w:val="18"/>
          <w:szCs w:val="18"/>
          <w:color w:val="auto"/>
        </w:rPr>
      </w:pPr>
    </w:p>
    <w:p>
      <w:pPr>
        <w:ind w:left="280" w:right="80" w:hanging="272"/>
        <w:spacing w:after="0" w:line="246"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7"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We cannot be certain that additional funding will be available on acceptable terms, or at all. If we are unable to raise additional capital in sufficient amounts, on terms acceptable to us, or on a timely basis, we may have to significantly delay, scale back or discontinue the development or commercialization of our product candidates or other research and development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product sales and may not be able to maintain profitability.</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ability to maintain profitability depends upon our ability to generate revenue from product sales. Prior to the execution of the Roche License Agreement, we had not generated any revenue and do not expect to generate product revenue unless or until we successfully complete clinical development and obtain regulatory approval of, and then successfully commercialize, at least one of our product candidates. Our product candidates are in varying stages of development which may necessitate additional preclinical studies in some cases and in all cases will require additional clinical development as well as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95" w:lineRule="exact"/>
        <w:rPr>
          <w:sz w:val="20"/>
          <w:szCs w:val="20"/>
          <w:color w:val="auto"/>
        </w:rPr>
      </w:pPr>
    </w:p>
    <w:p>
      <w:pPr>
        <w:ind w:left="280" w:right="2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initiation and completion of our clinical trials of AT-527, AT-752 and AT-787, our preclinical studies and our future clinical trials, which may be significantly slower or more costly than we currently anticipate and will depend substantially upon the performance of third-party contractors;</w:t>
      </w:r>
    </w:p>
    <w:p>
      <w:pPr>
        <w:spacing w:after="0" w:line="94" w:lineRule="exact"/>
        <w:rPr>
          <w:rFonts w:ascii="Arial" w:cs="Arial" w:eastAsia="Arial" w:hAnsi="Arial"/>
          <w:sz w:val="18"/>
          <w:szCs w:val="18"/>
          <w:color w:val="auto"/>
        </w:rPr>
      </w:pPr>
    </w:p>
    <w:p>
      <w:pPr>
        <w:ind w:left="280" w:right="840" w:hanging="272"/>
        <w:spacing w:after="0" w:line="24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complete additional investigational new drug application (“IND”), enabling studies and successfully submit INDs or comparable applications to allow us to initiate clinical trials for our product candidates;</w:t>
      </w:r>
    </w:p>
    <w:p>
      <w:pPr>
        <w:spacing w:after="0" w:line="88" w:lineRule="exact"/>
        <w:rPr>
          <w:rFonts w:ascii="Arial" w:cs="Arial" w:eastAsia="Arial" w:hAnsi="Arial"/>
          <w:sz w:val="18"/>
          <w:szCs w:val="18"/>
          <w:color w:val="auto"/>
        </w:rPr>
      </w:pPr>
    </w:p>
    <w:p>
      <w:pPr>
        <w:ind w:left="280" w:right="260" w:hanging="272"/>
        <w:spacing w:after="0" w:line="24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88" w:lineRule="exact"/>
        <w:rPr>
          <w:rFonts w:ascii="Arial" w:cs="Arial" w:eastAsia="Arial" w:hAnsi="Arial"/>
          <w:sz w:val="18"/>
          <w:szCs w:val="18"/>
          <w:color w:val="auto"/>
        </w:rPr>
      </w:pPr>
    </w:p>
    <w:p>
      <w:pPr>
        <w:ind w:left="280" w:right="420" w:hanging="272"/>
        <w:spacing w:after="0" w:line="24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or similar foreign regulatory authorities the safety and efficacy of our product candidates or any future product candidates;</w:t>
      </w:r>
    </w:p>
    <w:p>
      <w:pPr>
        <w:spacing w:after="0" w:line="88" w:lineRule="exact"/>
        <w:rPr>
          <w:rFonts w:ascii="Arial" w:cs="Arial" w:eastAsia="Arial" w:hAnsi="Arial"/>
          <w:sz w:val="18"/>
          <w:szCs w:val="18"/>
          <w:color w:val="auto"/>
        </w:rPr>
      </w:pPr>
    </w:p>
    <w:p>
      <w:pPr>
        <w:ind w:left="280" w:right="300" w:hanging="272"/>
        <w:spacing w:after="0" w:line="24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or similar foreign regulatory authorities;</w:t>
      </w:r>
    </w:p>
    <w:p>
      <w:pPr>
        <w:spacing w:after="0" w:line="117" w:lineRule="exact"/>
        <w:rPr>
          <w:rFonts w:ascii="Arial" w:cs="Arial" w:eastAsia="Arial" w:hAnsi="Arial"/>
          <w:sz w:val="18"/>
          <w:szCs w:val="18"/>
          <w:color w:val="auto"/>
        </w:rPr>
      </w:pPr>
    </w:p>
    <w:p>
      <w:pPr>
        <w:ind w:left="280" w:right="800" w:hanging="272"/>
        <w:spacing w:after="0" w:line="24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as potential antiviral therapies;</w:t>
      </w:r>
    </w:p>
    <w:p>
      <w:pPr>
        <w:spacing w:after="0" w:line="88" w:lineRule="exact"/>
        <w:rPr>
          <w:rFonts w:ascii="Arial" w:cs="Arial" w:eastAsia="Arial" w:hAnsi="Arial"/>
          <w:sz w:val="18"/>
          <w:szCs w:val="18"/>
          <w:color w:val="auto"/>
        </w:rPr>
      </w:pPr>
    </w:p>
    <w:p>
      <w:pPr>
        <w:ind w:left="280" w:right="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(“cGMP”);</w:t>
      </w:r>
    </w:p>
    <w:p>
      <w:pPr>
        <w:spacing w:after="0" w:line="94" w:lineRule="exact"/>
        <w:rPr>
          <w:rFonts w:ascii="Arial" w:cs="Arial" w:eastAsia="Arial" w:hAnsi="Arial"/>
          <w:sz w:val="18"/>
          <w:szCs w:val="18"/>
          <w:color w:val="auto"/>
        </w:rPr>
      </w:pPr>
    </w:p>
    <w:p>
      <w:pPr>
        <w:ind w:left="280" w:right="16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licensed for marketing, reimbursement, sale and distribution in such countries and territories, whether alone or in collaboration with others; and</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6" w:name="page37"/>
    <w:bookmarkEnd w:id="36"/>
    <w:p>
      <w:pPr>
        <w:ind w:left="280" w:right="360" w:hanging="272"/>
        <w:spacing w:after="0" w:line="245"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maintain, protect and enforce intellectual property rights in and to our product candidates or any future product candidates.</w:t>
      </w:r>
    </w:p>
    <w:p>
      <w:pPr>
        <w:spacing w:after="0" w:line="9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Many of the factors listed above are beyond our control, and could cause us to experience significant delays or prevent us from obtaining regulatory approvals or commercialize our product candidates. Even if we are able to commercialize our product candidates, we may not be able to maintain profitability after generating product sales. If we are unable to generate sufficient revenue through the sale of our product candidates or any future product candidates, we may be unable to continue operations without continued funding.</w:t>
      </w:r>
    </w:p>
    <w:p>
      <w:pPr>
        <w:spacing w:after="0" w:line="18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to offset future taxable income may be subject to certain limitations.</w:t>
      </w:r>
    </w:p>
    <w:p>
      <w:pPr>
        <w:spacing w:after="0" w:line="6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of December 31, 2020, we had U.S. federal net operating loss carryforwards (“NOLs”), of $53.2 million, which may be available to offset future taxable income, if any, of which $27.5 million begin to expire in 2033 and of which $25.7 million do not expire but are limited in their usage (for taxable years beginning after December 31, 2020) to an annual deduction equal to 80% of annual taxable income. In addition, as of December 31, 2020, we had state NOLs of $52.5 million, which may be available to offset future taxable income, if any, and begin to expire in 2033. As of December 31, 2020, we also had federal and state research and development credit carryforwards of $1.6 million and $0.3 million, respectively, which begin to expire in 2033. In general,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NOLs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In addition, future changes in our stock ownership, some of which might be beyond our control, could result in an ownership change under Sections 382 and 383 of the Code. For these reasons, we may not be able to utilize a material portion of the NOLs or research and development credit carryforwards even if we attain profitability. The Company expects to utilize NOLs of approximately $53.0 million during the year ending December 31, 2021.</w:t>
      </w:r>
    </w:p>
    <w:p>
      <w:pPr>
        <w:spacing w:after="0" w:line="19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color w:val="auto"/>
        </w:rPr>
        <w:t>Risks Related to the Discovery, Development, Preclinical and Clinical Testing, Manufacturing and Regulatory Approval of Our Product Candidates</w:t>
      </w:r>
    </w:p>
    <w:p>
      <w:pPr>
        <w:spacing w:after="0" w:line="15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Our business is highly dependent on the success of our most advanced product candidates, particularly AT-527, each of which will require significant additional clinical testing before we can seek regulatory approval and potentially launch commercial sales. If these product candidates fail in clinical development, do not receive regulatory approval or are not successfully commercialized, or are significantly delayed in doing so, our business will be harmed.</w:t>
      </w:r>
    </w:p>
    <w:p>
      <w:pPr>
        <w:spacing w:after="0" w:line="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substantial portion of our business and future success depends on our ability to develop, obtain regulatory approval for and successfully commercialize our most advanced product candidates, AT-527 for the treatment of COVID-19, AT-752 for the treatment of dengue fever and AT-787 for the treatment of HCV. We currently have no products that are approved for commercial sale and have not completed the development of any of our product candidates, and we may never be able to develop marketable products. In addition to our development of AT-527 for the treatment of COVID-19, for which we expect to expend resources in the near term, we expect that a substantial portion of our efforts and expenditures over the next few years will be devoted to our most advanced product candidates, which will require additional clinical development, management of clinical, medical affairs and manufacturing activities, obtaining regulatory approvals in multiple jurisdictions, securing of manufacturing supply, building of a commercial organization, substantial investment and significant marketing efforts before we can generate any revenues from any commercial sales from any product candidate, if approved. We cannot be certain that any of our product candidates will be successful in clinical trials, receive regulatory approval or be successfully commercialized even if we receive regulatory approval. Further, our development of any product candidate may be delayed, which may affect our ability to successfully commercialize such product. For example, as a result of amendments we are seeking to effect to the MORNINGSKY Phase 3 clinical trial protocol, our estimated completion of this trial has been delayed to the second half of 2022. Additionally, if our competitors develop products to treat COVID-19, dengue, HCV, RSV, or any other diseases which our current or future product candidates are being developed to treat, before we are able to successfully develop a product candidate, or if our competitors develop any products that are superior to our product candidates, our potential market share could become smaller or non-existent. Even if we receive approval to market these product candidates from the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line="237" w:lineRule="auto"/>
        <w:rPr>
          <w:sz w:val="20"/>
          <w:szCs w:val="20"/>
          <w:color w:val="auto"/>
        </w:rPr>
      </w:pPr>
      <w:r>
        <w:rPr>
          <w:rFonts w:ascii="Arial" w:cs="Arial" w:eastAsia="Arial" w:hAnsi="Arial"/>
          <w:sz w:val="18"/>
          <w:szCs w:val="18"/>
          <w:color w:val="auto"/>
        </w:rPr>
        <w:t>FDA or other regulatory bodies, we cannot be certain that our product candidates will be as or more effective than other commercially available alternatives, successfully commercialized or widely accepted in the marketplace. Nor can we be certain that, if approved, the safety and efficacy profile of our product candidates will be consistent with the results observed in clinical trials. If we are not successful in the clinical development of our most advanced product candidates, the required regulatory approvals for these product candidates are not obtained, there are significant delays in the development or approval of these product candidates, or any approved products are not commercially successful, our business, financial condition and results of operations may be materially harmed.</w:t>
      </w:r>
    </w:p>
    <w:p>
      <w:pPr>
        <w:spacing w:after="0" w:line="18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w:t>
      </w:r>
    </w:p>
    <w:p>
      <w:pPr>
        <w:spacing w:after="0" w:line="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We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Additionally, regulatory authorities may grant emergency use authorizations permitting distribution and sale of products prior to full approval and later withdraw such authorizations. For example, in April 2021 the FDA revoked the emergency use authorization that had been granted in December 2020 to Eli Lily for bamlanivimab as a single agent for the treatment of </w:t>
      </w:r>
      <w:r>
        <w:rPr>
          <w:rFonts w:ascii="Arial" w:cs="Arial" w:eastAsia="Arial" w:hAnsi="Arial"/>
          <w:sz w:val="18"/>
          <w:szCs w:val="18"/>
          <w:color w:val="333333"/>
        </w:rPr>
        <w:t>mild to moderate COVID-19 in adult and certain pediatric</w:t>
      </w:r>
      <w:r>
        <w:rPr>
          <w:rFonts w:ascii="Arial" w:cs="Arial" w:eastAsia="Arial" w:hAnsi="Arial"/>
          <w:sz w:val="18"/>
          <w:szCs w:val="18"/>
          <w:color w:val="auto"/>
        </w:rPr>
        <w:t xml:space="preserve"> </w:t>
      </w:r>
      <w:r>
        <w:rPr>
          <w:rFonts w:ascii="Arial" w:cs="Arial" w:eastAsia="Arial" w:hAnsi="Arial"/>
          <w:sz w:val="18"/>
          <w:szCs w:val="18"/>
          <w:color w:val="333333"/>
        </w:rPr>
        <w:t>patients.</w:t>
      </w:r>
    </w:p>
    <w:p>
      <w:pPr>
        <w:spacing w:after="0" w:line="9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Although we believe that our ongoing and planned Phase 2 and Phase 3 clinical trials of AT-527 in patients with mild or moderate COVID-19, if successful, may enable us to submit an NDA seeking approval of AT-527 for the treatment of mild or moderate COVID-19, there is no guarantee that the FDA will agree with any strategy we may propose. We have not submitted an NDA for, or obtained regulatory approval of, any product candidate. We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 Applications for our product candidates could fail to receive regulatory approval for many reasons, including but not limited to the following:</w:t>
      </w:r>
    </w:p>
    <w:p>
      <w:pPr>
        <w:spacing w:after="0" w:line="247" w:lineRule="exact"/>
        <w:rPr>
          <w:sz w:val="20"/>
          <w:szCs w:val="20"/>
          <w:color w:val="auto"/>
        </w:rPr>
      </w:pPr>
    </w:p>
    <w:p>
      <w:pPr>
        <w:ind w:left="400" w:right="340" w:hanging="392"/>
        <w:spacing w:after="0" w:line="246"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implementation or interpretation of results of our clinical trials;</w:t>
      </w:r>
    </w:p>
    <w:p>
      <w:pPr>
        <w:spacing w:after="0" w:line="88" w:lineRule="exact"/>
        <w:rPr>
          <w:rFonts w:ascii="Arial" w:cs="Arial" w:eastAsia="Arial" w:hAnsi="Arial"/>
          <w:sz w:val="18"/>
          <w:szCs w:val="18"/>
          <w:color w:val="auto"/>
        </w:rPr>
      </w:pPr>
    </w:p>
    <w:p>
      <w:pPr>
        <w:jc w:val="both"/>
        <w:ind w:left="280" w:right="7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94" w:lineRule="exact"/>
        <w:rPr>
          <w:rFonts w:ascii="Arial" w:cs="Arial" w:eastAsia="Arial" w:hAnsi="Arial"/>
          <w:sz w:val="18"/>
          <w:szCs w:val="18"/>
          <w:color w:val="auto"/>
        </w:rPr>
      </w:pPr>
    </w:p>
    <w:p>
      <w:pPr>
        <w:ind w:left="280" w:right="560" w:hanging="272"/>
        <w:spacing w:after="0" w:line="246"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88" w:lineRule="exact"/>
        <w:rPr>
          <w:rFonts w:ascii="Arial" w:cs="Arial" w:eastAsia="Arial" w:hAnsi="Arial"/>
          <w:sz w:val="18"/>
          <w:szCs w:val="18"/>
          <w:color w:val="auto"/>
        </w:rPr>
      </w:pPr>
    </w:p>
    <w:p>
      <w:pPr>
        <w:ind w:left="280" w:right="300" w:hanging="272"/>
        <w:spacing w:after="0" w:line="246"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foreign regulatory authorities that a product candidate’s clinical and other benefits outweigh its safety risks;</w:t>
      </w:r>
    </w:p>
    <w:p>
      <w:pPr>
        <w:spacing w:after="0" w:line="88" w:lineRule="exact"/>
        <w:rPr>
          <w:rFonts w:ascii="Arial" w:cs="Arial" w:eastAsia="Arial" w:hAnsi="Arial"/>
          <w:sz w:val="18"/>
          <w:szCs w:val="18"/>
          <w:color w:val="auto"/>
        </w:rPr>
      </w:pPr>
    </w:p>
    <w:p>
      <w:pPr>
        <w:ind w:left="280" w:right="700" w:hanging="272"/>
        <w:spacing w:after="0" w:line="246"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88" w:lineRule="exact"/>
        <w:rPr>
          <w:rFonts w:ascii="Arial" w:cs="Arial" w:eastAsia="Arial" w:hAnsi="Arial"/>
          <w:sz w:val="18"/>
          <w:szCs w:val="18"/>
          <w:color w:val="auto"/>
        </w:rPr>
      </w:pPr>
    </w:p>
    <w:p>
      <w:pPr>
        <w:ind w:left="280" w:right="1160" w:hanging="272"/>
        <w:spacing w:after="0" w:line="246"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8" w:name="page39"/>
    <w:bookmarkEnd w:id="38"/>
    <w:p>
      <w:pPr>
        <w:ind w:left="280" w:right="680" w:hanging="272"/>
        <w:spacing w:after="0" w:line="245" w:lineRule="auto"/>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9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 In addition, even if we or our collaborators were to obtain approval, regulatory authorities may approve any of our product candidates for fewer or more limited indications than we request, may impose significant limitations in the form of narrow indications, warnings, or a Risk Evaluation and Mitigation Strategy (“REMS”).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8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Clinical development is lengthy and uncertain. We may encounter substantial delays and costs in our clinical trials, or may not be able to conduct or complete our clinical trials on the timelines we expect, if at all.</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time-consuming and subject to uncertainty. A failure of one or more clinical trials can occur at any stage of the process, and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To date, we have not completed any late-stage or pivotal clinical trials for any of our product candidates. We cannot guarantee that any of our planned or ongoing clinical trials will be initiated or conducted as planned or completed on schedule, if at all. We also cannot be sure that submission of any future IND or similar application will result in the FDA or other regulatory authority, as applicable, allowing future clinical trials to begin in a timely manner, if at all. Moreover, even if these trials begin, issues may arise that could cause regulatory authorities to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96"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inability to generate sufficient preclinical, toxicology, or other in vivo or in vitro data to support the initiation or continuation of clinical trials;</w:t>
      </w:r>
    </w:p>
    <w:p>
      <w:pPr>
        <w:spacing w:after="0" w:line="128" w:lineRule="exact"/>
        <w:rPr>
          <w:rFonts w:ascii="Arial" w:cs="Arial" w:eastAsia="Arial" w:hAnsi="Arial"/>
          <w:sz w:val="17"/>
          <w:szCs w:val="17"/>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study design or implementation of the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failure in obtaining regulatory authorization to commence a trial;</w:t>
      </w:r>
    </w:p>
    <w:p>
      <w:pPr>
        <w:spacing w:after="0" w:line="117" w:lineRule="exact"/>
        <w:rPr>
          <w:rFonts w:ascii="Arial" w:cs="Arial" w:eastAsia="Arial" w:hAnsi="Arial"/>
          <w:sz w:val="18"/>
          <w:szCs w:val="18"/>
          <w:color w:val="auto"/>
        </w:rPr>
      </w:pPr>
    </w:p>
    <w:p>
      <w:pPr>
        <w:ind w:left="280" w:right="320" w:hanging="272"/>
        <w:spacing w:after="0" w:line="246"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CROs and clinical trial sites;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(“IRB”) or ethics committee, approval at each clinical trial site;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117" w:lineRule="exact"/>
        <w:rPr>
          <w:rFonts w:ascii="Arial" w:cs="Arial" w:eastAsia="Arial" w:hAnsi="Arial"/>
          <w:sz w:val="18"/>
          <w:szCs w:val="18"/>
          <w:color w:val="auto"/>
        </w:rPr>
      </w:pPr>
    </w:p>
    <w:p>
      <w:pPr>
        <w:ind w:left="280" w:right="100" w:hanging="272"/>
        <w:spacing w:after="0" w:line="246"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88" w:lineRule="exact"/>
        <w:rPr>
          <w:rFonts w:ascii="Arial" w:cs="Arial" w:eastAsia="Arial" w:hAnsi="Arial"/>
          <w:sz w:val="18"/>
          <w:szCs w:val="18"/>
          <w:color w:val="auto"/>
        </w:rPr>
      </w:pPr>
    </w:p>
    <w:p>
      <w:pPr>
        <w:ind w:left="280" w:right="640" w:hanging="272"/>
        <w:spacing w:after="0" w:line="246"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88" w:lineRule="exact"/>
        <w:rPr>
          <w:rFonts w:ascii="Arial" w:cs="Arial" w:eastAsia="Arial" w:hAnsi="Arial"/>
          <w:sz w:val="18"/>
          <w:szCs w:val="18"/>
          <w:color w:val="auto"/>
        </w:rPr>
      </w:pPr>
    </w:p>
    <w:p>
      <w:pPr>
        <w:jc w:val="both"/>
        <w:ind w:left="280" w:right="2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 for a number of reasons, including after review of an IND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9" w:name="page40"/>
    <w:bookmarkEnd w:id="39"/>
    <w:p>
      <w:pPr>
        <w:jc w:val="both"/>
        <w:ind w:left="280" w:right="32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93" w:lineRule="exact"/>
        <w:rPr>
          <w:rFonts w:ascii="Arial" w:cs="Arial" w:eastAsia="Arial" w:hAnsi="Arial"/>
          <w:sz w:val="18"/>
          <w:szCs w:val="18"/>
          <w:color w:val="auto"/>
        </w:rPr>
      </w:pPr>
    </w:p>
    <w:p>
      <w:pPr>
        <w:ind w:left="280" w:right="220" w:hanging="272"/>
        <w:spacing w:after="0" w:line="246"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recruiting, screening and enrolling patients and delays caused by patients withdrawing from clinical trials or failing to return for post-treatment follow-up, including due to the COVID-19 pandemic;</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280" w:right="340" w:hanging="272"/>
        <w:spacing w:after="0" w:line="246"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 failure to perform in accordance with the FDA’s or any other regulatory authority’s good clinical practice requirements (“GCPs”), or applicable regulatory guidelines in other countries;</w:t>
      </w:r>
    </w:p>
    <w:p>
      <w:pPr>
        <w:spacing w:after="0" w:line="88" w:lineRule="exact"/>
        <w:rPr>
          <w:rFonts w:ascii="Arial" w:cs="Arial" w:eastAsia="Arial" w:hAnsi="Arial"/>
          <w:sz w:val="18"/>
          <w:szCs w:val="18"/>
          <w:color w:val="auto"/>
        </w:rPr>
      </w:pPr>
    </w:p>
    <w:p>
      <w:pPr>
        <w:ind w:left="280" w:right="260" w:hanging="272"/>
        <w:spacing w:after="0" w:line="246"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the clinical trial protocols;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280" w:hanging="272"/>
        <w:spacing w:after="0" w:line="246"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88" w:lineRule="exact"/>
        <w:rPr>
          <w:rFonts w:ascii="Arial" w:cs="Arial" w:eastAsia="Arial" w:hAnsi="Arial"/>
          <w:sz w:val="18"/>
          <w:szCs w:val="18"/>
          <w:color w:val="auto"/>
        </w:rPr>
      </w:pPr>
    </w:p>
    <w:p>
      <w:pPr>
        <w:ind w:left="280" w:right="340" w:hanging="272"/>
        <w:spacing w:after="0" w:line="246"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CMO and delays or failure by our CMOs or us to make any necessary changes to such manufacturing process;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17"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difficulties or delays in initiating, enrolling, conducting or completing our planned and ongoing clinical trials. For example, due to the COVID-19 pandemic, our Phase 1/2a clinical trial of AT-787 for the treatment of HCV was paused until our clinical sites are able to re-open and we elect to resume enrollment, which has not yet occurred.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any approved products have patent protection and may allow our competitors to bring products to market before we do, which could impair our ability to successfully commercialize our product candidates and may seriously harm our business.</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(“DSMB”), for such trial, or by the FDA or any other regulatory authority, or if the IRBs or ethics committees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 conducting clinical trials in foreign countries, as we are doing for our COVID-19 and dengue product candidates, and as we expect to resume for our HCV product candidate, presents additional risks that may delay completion of our clinical trials. These risks include the failure of enrolled patients in foreign countries to adhere to clinical protocol as a result of differences in healthcare services or cultural customs, managing additional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administrative burdens associated with foreign regulatory schemes, as well as political and economic risks relevant to such foreign countries.</w:t>
      </w:r>
    </w:p>
    <w:p>
      <w:pPr>
        <w:spacing w:after="0" w:line="10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0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bring products to market before we do, which could significantly reduce the commercial viability of our product candidates. Any of these occurrences may harm our business, financial condition and prospects significantly.</w:t>
      </w:r>
    </w:p>
    <w:p>
      <w:pPr>
        <w:spacing w:after="0" w:line="181"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b w:val="1"/>
          <w:bCs w:val="1"/>
          <w:i w:val="1"/>
          <w:iCs w:val="1"/>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Adverse events or other undesirable side effects caused by our product candidates could cause us, our collaborators, any DSMB for a trial, or regulatory authorities to interrupt, delay or halt clinical trials and could result in a more restrictive label or the delay or denial of regulatory approval by the FDA or other comparable foreign regulatory authorities.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candidates or products for any or all targeted indications. If we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99" w:lineRule="exact"/>
        <w:rPr>
          <w:sz w:val="20"/>
          <w:szCs w:val="20"/>
          <w:color w:val="auto"/>
        </w:rPr>
      </w:pPr>
    </w:p>
    <w:p>
      <w:pPr>
        <w:ind w:left="280" w:right="780" w:hanging="272"/>
        <w:spacing w:after="0" w:line="246"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88" w:lineRule="exact"/>
        <w:rPr>
          <w:rFonts w:ascii="Arial" w:cs="Arial" w:eastAsia="Arial" w:hAnsi="Arial"/>
          <w:sz w:val="18"/>
          <w:szCs w:val="18"/>
          <w:color w:val="auto"/>
        </w:rPr>
      </w:pPr>
    </w:p>
    <w:p>
      <w:pPr>
        <w:ind w:left="280" w:right="300" w:hanging="272"/>
        <w:spacing w:after="0" w:line="274" w:lineRule="auto"/>
        <w:tabs>
          <w:tab w:leader="none" w:pos="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66" w:lineRule="exact"/>
        <w:rPr>
          <w:rFonts w:ascii="Arial" w:cs="Arial" w:eastAsia="Arial" w:hAnsi="Arial"/>
          <w:sz w:val="17"/>
          <w:szCs w:val="17"/>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1" w:name="page42"/>
    <w:bookmarkEnd w:id="41"/>
    <w:p>
      <w:pPr>
        <w:ind w:left="280" w:right="340" w:hanging="272"/>
        <w:spacing w:after="0" w:line="245" w:lineRule="auto"/>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REMS which could include a medication guide outlining the risks of such side effects for distribution to patients;</w:t>
      </w:r>
    </w:p>
    <w:p>
      <w:pPr>
        <w:spacing w:after="0" w:line="89" w:lineRule="exact"/>
        <w:rPr>
          <w:rFonts w:ascii="Arial" w:cs="Arial" w:eastAsia="Arial" w:hAnsi="Arial"/>
          <w:sz w:val="18"/>
          <w:szCs w:val="18"/>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future product candidates in combination with other therapies, which exposes us to additional risks.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may develop future product candidates in combination with other product candidates or existing therapies. Even if any product candidate we develop was to receive marketing approval or be commercialized for use in combination with other existing therapies, we would continue to be subject to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in antiviral treatments, and we would be subject to similar risks if we develop any of our product candidates for use in combination with other drugs or for indications other than currently anticipated. This could result in our own products being removed from the market or being less successful commercially.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may also evaluate our product candidates in combination with one or more other therapies that have not yet been approved for marketing by the FDA or similar foreign regulatory authorities. We will not be able to market and sell the product candidates we develop in combination with any such unapproved therapies that do not ultimately obtain marketing approval.</w:t>
      </w:r>
    </w:p>
    <w:p>
      <w:pPr>
        <w:spacing w:after="0" w:line="9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If the FDA or similar foreign regulatory authorities do not approve these other drugs or revoke their approval of, or if safety, efficacy, manufacturing, or supply issues arise with, the drugs we choose to evaluate in combination with our product candidates, we may be unable to obtain approval of or market the product candidates we develop.</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6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95"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the target disease population;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280" w:right="340" w:hanging="272"/>
        <w:spacing w:after="0" w:line="246"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trial completion; and</w:t>
      </w:r>
    </w:p>
    <w:p>
      <w:pPr>
        <w:spacing w:after="0" w:line="117" w:lineRule="exact"/>
        <w:rPr>
          <w:rFonts w:ascii="Arial" w:cs="Arial" w:eastAsia="Arial" w:hAnsi="Arial"/>
          <w:sz w:val="18"/>
          <w:szCs w:val="18"/>
          <w:color w:val="auto"/>
        </w:rPr>
      </w:pPr>
    </w:p>
    <w:p>
      <w:pPr>
        <w:ind w:left="280" w:right="460" w:hanging="272"/>
        <w:spacing w:after="0" w:line="246"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outside of our control, such as the COVID-19 pandemic which has, among other things, created substantial burdens on healthcare providers who may be required to prioritize immediate critical patient care over clinical research.</w:t>
      </w:r>
    </w:p>
    <w:p>
      <w:pPr>
        <w:spacing w:after="0" w:line="8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For example, due to the COVID-19 pandemic, our Phase 1/2a trial of AT-787 for the treatment of HCV was paused until our clinical sites are able to re-open and we elect to resume enrollment, which has not yet occurred.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line="238"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or similar areas,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w:t>
      </w:r>
    </w:p>
    <w:p>
      <w:pPr>
        <w:spacing w:after="0" w:line="9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Delays in patient enrollment may result in increased costs or may affect the timing or outcome of our ongoing and planned clinical trials, which could prevent completion or commencement of these trials and adversely affect our ability to advance the development of our product candidates.</w:t>
      </w:r>
    </w:p>
    <w:p>
      <w:pPr>
        <w:spacing w:after="0" w:line="18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currently conduct, and may in the future choose to conduct, clinical trials outside the United States for our product candidates. Although the FDA may accept data from clinical trials conducted outside the United States, acceptance of this data is subject to certain conditions imposed by the FDA. Where data from foreign clinical trials are intended to serve as the sole basis for marketing approval in the United States, the FDA will not approve the application on the basis of foreign data alone unless those data are applicable to the U.S. population and U.S. medical practice,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clinical trials that are conducted only at sites outside of the United States and not subject to an IND, the FDA requires the clinical trial to have been conducted in accordance with GCPs, and the FDA must be able to validate the data from the clinical trial through an on-site inspection if it deems such inspection necessary. For such trials not subject to an IND, the FDA generally does not provide advance comment on the clinical protocols for the trials, and therefore there is an additional potential risk that the FDA could determine that the trial design or protocol for a non-U.S. clinical trial was inadequate, which could require us to conduct additional clinical trial. There can be no assurance the FDA will accept data from trials conducted outside of the United States. If the FDA does not accept the data from our clinical trials of our product candidates, it would likely result in the need for additional trials, which would be costly and time-consuming and delay or permanently halt our development of our product candidates.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United States, such as:</w:t>
      </w:r>
    </w:p>
    <w:p>
      <w:pPr>
        <w:spacing w:after="0" w:line="104" w:lineRule="exact"/>
        <w:rPr>
          <w:sz w:val="20"/>
          <w:szCs w:val="20"/>
          <w:color w:val="auto"/>
        </w:rPr>
      </w:pPr>
    </w:p>
    <w:p>
      <w:pPr>
        <w:ind w:left="280" w:right="180" w:hanging="272"/>
        <w:spacing w:after="0" w:line="246"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280" w:right="300" w:hanging="272"/>
        <w:spacing w:after="0" w:line="246"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w:t>
      </w:r>
    </w:p>
    <w:p>
      <w:pPr>
        <w:spacing w:after="0" w:line="234" w:lineRule="auto"/>
        <w:rPr>
          <w:sz w:val="20"/>
          <w:szCs w:val="20"/>
          <w:color w:val="auto"/>
        </w:rPr>
      </w:pPr>
      <w:r>
        <w:rPr>
          <w:rFonts w:ascii="Arial" w:cs="Arial" w:eastAsia="Arial" w:hAnsi="Arial"/>
          <w:sz w:val="18"/>
          <w:szCs w:val="18"/>
          <w:color w:val="auto"/>
        </w:rPr>
        <w:t>preliminary analysis of then-available data, and the results and related findings and conclusions are subject to change following a more</w:t>
      </w:r>
    </w:p>
    <w:p>
      <w:pPr>
        <w:spacing w:after="0" w:line="235" w:lineRule="auto"/>
        <w:rPr>
          <w:sz w:val="20"/>
          <w:szCs w:val="20"/>
          <w:color w:val="auto"/>
        </w:rPr>
      </w:pPr>
      <w:r>
        <w:rPr>
          <w:rFonts w:ascii="Arial" w:cs="Arial" w:eastAsia="Arial" w:hAnsi="Arial"/>
          <w:sz w:val="18"/>
          <w:szCs w:val="18"/>
          <w:color w:val="auto"/>
        </w:rPr>
        <w:t>comprehensive review of the data related to the particular study or trial. We also make assumptions, estimations, calculations and</w:t>
      </w:r>
    </w:p>
    <w:p>
      <w:pPr>
        <w:spacing w:after="0" w:line="235" w:lineRule="auto"/>
        <w:rPr>
          <w:sz w:val="20"/>
          <w:szCs w:val="20"/>
          <w:color w:val="auto"/>
        </w:rPr>
      </w:pPr>
      <w:r>
        <w:rPr>
          <w:rFonts w:ascii="Arial" w:cs="Arial" w:eastAsia="Arial" w:hAnsi="Arial"/>
          <w:sz w:val="18"/>
          <w:szCs w:val="18"/>
          <w:color w:val="auto"/>
        </w:rPr>
        <w:t>conclusions as part of our analyses of data, and we may not have received or had the opportunity to fully and carefully evaluate all</w:t>
      </w:r>
    </w:p>
    <w:p>
      <w:pPr>
        <w:spacing w:after="0" w:line="235" w:lineRule="auto"/>
        <w:rPr>
          <w:sz w:val="20"/>
          <w:szCs w:val="20"/>
          <w:color w:val="auto"/>
        </w:rPr>
      </w:pPr>
      <w:r>
        <w:rPr>
          <w:rFonts w:ascii="Arial" w:cs="Arial" w:eastAsia="Arial" w:hAnsi="Arial"/>
          <w:sz w:val="18"/>
          <w:szCs w:val="18"/>
          <w:color w:val="auto"/>
        </w:rPr>
        <w:t>data. Consequently, the top-line or preliminary data that we report may differ from final results reported from the same studies, or different</w:t>
      </w:r>
    </w:p>
    <w:p>
      <w:pPr>
        <w:spacing w:after="0"/>
        <w:rPr>
          <w:sz w:val="20"/>
          <w:szCs w:val="20"/>
          <w:color w:val="auto"/>
        </w:rPr>
      </w:pPr>
      <w:r>
        <w:rPr>
          <w:rFonts w:ascii="Arial" w:cs="Arial" w:eastAsia="Arial" w:hAnsi="Arial"/>
          <w:sz w:val="17"/>
          <w:szCs w:val="17"/>
          <w:color w:val="auto"/>
        </w:rPr>
        <w:t>conclusions or considerations may qualify such preliminary or topline data, once additional data have been received and fully evaluated. Top-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line data also remain subject to audit and verification procedures that may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3" w:name="page44"/>
    <w:bookmarkEnd w:id="43"/>
    <w:p>
      <w:pPr>
        <w:ind w:right="500"/>
        <w:spacing w:after="0" w:line="246" w:lineRule="auto"/>
        <w:rPr>
          <w:sz w:val="20"/>
          <w:szCs w:val="20"/>
          <w:color w:val="auto"/>
        </w:rPr>
      </w:pPr>
      <w:r>
        <w:rPr>
          <w:rFonts w:ascii="Arial" w:cs="Arial" w:eastAsia="Arial" w:hAnsi="Arial"/>
          <w:sz w:val="18"/>
          <w:szCs w:val="18"/>
          <w:color w:val="auto"/>
        </w:rPr>
        <w:t>result in the final results being materially different from the preliminary or topline data we previously published. As a result, top-line data should be viewed with caution until the final data are available.</w:t>
      </w:r>
    </w:p>
    <w:p>
      <w:pPr>
        <w:spacing w:after="0" w:line="8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From time to time, as we did in June 2021 with regard to our Phase 2 trial of AT-527 in hospitalized patients, we may also disclose interim data from our preclinical studies and clinical trials. Interim data from clinical trials that we may subsequently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results could significantly harm our business prospects. Further, disclosure of interim data by us or by our competitors could result in volatility in the price of our common stock.</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successfully develop additional product candidates.</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Part of our strategy involves identifying novel product candidates. The process by which we identify novel product candidates may fail to yield product candidates for clinical development for a number of reasons, including those discussed in these risk factors and also:</w:t>
      </w:r>
    </w:p>
    <w:p>
      <w:pPr>
        <w:spacing w:after="0" w:line="89"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potential product candidates obsolete or less attractive;</w:t>
      </w:r>
    </w:p>
    <w:p>
      <w:pPr>
        <w:spacing w:after="0" w:line="117" w:lineRule="exact"/>
        <w:rPr>
          <w:rFonts w:ascii="Arial" w:cs="Arial" w:eastAsia="Arial" w:hAnsi="Arial"/>
          <w:sz w:val="18"/>
          <w:szCs w:val="18"/>
          <w:color w:val="auto"/>
        </w:rPr>
      </w:pPr>
    </w:p>
    <w:p>
      <w:pPr>
        <w:ind w:left="280" w:right="240" w:hanging="272"/>
        <w:spacing w:after="0" w:line="246"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we develop may nevertheless be covered by third-parties’ patent or other intellectual property or exclusive rights;</w:t>
      </w:r>
    </w:p>
    <w:p>
      <w:pPr>
        <w:spacing w:after="0" w:line="88" w:lineRule="exact"/>
        <w:rPr>
          <w:rFonts w:ascii="Arial" w:cs="Arial" w:eastAsia="Arial" w:hAnsi="Arial"/>
          <w:sz w:val="18"/>
          <w:szCs w:val="18"/>
          <w:color w:val="auto"/>
        </w:rPr>
      </w:pPr>
    </w:p>
    <w:p>
      <w:pPr>
        <w:ind w:left="280" w:right="200" w:hanging="272"/>
        <w:spacing w:after="0" w:line="246"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toxicities or other characteristics that indicate that they are unlikely to be products that will receive marketing approval or achieve market acceptance, if approved;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 symptoms;</w:t>
      </w:r>
    </w:p>
    <w:p>
      <w:pPr>
        <w:spacing w:after="0" w:line="117" w:lineRule="exact"/>
        <w:rPr>
          <w:rFonts w:ascii="Arial" w:cs="Arial" w:eastAsia="Arial" w:hAnsi="Arial"/>
          <w:sz w:val="18"/>
          <w:szCs w:val="18"/>
          <w:color w:val="auto"/>
        </w:rPr>
      </w:pPr>
    </w:p>
    <w:p>
      <w:pPr>
        <w:ind w:left="280" w:right="640" w:hanging="272"/>
        <w:spacing w:after="0" w:line="246"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for a potential product candidate may change so that the continued development of that product candidate is no longer reasonable;</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in commercial quantities at an acceptable cost, or at all; or</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regulatory pathway for a potential product candidate is highly complex and difficult to navigate successfully or economically.</w:t>
      </w:r>
    </w:p>
    <w:p>
      <w:pPr>
        <w:spacing w:after="0" w:line="11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If we are unable to identify and successfully commercialize additional suitable product candidates, this would adversely impact our business strategy and our financial position.</w:t>
      </w:r>
    </w:p>
    <w:p>
      <w:pPr>
        <w:spacing w:after="0" w:line="175"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may focus on potential product candidates that may prove to be unsuccessful and we may have to forego opportunities to develop other product candidates that may prove to be more successful.</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may choose to focus our efforts and resources on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w:t>
      </w:r>
    </w:p>
    <w:p>
      <w:pPr>
        <w:spacing w:after="0" w:line="97"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Furthermore, we have limited financial and personnel resources and are placing significant focus on the development of our lead product candidates, particularly AT-527, and as such, we may forgo or delay pursuit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4" w:name="page45"/>
    <w:bookmarkEnd w:id="44"/>
    <w:p>
      <w:pPr>
        <w:ind w:right="20"/>
        <w:spacing w:after="0" w:line="237" w:lineRule="auto"/>
        <w:rPr>
          <w:sz w:val="20"/>
          <w:szCs w:val="20"/>
          <w:color w:val="auto"/>
        </w:rPr>
      </w:pPr>
      <w:r>
        <w:rPr>
          <w:rFonts w:ascii="Arial" w:cs="Arial" w:eastAsia="Arial" w:hAnsi="Arial"/>
          <w:sz w:val="18"/>
          <w:szCs w:val="18"/>
          <w:color w:val="auto"/>
        </w:rPr>
        <w:t>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future product candidate, we may relinquish valuable rights to those future product candidates through collaboration, licensing or other royalty arrangements in cases in which it would have been more advantageous for us to retain sole development and commercialization rights to such future product candidates.</w:t>
      </w:r>
    </w:p>
    <w:p>
      <w:pPr>
        <w:spacing w:after="0" w:line="181"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seek a Breakthrough Therapy designation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clinical development. Drugs designated as Breakthrough Therapies by the FDA may also be eligible for priority review, if the relevant criteria are met.</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review procedures and does not assure ultimate approval by the FDA. In addition, even if one or more of our product candidates qualify as breakthrough therapies, the FDA may later decide that the product no longer meets the conditions for qualification or decide that the time period for FDA review or approval will not be shortened.</w:t>
      </w:r>
    </w:p>
    <w:p>
      <w:pPr>
        <w:spacing w:after="0" w:line="18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We may attempt to secure FDA approval of certain product candidates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developing certain product candidates for the treatment of serious and life-threatening conditions, including AT-527 for the treatment of COVID-19, and therefore may decide to seek approval of such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the sponsor fails to conduct such studies in a timely manner, or if such post-approval studies fail to verify the drug’s predicted clinical benefit, the FDA may withdraw its approval of the drug on an expedited basis.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5" w:name="page46"/>
    <w:bookmarkEnd w:id="45"/>
    <w:p>
      <w:pPr>
        <w:spacing w:after="0" w:line="238" w:lineRule="auto"/>
        <w:rPr>
          <w:sz w:val="20"/>
          <w:szCs w:val="20"/>
          <w:color w:val="auto"/>
        </w:rPr>
      </w:pPr>
      <w:r>
        <w:rPr>
          <w:rFonts w:ascii="Arial" w:cs="Arial" w:eastAsia="Arial" w:hAnsi="Arial"/>
          <w:sz w:val="18"/>
          <w:szCs w:val="18"/>
          <w:color w:val="auto"/>
        </w:rPr>
        <w:t>If we decide to submit an NDA seeking accelerated approval or receive an expedited regulatory designation for our product candidates, there can be no assurance that such submission or application will be accepted or that any expedited development, review or approval will be granted on a timely basis, or at all. Failure to obtain accelerated approval or any other form of expedited development, review or approval for a product candidate would result in a longer time period to commercialization of such product candidate, if any, and could increase the cost of development of such product candidate, which could harm our competitive position in the marketplace.</w:t>
      </w:r>
    </w:p>
    <w:p>
      <w:pPr>
        <w:spacing w:after="0" w:line="180"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w:t>
      </w:r>
    </w:p>
    <w:p>
      <w:pPr>
        <w:spacing w:after="0" w:line="8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Any product candidates we develop may not be effective, may be only moderately effective, or may prove to have undesirable or unintended side effects, toxicities or other characteristics that may preclude our obtaining marketing approval or prevent or limit commercial use. Failure to obtain marketing approval for a product candidate will prevent us from commercializing the product candidate in a given jurisdiction. Our development programs are early-stage and we have not received approval to market any product candidates from regulatory authorities in any jurisdiction. It is possible that none of the product candidates we are developing or that we may seek to develop in the future will ever obtain regulatory approval. We have no experience in filing and supporting the applications necessary to gain marketing approvals and expect to rely on third-party CROs, suppliers, vendors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numerous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99"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If we experience delays in obtaining approval or if we fail to obtain approval of any product candidates we may develop, the commercial prospects for those product candidates may be harmed, and our ability to generate product revenue will be materially impaired.</w:t>
      </w:r>
    </w:p>
    <w:p>
      <w:pPr>
        <w:spacing w:after="0" w:line="15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time-consuming. Regulatory requirements 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6" w:name="page47"/>
    <w:bookmarkEnd w:id="46"/>
    <w:p>
      <w:pPr>
        <w:ind w:right="40"/>
        <w:spacing w:after="0"/>
        <w:rPr>
          <w:sz w:val="20"/>
          <w:szCs w:val="20"/>
          <w:color w:val="auto"/>
        </w:rPr>
      </w:pPr>
      <w:r>
        <w:rPr>
          <w:rFonts w:ascii="Arial" w:cs="Arial" w:eastAsia="Arial" w:hAnsi="Arial"/>
          <w:sz w:val="18"/>
          <w:szCs w:val="18"/>
          <w:color w:val="auto"/>
        </w:rPr>
        <w:t>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8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6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antiviral products are well established in the medical community for the treatment of HCV,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w:t>
      </w:r>
    </w:p>
    <w:p>
      <w:pPr>
        <w:spacing w:after="0" w:line="97"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280" w:hanging="272"/>
        <w:spacing w:after="0" w:line="246" w:lineRule="auto"/>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0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ability of the FDA to review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47" w:name="page48"/>
    <w:bookmarkEnd w:id="47"/>
    <w:p>
      <w:pPr>
        <w:spacing w:after="0" w:line="237" w:lineRule="auto"/>
        <w:rPr>
          <w:sz w:val="20"/>
          <w:szCs w:val="20"/>
          <w:color w:val="auto"/>
        </w:rPr>
      </w:pPr>
      <w:r>
        <w:rPr>
          <w:rFonts w:ascii="Arial" w:cs="Arial" w:eastAsia="Arial" w:hAnsi="Arial"/>
          <w:sz w:val="18"/>
          <w:szCs w:val="18"/>
          <w:color w:val="auto"/>
        </w:rPr>
        <w:t>mission-critical, or where direct inspection is otherwise limited by travel restrictions, but where the FDA determines that remote evaluation would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3"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spacing w:after="0" w:line="68"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Though we have insurance coverage for clinical trial product liability, we do not carry insurance for all categories of risk that our business may encounter. Some of the policies we currently maintain include general liability, property, auto, workers’ compensation, umbrella, and directors’ and officers’ insurance.</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stock price to decline and, if judgments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9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Operating as a public company has and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and cash equivalents position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deficiencies or intrusions.</w:t>
      </w:r>
    </w:p>
    <w:p>
      <w:pPr>
        <w:spacing w:after="0" w:line="12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Our computer systems, as well as those of our CROs and other contractors and consultants, are vulnerable to failure or damage from computer viruses and other malware, unauthorized access or other cybersecurity attacks, natural disasters (including hurricanes), terrorism, war, fire and telecommunication or electrical failures. In the ordinary course of our business, we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The risk of a security breach or disruption, particularly through cyber-attacks or cyber intrusion, including by computer hackers, foreign governments, and cyber terrorists, has generally increased as the number, level of persistence, intensity and sophistication of attempted attacks and intrusions from around the world have increased. As a result of the COVID-19 pandemic, we may also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nor may we be able to implement preventive measures effective against all such security threats.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Because of this, we may also experience security breaches that may remain undetected for an extended period. We cannot assure you that our data protection efforts and our investment in information technology will prevent significant breakdowns, data leakages or breaches in our systems or those of our CROs and other contractors and consultants.</w:t>
      </w:r>
    </w:p>
    <w:p>
      <w:pPr>
        <w:spacing w:after="0" w:line="1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such an event were to occur and cause interruptions in our operations, it could result in a material disruption of our product candidate development programs. For example, the loss of preclinical studies or clinical trial data from completed, ongoing or planned studies or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 Although, to our knowledge, we have not experienced any such material security breach to date, any such breach could compromise our networks and the information stored there could be accessed, publicly disclosed, lost or stolen.</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extensive and costly government regulation.</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product candidates will be subject to extensive and rigorous domestic government regulation, including regulation by the FDA, the Centers for Medicare &amp; Medicaid Services (“CMS”), other divisions of the U.S. Department of Health and Human Services, the U.S. Department of Justice, state and local governments, and their respective equivalents outside of the United States. The FDA regulates the research, development, preclinical and clinical testing, manufacture, safety, effectiveness, record-keeping, reporting, labeling, packaging, storage, approval, advertising, promotion, sale, distribution, import and export of pharmaceutical products. If our products are marketed abroad, they will also be subject to extensive regulation by foreign governments, whether or not they have obtained FDA approval for a given product and its uses. Such foreign regulation may be equally or more demanding than corresponding United States regulation.</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must obtain and maintain regulatory authorization to conduct preclinical studies and clinical trials. We must obtain regulatory approval for each product we intend to market, and the manufacturing facilities used for the products must be inspected and meet legal requirements. Securing regulatory approval requires the submission of extensive preclinical and clinical data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right="40"/>
        <w:spacing w:after="0"/>
        <w:rPr>
          <w:sz w:val="20"/>
          <w:szCs w:val="20"/>
          <w:color w:val="auto"/>
        </w:rPr>
      </w:pPr>
      <w:r>
        <w:rPr>
          <w:rFonts w:ascii="Arial" w:cs="Arial" w:eastAsia="Arial" w:hAnsi="Arial"/>
          <w:sz w:val="18"/>
          <w:szCs w:val="18"/>
          <w:color w:val="auto"/>
        </w:rPr>
        <w:t>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w:t>
      </w:r>
    </w:p>
    <w:p>
      <w:pPr>
        <w:spacing w:after="0" w:line="9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obtained, any approvals may be withdrawn, including, for example, if there is a later discovery of previously unknown problems with the product, such as a previously unknown safety issue.</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we, our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w:t>
      </w:r>
    </w:p>
    <w:p>
      <w:pPr>
        <w:spacing w:after="0" w:line="18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and policies may increase the difficulty and cost for us to obtain marketing approval of and commercialize our product candidates and could adversely affect our business.</w:t>
      </w:r>
    </w:p>
    <w:p>
      <w:pPr>
        <w:spacing w:after="0" w:line="6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 the United States, the EU and other jurisdictions, there have been, and we expect there will continue to be, a number of legislative and regulatory changes and proposed changes to the healthcare system that could prevent or delay marketing approval of our products in development, restrict or regulate post-approval activities involving any product candidates for which we obtain marketing approval, impact pricing and reimbursement and impact our ability to sell any such products profitably. In particular, there have been and continue to be a number of initiatives at the U.S. federal and state levels that seek to reduce healthcare costs and improve the quality of healthcare. In addition, new regulations and interpretations of existing healthcare statutes and regulations are frequently adopted.</w:t>
      </w:r>
    </w:p>
    <w:p>
      <w:pPr>
        <w:spacing w:after="0" w:line="9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March 2010, the Patient Protection and Affordable Care Act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95" w:lineRule="exact"/>
        <w:rPr>
          <w:sz w:val="20"/>
          <w:szCs w:val="20"/>
          <w:color w:val="auto"/>
        </w:rPr>
      </w:pPr>
    </w:p>
    <w:p>
      <w:pPr>
        <w:ind w:left="280" w:right="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94" w:lineRule="exact"/>
        <w:rPr>
          <w:rFonts w:ascii="Arial" w:cs="Arial" w:eastAsia="Arial" w:hAnsi="Arial"/>
          <w:sz w:val="18"/>
          <w:szCs w:val="18"/>
          <w:color w:val="auto"/>
        </w:rPr>
      </w:pPr>
    </w:p>
    <w:p>
      <w:pPr>
        <w:jc w:val="both"/>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94" w:lineRule="exact"/>
        <w:rPr>
          <w:rFonts w:ascii="Arial" w:cs="Arial" w:eastAsia="Arial" w:hAnsi="Arial"/>
          <w:sz w:val="18"/>
          <w:szCs w:val="18"/>
          <w:color w:val="auto"/>
        </w:rPr>
      </w:pPr>
    </w:p>
    <w:p>
      <w:pPr>
        <w:ind w:left="280" w:right="40" w:hanging="272"/>
        <w:spacing w:after="0" w:line="246"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88" w:lineRule="exact"/>
        <w:rPr>
          <w:rFonts w:ascii="Arial" w:cs="Arial" w:eastAsia="Arial" w:hAnsi="Arial"/>
          <w:sz w:val="18"/>
          <w:szCs w:val="18"/>
          <w:color w:val="auto"/>
        </w:rPr>
      </w:pPr>
    </w:p>
    <w:p>
      <w:pPr>
        <w:ind w:left="280" w:right="60" w:hanging="272"/>
        <w:spacing w:after="0" w:line="246"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88" w:lineRule="exact"/>
        <w:rPr>
          <w:rFonts w:ascii="Arial" w:cs="Arial" w:eastAsia="Arial" w:hAnsi="Arial"/>
          <w:sz w:val="18"/>
          <w:szCs w:val="18"/>
          <w:color w:val="auto"/>
        </w:rPr>
      </w:pPr>
    </w:p>
    <w:p>
      <w:pPr>
        <w:ind w:left="280" w:right="140" w:hanging="272"/>
        <w:spacing w:after="0" w:line="246"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88" w:lineRule="exact"/>
        <w:rPr>
          <w:rFonts w:ascii="Arial" w:cs="Arial" w:eastAsia="Arial" w:hAnsi="Arial"/>
          <w:sz w:val="18"/>
          <w:szCs w:val="18"/>
          <w:color w:val="auto"/>
        </w:rPr>
      </w:pPr>
    </w:p>
    <w:p>
      <w:pPr>
        <w:ind w:left="280" w:right="32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94" w:lineRule="exact"/>
        <w:rPr>
          <w:rFonts w:ascii="Arial" w:cs="Arial" w:eastAsia="Arial" w:hAnsi="Arial"/>
          <w:sz w:val="18"/>
          <w:szCs w:val="18"/>
          <w:color w:val="auto"/>
        </w:rPr>
      </w:pPr>
    </w:p>
    <w:p>
      <w:pPr>
        <w:ind w:left="280" w:right="380" w:hanging="272"/>
        <w:spacing w:after="0" w:line="246"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50" w:name="page51"/>
    <w:bookmarkEnd w:id="50"/>
    <w:p>
      <w:pPr>
        <w:ind w:left="280" w:right="460" w:hanging="272"/>
        <w:spacing w:after="0" w:line="245"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at CMS to test innovative payment and service delivery models to lower Medicare and Medicaid spending, potentially including prescription drug spending.</w:t>
      </w:r>
    </w:p>
    <w:p>
      <w:pPr>
        <w:spacing w:after="0" w:line="9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Since its enactment, there have been judicial, Congressional and executive challenges to certain aspects of the ACA, and we expect there will be additional challenges and amendments to the ACA in the future. By way of example, in 2017, the Tax Cuts and Jobs Act (“the Tax Act”) was signed into law, which included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the U.S. District Court for the Northern District of Texas ruled that the ACA is unconstitutional in its entirety because the penalty imposed by the individual mandate, which was deemed an integral part of the ACA, was reduced to $0 and effectively nullified by Congress as part of the Tax Act. Additionally, on December 18, 2019, the U.S. Court of Appeals for the Fifth Circuit ruled that the individual mandate was unconstitutional and remanded the case back to the District Court to determine whether the remaining provisions of the ACA are invalid as well. The U.S. Supreme Court held that Texas and other plaintiff states do not have standing to challenge the constitutionality of the Affordable Care Act’s individual mandate. On June 14, 2018, the U.S. Court of Appeals for the Federal Circuit ruled that the federal government was not required to pay more than $12 billion in ACA risk corridor payments to third-party payors who argued that these payments were owed to them. This was appealed to the Supreme Court, who reversed the Federal Circuit’s decision on April 27, 2020, and ruled that the government must make risk corridor payments. It is unclear how other efforts to challenge, repeal or replace the ACA will impact the ACA or our business.</w:t>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included aggregate reductions of Medicare payments to providers of 2% per fiscal year, effective April 1, 2013 which, due to subsequent legislative amendments, will stay in effect through 2030, with the exception of a temporary suspension from May 1, 2020 through December 31, 2021, unless additional congressional action is taken. In addition,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the orphan drug tax credit was reduced as part of a broader tax reform. These new laws or any other similar laws introduced in the future may result in additional reductions in Medicare and other healthcare funding, which could negatively affect our customers and accordingly, our financial operations.</w:t>
      </w:r>
    </w:p>
    <w:p>
      <w:pPr>
        <w:spacing w:after="0" w:line="99"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outcomes-based reimbursement.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jc w:val="both"/>
        <w:ind w:right="280"/>
        <w:spacing w:after="0"/>
        <w:rPr>
          <w:sz w:val="20"/>
          <w:szCs w:val="20"/>
          <w:color w:val="auto"/>
        </w:rPr>
      </w:pPr>
      <w:r>
        <w:rPr>
          <w:rFonts w:ascii="Arial" w:cs="Arial" w:eastAsia="Arial" w:hAnsi="Arial"/>
          <w:sz w:val="18"/>
          <w:szCs w:val="18"/>
          <w:color w:val="auto"/>
        </w:rPr>
        <w:t>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markets outside of the United States and the EU, reimbursement and healthcare payment systems vary significantly by country, and many countries have instituted price ceilings on specific products and therapies.</w:t>
      </w:r>
    </w:p>
    <w:p>
      <w:pPr>
        <w:spacing w:after="0" w:line="8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addition, in the United States, 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8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 and post-marketing requirements.</w:t>
      </w:r>
    </w:p>
    <w:p>
      <w:pPr>
        <w:spacing w:after="0" w:line="6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 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production and quality control.</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81"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of our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52" w:name="page53"/>
    <w:bookmarkEnd w:id="52"/>
    <w:p>
      <w:pPr>
        <w:ind w:right="20"/>
        <w:spacing w:after="0" w:line="23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97" w:lineRule="exact"/>
        <w:rPr>
          <w:sz w:val="20"/>
          <w:szCs w:val="20"/>
          <w:color w:val="auto"/>
        </w:rPr>
      </w:pPr>
    </w:p>
    <w:p>
      <w:pPr>
        <w:ind w:left="280" w:right="40" w:hanging="272"/>
        <w:spacing w:after="0" w:line="237"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 federal Anti-Kickback Statute, which makes it illegal for any person to knowingly and willfully solicit, offer, receive, pay or provide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ind w:left="280" w:hanging="272"/>
        <w:spacing w:after="0" w:line="236"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 federal civil and criminal false claims laws, including the civil False Claims Act (the “FCA”), which prohibit individuals or entities from, among other things, knowingly presenting, or causing to be presented, to the U.S. federal government, claims for payment or approval that are false, fictitious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FCA even when they do not submit claims directly to government payors if they are deemed to “cause” the submission of false or fraudulent claims. The government may deem manufacturers to have “caused” the submission of false or fraudulent claims by, for example, providing inaccurate billing or coding information to customers or promoting a product off-label. Companies that submit claims directly to payors may also be liable under the FCA for the direct submission of such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53" w:name="page54"/>
    <w:bookmarkEnd w:id="53"/>
    <w:p>
      <w:pPr>
        <w:ind w:left="280" w:right="340"/>
        <w:spacing w:after="0" w:line="245" w:lineRule="auto"/>
        <w:rPr>
          <w:sz w:val="20"/>
          <w:szCs w:val="20"/>
          <w:color w:val="auto"/>
        </w:rPr>
      </w:pPr>
      <w:r>
        <w:rPr>
          <w:rFonts w:ascii="Arial" w:cs="Arial" w:eastAsia="Arial" w:hAnsi="Arial"/>
          <w:sz w:val="18"/>
          <w:szCs w:val="18"/>
          <w:color w:val="auto"/>
        </w:rPr>
        <w:t>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90" w:lineRule="exact"/>
        <w:rPr>
          <w:sz w:val="20"/>
          <w:szCs w:val="20"/>
          <w:color w:val="auto"/>
        </w:rPr>
      </w:pPr>
    </w:p>
    <w:p>
      <w:pPr>
        <w:ind w:left="280" w:right="140" w:hanging="272"/>
        <w:spacing w:after="0" w:line="238"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96" w:lineRule="exact"/>
        <w:rPr>
          <w:rFonts w:ascii="Arial" w:cs="Arial" w:eastAsia="Arial" w:hAnsi="Arial"/>
          <w:sz w:val="18"/>
          <w:szCs w:val="18"/>
          <w:color w:val="auto"/>
        </w:rPr>
      </w:pPr>
    </w:p>
    <w:p>
      <w:pPr>
        <w:ind w:left="280" w:right="20" w:hanging="272"/>
        <w:spacing w:after="0" w:line="236"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(“HIPAA”), and its implementing regulations,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does not need to have actual knowledge of the statute or specific intent to violate it in order to have committed a violation;</w:t>
      </w:r>
    </w:p>
    <w:p>
      <w:pPr>
        <w:spacing w:after="0" w:line="99" w:lineRule="exact"/>
        <w:rPr>
          <w:rFonts w:ascii="Arial" w:cs="Arial" w:eastAsia="Arial" w:hAnsi="Arial"/>
          <w:sz w:val="18"/>
          <w:szCs w:val="18"/>
          <w:color w:val="auto"/>
        </w:rPr>
      </w:pPr>
    </w:p>
    <w:p>
      <w:pPr>
        <w:ind w:left="280" w:right="260" w:hanging="272"/>
        <w:spacing w:after="0" w:line="246"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88" w:lineRule="exact"/>
        <w:rPr>
          <w:rFonts w:ascii="Arial" w:cs="Arial" w:eastAsia="Arial" w:hAnsi="Arial"/>
          <w:sz w:val="18"/>
          <w:szCs w:val="18"/>
          <w:color w:val="auto"/>
        </w:rPr>
      </w:pPr>
    </w:p>
    <w:p>
      <w:pPr>
        <w:ind w:left="280" w:hanging="272"/>
        <w:spacing w:after="0" w:line="238"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other healthcare providers starting in 2022, and teaching hospitals, as well as ownership and investment interests held by the physicians described above and their immediate family members;</w:t>
      </w:r>
    </w:p>
    <w:p>
      <w:pPr>
        <w:spacing w:after="0" w:line="94" w:lineRule="exact"/>
        <w:rPr>
          <w:rFonts w:ascii="Arial" w:cs="Arial" w:eastAsia="Arial" w:hAnsi="Arial"/>
          <w:sz w:val="18"/>
          <w:szCs w:val="18"/>
          <w:color w:val="auto"/>
        </w:rPr>
      </w:pPr>
    </w:p>
    <w:p>
      <w:pPr>
        <w:ind w:left="280" w:right="80" w:hanging="272"/>
        <w:spacing w:after="0" w:line="246"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reported prices may be used in the calculation of reimbursement and/or discounts on approved products;</w:t>
      </w:r>
    </w:p>
    <w:p>
      <w:pPr>
        <w:spacing w:after="0" w:line="88" w:lineRule="exact"/>
        <w:rPr>
          <w:rFonts w:ascii="Arial" w:cs="Arial" w:eastAsia="Arial" w:hAnsi="Arial"/>
          <w:sz w:val="18"/>
          <w:szCs w:val="18"/>
          <w:color w:val="auto"/>
        </w:rPr>
      </w:pPr>
    </w:p>
    <w:p>
      <w:pPr>
        <w:ind w:left="280" w:right="80" w:hanging="272"/>
        <w:spacing w:after="0" w:line="246"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8" w:lineRule="exact"/>
        <w:rPr>
          <w:rFonts w:ascii="Arial" w:cs="Arial" w:eastAsia="Arial" w:hAnsi="Arial"/>
          <w:sz w:val="18"/>
          <w:szCs w:val="18"/>
          <w:color w:val="auto"/>
        </w:rPr>
      </w:pPr>
    </w:p>
    <w:p>
      <w:pPr>
        <w:ind w:left="280" w:right="60" w:hanging="272"/>
        <w:spacing w:after="0" w:line="236"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w:t>
      </w:r>
    </w:p>
    <w:p>
      <w:pPr>
        <w:spacing w:after="0" w:line="99" w:lineRule="exact"/>
        <w:rPr>
          <w:rFonts w:ascii="Arial" w:cs="Arial" w:eastAsia="Arial" w:hAnsi="Arial"/>
          <w:sz w:val="18"/>
          <w:szCs w:val="18"/>
          <w:color w:val="auto"/>
        </w:rPr>
      </w:pPr>
    </w:p>
    <w:p>
      <w:pPr>
        <w:ind w:left="280" w:right="200" w:hanging="272"/>
        <w:spacing w:after="0" w:line="246"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8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ind w:right="80"/>
        <w:spacing w:after="0" w:line="237" w:lineRule="auto"/>
        <w:rPr>
          <w:sz w:val="20"/>
          <w:szCs w:val="20"/>
          <w:color w:val="auto"/>
        </w:rPr>
      </w:pPr>
      <w:r>
        <w:rPr>
          <w:rFonts w:ascii="Arial" w:cs="Arial" w:eastAsia="Arial" w:hAnsi="Arial"/>
          <w:sz w:val="18"/>
          <w:szCs w:val="18"/>
          <w:color w:val="auto"/>
        </w:rPr>
        <w:t>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subject to diverse laws and regulations relating to data privacy and security, including, in the United States, HIPAA, and, in the EU, Regulation 2016/679, known as the General Data Protection Regulation (the “GDPR”). New privacy rules are being enacted in the United States and globally, and existing ones are being updated and strengthened. For example, on June 28, 2018, California enacted the California Consumer Privacy Act (the “CCPA”), which took effect on January 1, 2020. The CCPA creates individual privacy rights for California consumers, increases the privacy and security obligations of entities handling certain personal information, requires new disclosures to California individuals and affording such individuals new abilities to opt out of certain sales of personal information, and provides for civil penalties for violations as well as a private right of action for data breaches that is expected to increase data breach litigation.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95"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privacy laws in the EU have been significantly reformed in recent years. On May 25, 2018, the GDPR entered into force and became directly applicable in all EU member states. The GDPR and related implementing laws in individual EU Member States govern the collection and use of personal health data and other personal data in the EU including the personal data processed by companies outside the EU in connection with the offering of goods or services to individuals in the EU or the monitoring of their behavior (including in the context of clinical trials). The GDPR rules are also applicable in the European Economic Area (“EEA”), which consists of the 27 EU Member States plus Norway, Liechtenstein and Iceland.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collecting and processing personal data, requires the appointment of data protection officers when sensitive personal data, such as health data, is processed on a large scale,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The GDPR provides that EU member states may establish their own laws and regulations limiting the processing of personal data, including genetic, biometric or health data, which could limit our ability to use and share personal data or could cause our costs to increase.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5" w:name="page56"/>
    <w:bookmarkEnd w:id="55"/>
    <w:p>
      <w:pPr>
        <w:ind w:right="60"/>
        <w:spacing w:after="0" w:line="236" w:lineRule="auto"/>
        <w:rPr>
          <w:sz w:val="20"/>
          <w:szCs w:val="20"/>
          <w:color w:val="auto"/>
        </w:rPr>
      </w:pPr>
      <w:r>
        <w:rPr>
          <w:rFonts w:ascii="Arial" w:cs="Arial" w:eastAsia="Arial" w:hAnsi="Arial"/>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This and other recent developments are likely to require us to review and amend the legal mechanisms by which we make and/ or receive personal data transfers to and in the United States.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from January 1, 2021, we are subject to the GDPR and also the United Kingdom (“U.K.”) GDPR (“U.K. GDPR”), which, together with the amended U.K. Data Protection Act 2018, retains the GDPR in U.K. national law.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In addition, we may be the subject of litigation and/or adverse publicity, which could adversely affect pour business, results of operations and financial condition.</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cannot assure you that our CROs or other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Most healthcare providers in the US, including research institutions from which we obtain patient health information, are subject to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Even when HIPAA does not apply, according to the Federal Trade Commission (the “FTC”), failing to take appropriate steps to keep consumers’ personal information secure constitutes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9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we may maintain sensitive personally identifiable information, including health information, that we receive throughout the clinical trial process, in the course of our research collaborations. As such, we may be subject to state laws, requiring notification of affected individuals and state regulators in the event of a breach of personal information, which is a broader class of information than the health information protected by HIPAA. Our</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56" w:name="page57"/>
    <w:bookmarkEnd w:id="56"/>
    <w:p>
      <w:pPr>
        <w:ind w:right="580"/>
        <w:spacing w:after="0" w:line="246" w:lineRule="auto"/>
        <w:rPr>
          <w:sz w:val="20"/>
          <w:szCs w:val="20"/>
          <w:color w:val="auto"/>
        </w:rPr>
      </w:pPr>
      <w:r>
        <w:rPr>
          <w:rFonts w:ascii="Arial" w:cs="Arial" w:eastAsia="Arial" w:hAnsi="Arial"/>
          <w:sz w:val="18"/>
          <w:szCs w:val="18"/>
          <w:color w:val="auto"/>
        </w:rPr>
        <w:t>clinical trial programs outside the United States may implicate international data protection laws, including the U.K. GDPR, GDPR and legislation of the EU member states implementing it.</w:t>
      </w:r>
    </w:p>
    <w:p>
      <w:pPr>
        <w:spacing w:after="0" w:line="8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activities outside the United States impose additional compliance requirements and generate additional risks of enforcement for noncompliance. Failure by our CROs and other third-party contractors to comply with the strict rules on the transfer of personal data outside of the EU into the United States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If we or third-party CMOs, CROs or other contractors or consultants fail to comply with applicable federal, state or local regulatory privacy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18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6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employees are increasingly utilizing social media tools as a means of communication both internally and externally.</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applicable laws and regulations, our policies and other legal or contractual requirements, which may give rise to regulatory enforcement action,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1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 or may reduce the size of our markets.</w:t>
      </w:r>
    </w:p>
    <w:p>
      <w:pPr>
        <w:spacing w:after="0" w:line="6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industry has been characterized by extensive research and development efforts, rapid developments in technologies, intense competition and a strong emphasis on proprietary products. We expect our product candidates to face intense and increasing competition as new products enter the relevant markets and advanced technologies become available. We face potential competition from many different sources, including pharmaceutical, biotechnology and specialty pharmaceutical companies. Academic research institutions, governmental agencies and public and private institutions are also potential sources of competitive products and technologies. Our competitors may have or may develop superior technologies or approaches, which may provide them with competitive advantages. Many of these competitors may also have compounds already approved or in development in the therapeutic categories that we are targeting with our product candidates. In addition, many of these competitors, either alone or together with their collaborative partners, may operate larger research and development programs or have substantially greater financial resources than we do, as well as greater experience in:</w:t>
      </w:r>
    </w:p>
    <w:p>
      <w:pPr>
        <w:spacing w:after="0" w:line="99"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NDA approval by the FDA;</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comparable foreign regulatory approvals of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launching, marketing and selling products.</w:t>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these competitors access the marketplace before we do with safer, more effective, or less expensive therapeutics, our product candidates, if approved for commercialization, may not be profitable to sell or worthwhile to continue to develop. Technology in the pharmaceutical industry has undergone rapid and significant change, and we expect that it will continue to do so. Any compounds, products or processes that we develop may become obsolete or uneconomical before we recover any expenses incurred in connection with their development. The success of our product candidates will depend upon 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w:t>
      </w:r>
    </w:p>
    <w:p>
      <w:pPr>
        <w:spacing w:after="0" w:line="10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Significant competition exists from approved treatments or treatments in development for the diseases that we are targeting. Many of the approved drugs are well-established therapies or products and are widely accepted by physicians, patients and third-party payors. There are pharmaceutical and biotechnology companies at various stages of development and approval of treatments for COVID-19 (or vaccines for SARS-CoV-2), HCV, dengue and RSV. There are several vaccines and drugs authorized for emergency use, one vaccine, Comirnaty marketed by Pfizer and BioNTech approved for the prevention of COVID-19, one drug approved for the treatment of certain patients with COVID-19 requiring hospitalization and one oral antiviral approved for emergency use in the United Kingdom for the treatment of COVID-19 in high risk patients not requiring hospitalization. Additionally, several drugs approved for the treatment of HCV, an approved vaccine for dengue and an approved drug for the treatment of RSV. Our product candidates are intended to compete directly or indirectly with existing products and products currently in development. In the case of AT-527 for the treatment of COVID-19, this direct competition may include competition against each of Merck and Pfizer, both of which have recently announced that they will be pursuing emergency use authorization from the FDA for oral direct acting antivirals to be administered in the outpatient setting for the treatment of COVID-19. Even if approved and commercialized, our product candidates may fail to achieve market acceptance with hospitals, physicians or patients. Hospitals, physicians or patients may conclude that our products are less safe or effective or otherwise less attractive than existing drugs. If our product candidates do not receive market acceptance for any reason, our revenue potential would be diminished, which would materially adversely affect our ability to become profitable.</w:t>
      </w:r>
    </w:p>
    <w:p>
      <w:pPr>
        <w:spacing w:after="0" w:line="1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Many of our competitors have substantially greater capital resources, robust product candidate pipelines, established presence in the market and expertise in research and development, manufacturing, preclinical and clinical testing, obtaining regulatory approvals and reimbursement and marketing approved products than we do. As a result, our competitors may achieve product commercialization or patent or other intellectual property protection earlier than we can. Smaller or early-stage companies may also prove to be significant competitors,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ind w:right="100"/>
        <w:spacing w:after="0" w:line="237" w:lineRule="auto"/>
        <w:rPr>
          <w:sz w:val="20"/>
          <w:szCs w:val="20"/>
          <w:color w:val="auto"/>
        </w:rPr>
      </w:pPr>
      <w:r>
        <w:rPr>
          <w:rFonts w:ascii="Arial" w:cs="Arial" w:eastAsia="Arial" w:hAnsi="Arial"/>
          <w:sz w:val="18"/>
          <w:szCs w:val="18"/>
          <w:color w:val="auto"/>
        </w:rPr>
        <w:t>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product revenue.</w:t>
      </w:r>
    </w:p>
    <w:p>
      <w:pPr>
        <w:spacing w:after="0" w:line="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For products administered under the supervision of a physician, obtaining coverage and adequate reimbursement may be particularly difficult because of the higher prices often associated with such drugs.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9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the United States, third-party payors, including private and governmental payors, such as the Medicare and Medicaid programs, play an important role in determining the extent to which new drugs and biologics will be covered and reimbursed. The Medicare program is increasingly used as a model for how private and other governmental payors develop their coverage and reimbursement policies for new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Some third-party payors may require pre-approval of coverage for new or innovative drug therapies before they will reimburse healthcare providers who use such therapies. Furthermore, rules and regulations regarding reimbursement change frequently, in some cases on short notice, and we believe that changes in these rules and regulations are likely. We cannot predict at this time what third-party payors will decide with respect to the coverage and reimbursement for our product candidates.</w:t>
      </w:r>
    </w:p>
    <w:p>
      <w:pPr>
        <w:spacing w:after="0" w:line="9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9" w:name="page60"/>
    <w:bookmarkEnd w:id="59"/>
    <w:p>
      <w:pPr>
        <w:ind w:right="180"/>
        <w:spacing w:after="0"/>
        <w:rPr>
          <w:sz w:val="20"/>
          <w:szCs w:val="20"/>
          <w:color w:val="auto"/>
        </w:rPr>
      </w:pPr>
      <w:r>
        <w:rPr>
          <w:rFonts w:ascii="Arial" w:cs="Arial" w:eastAsia="Arial" w:hAnsi="Arial"/>
          <w:sz w:val="18"/>
          <w:szCs w:val="18"/>
          <w:color w:val="auto"/>
        </w:rPr>
        <w:t>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3"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either on our own or in collaboration with third parties, we may not be successful in commercializing any of our product candidates, if approved, and we may not be able to generate any product revenue.</w:t>
      </w:r>
    </w:p>
    <w:p>
      <w:pPr>
        <w:spacing w:after="0" w:line="8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have limited personnel or infrastructure for the sales, marketing or distribution of products, and no experience as a company in commercializing a product candidate. The cost of building and maintaining such an organization may exceed the cost-effectiveness of doing so.</w:t>
      </w:r>
    </w:p>
    <w:p>
      <w:pPr>
        <w:spacing w:after="0" w:line="9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may build our own focused sales, distribution and marketing infrastructure to market our product candidates, if approved, in the United States and other markets around the world. There are significant expenses and risks involved with building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our product candidate, if approved. Additionally, if the commercial launch of our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104"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280" w:right="620" w:hanging="272"/>
        <w:spacing w:after="0" w:line="246"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future products;</w:t>
      </w:r>
    </w:p>
    <w:p>
      <w:pPr>
        <w:spacing w:after="0" w:line="88" w:lineRule="exact"/>
        <w:rPr>
          <w:rFonts w:ascii="Arial" w:cs="Arial" w:eastAsia="Arial" w:hAnsi="Arial"/>
          <w:sz w:val="18"/>
          <w:szCs w:val="18"/>
          <w:color w:val="auto"/>
        </w:rPr>
      </w:pPr>
    </w:p>
    <w:p>
      <w:pPr>
        <w:ind w:left="280" w:right="360" w:hanging="272"/>
        <w:spacing w:after="0" w:line="246"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equip medical and sales personnel with effective materials, including medical and sales literature to help them educate physicians and other healthcare providers regarding applicable diseases and our future products;</w:t>
      </w:r>
    </w:p>
    <w:p>
      <w:pPr>
        <w:spacing w:after="0" w:line="88" w:lineRule="exact"/>
        <w:rPr>
          <w:rFonts w:ascii="Arial" w:cs="Arial" w:eastAsia="Arial" w:hAnsi="Arial"/>
          <w:sz w:val="18"/>
          <w:szCs w:val="18"/>
          <w:color w:val="auto"/>
        </w:rPr>
      </w:pPr>
    </w:p>
    <w:p>
      <w:pPr>
        <w:ind w:left="280" w:right="740" w:hanging="272"/>
        <w:spacing w:after="0" w:line="246"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develop or obtain sufficient operational functions to support our commercial activities;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or decide not to do so for a particular country, we may pursue collaborative arrangements. If we pursue a collaborative arrangement, our sales will largely depend on the collaborator’s strategic interest in the product and such collaborator’s ability to successfully commercialize the product. For example, we have an option to request Roche co-promote with us AT-527 for the treatment of COVID-19 in the U.S. If we elect to exercise this option, we will be dependent in part on Roche’s efforts to successfully co-promote this product with us.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0" w:name="page61"/>
    <w:bookmarkEnd w:id="60"/>
    <w:p>
      <w:pPr>
        <w:ind w:right="140"/>
        <w:spacing w:after="0" w:line="237" w:lineRule="auto"/>
        <w:rPr>
          <w:sz w:val="20"/>
          <w:szCs w:val="20"/>
          <w:color w:val="auto"/>
        </w:rPr>
      </w:pPr>
      <w:r>
        <w:rPr>
          <w:rFonts w:ascii="Arial" w:cs="Arial" w:eastAsia="Arial" w:hAnsi="Arial"/>
          <w:sz w:val="18"/>
          <w:szCs w:val="18"/>
          <w:color w:val="auto"/>
        </w:rPr>
        <w:t>If we are unable to build our own sales force or access a collaborative relationship for the commercialization of any of our product candidates, we may be forced to delay the potential commercialization of our product candidates or reduce the scope of our sales or marketing activities for such product candidates. If we elect to increase our expenditures to fund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any of our product candidates or otherwise agree to terms unfavorable to us, any of which may have an adverse effect on our business, operating results and prospects.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our other product candidates and may not become profitable and may incur significant additional losses.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even if we do establish adequate sales, marketing and distribution capabilities, the progress of general industry trends with respect to pricing models, supply chains and delivery mechanisms, among other things, could deviate from our expectations. If these or other industry trends change in a manner which we do not anticipate or for which we are not prepared, we may not be successful in commercializing our product candidates or become profitable.</w:t>
      </w:r>
    </w:p>
    <w:p>
      <w:pPr>
        <w:spacing w:after="0" w:line="183"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For example, we will depend on Roche to commercialize AT-527 for the treatment of COVID-19 in markets outside the U.S. We are evaluating the opportunities for the development and commercialization of our other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98"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if we are relying on third parties;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supply our product candidates on a timely and large-scale basis in local markets;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lead times for shipping which may necessitate local manufacture of our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language barriers for technical training and the need for language translations;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protection of patent and other intellectual property rights in some foreign countries;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1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If any of our product candidates is approved for commercialization, we may selectively partner with third parties to market it in certain jurisdictions outside the United States. We expect that we will be subject to additional risks related to international pharmaceutical operations, including:</w:t>
      </w:r>
    </w:p>
    <w:p>
      <w:pPr>
        <w:spacing w:after="0" w:line="95" w:lineRule="exact"/>
        <w:rPr>
          <w:sz w:val="20"/>
          <w:szCs w:val="20"/>
          <w:color w:val="auto"/>
        </w:rPr>
      </w:pPr>
    </w:p>
    <w:p>
      <w:pPr>
        <w:ind w:left="280" w:right="960" w:hanging="272"/>
        <w:spacing w:after="0" w:line="246"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 including requirements specific to biologics or cell therapy products;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protection for patent and other intellectual property rights;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280" w:right="60" w:hanging="272"/>
        <w:spacing w:after="0" w:line="246"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have no prior experience in these areas. In addition, there are complex regulatory, tax, labor and other legal requirements imposed by both the EU and many of the individual member states in Europe with which we will need to comply. Many U.S.-based biotechnology companies have found the process of marketing their own products in Europe to be very challenging.</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Additionally, the need to identify financially and commercially strong partners for commercialization outside the United States who will comply with the high manufacturing and legal and regulatory compliance standards we require is a risk to our financial performance.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spacing w:after="0" w:line="9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some countries, particularly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clinical trials that compare the cost-effectiveness of our product candidates to other available therapies. If reimbursement of our products is unavailable or limited in scope or amount, or if pricing is set at unsatisfactory levels, our business could be harmed, possibly materially.</w:t>
      </w:r>
    </w:p>
    <w:p>
      <w:pPr>
        <w:spacing w:after="0" w:line="180"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w:t>
      </w:r>
    </w:p>
    <w:p>
      <w:pPr>
        <w:spacing w:after="0" w:line="97"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our business reputation and significant negative media attention;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participants from our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the claims and related litigation;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2" w:name="page63"/>
    <w:bookmarkEnd w:id="62"/>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commercialize a product candidate;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 product candidate, if approved for commercial sale;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our Dependence on Third Parties</w:t>
      </w:r>
    </w:p>
    <w:p>
      <w:pPr>
        <w:spacing w:after="0" w:line="21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We will rely on third parties for the manufacture of materials for our research programs, preclinical studies and clinical trials and we do not have long-term contracts with many of these parties. This reliance on third parties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9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expect to rely on third parties for the manufacture of materials for our clinical trials and preclinical and clinical development. We expect to rely on third parties for commercial manufacture if any of our product candidates receive marketing approval, including Roche with respect to AT-527 for COVID-19. We do not have a long-term agreement with any of the third-party manufacturers we currently use to provide preclinical and clinical trial materials, and we purchase any required materials on a purchase order basis. Certain of these manufacturers are critical to our production and the loss of these manufacturers to one of our competitors or otherwise, or an inability to obtain quantities at an acceptable cost or quality, could delay, prevent or impair our ability to timely conduct preclinical studies or clinical trials, and would materially and adversely affect our development and commercialization efforts.</w:t>
      </w:r>
    </w:p>
    <w:p>
      <w:pPr>
        <w:spacing w:after="0" w:line="9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expect to continue to rely on third-party manufacturers for the commercial supply of any of our product candidates for which we obtain marketing approval, if any.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7" w:lineRule="exact"/>
        <w:rPr>
          <w:sz w:val="20"/>
          <w:szCs w:val="20"/>
          <w:color w:val="auto"/>
        </w:rPr>
      </w:pPr>
    </w:p>
    <w:p>
      <w:pPr>
        <w:ind w:left="280" w:right="3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4"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termination or nonrenewal of arrangements or agreements by our third-party contractors at a time that is costly or inconvenient for us;</w:t>
      </w:r>
    </w:p>
    <w:p>
      <w:pPr>
        <w:spacing w:after="0" w:line="128" w:lineRule="exact"/>
        <w:rPr>
          <w:rFonts w:ascii="Arial" w:cs="Arial" w:eastAsia="Arial" w:hAnsi="Arial"/>
          <w:sz w:val="17"/>
          <w:szCs w:val="17"/>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280" w:right="320" w:hanging="272"/>
        <w:spacing w:after="0" w:line="246"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63" w:name="page64"/>
    <w:bookmarkEnd w:id="63"/>
    <w:p>
      <w:pPr>
        <w:ind w:left="280" w:right="200" w:hanging="272"/>
        <w:spacing w:after="0" w:line="245"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89" w:lineRule="exact"/>
        <w:rPr>
          <w:rFonts w:ascii="Arial" w:cs="Arial" w:eastAsia="Arial" w:hAnsi="Arial"/>
          <w:sz w:val="18"/>
          <w:szCs w:val="18"/>
          <w:color w:val="auto"/>
        </w:rPr>
      </w:pPr>
    </w:p>
    <w:p>
      <w:pPr>
        <w:ind w:left="280" w:right="320" w:hanging="272"/>
        <w:spacing w:after="0" w:line="246"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misappropriation or unauthorized disclosure of our intellectual property or other proprietary information, including our trade secrets and know-how.</w:t>
      </w:r>
    </w:p>
    <w:p>
      <w:pPr>
        <w:spacing w:after="0" w:line="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and similar regulatory requirements for manufacturing both active drug substances and finished drug products. Third -party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authorization for their manufacturing facilities. In addition, we do not have control over the ability of our contract manufacturers to maintain adequate quality control, quality assurance and qualified personnel. If the FDA or a comparable foreign regulatory authority does not authorize these facilities for the manufacture of our product candidates or if it withdraws any such authorization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81" w:lineRule="exact"/>
        <w:rPr>
          <w:sz w:val="20"/>
          <w:szCs w:val="20"/>
          <w:color w:val="auto"/>
        </w:rPr>
      </w:pPr>
    </w:p>
    <w:p>
      <w:pPr>
        <w:ind w:right="620"/>
        <w:spacing w:after="0" w:line="301" w:lineRule="auto"/>
        <w:rPr>
          <w:sz w:val="20"/>
          <w:szCs w:val="20"/>
          <w:color w:val="auto"/>
        </w:rPr>
      </w:pPr>
      <w:r>
        <w:rPr>
          <w:rFonts w:ascii="Arial" w:cs="Arial" w:eastAsia="Arial" w:hAnsi="Arial"/>
          <w:sz w:val="17"/>
          <w:szCs w:val="17"/>
          <w:b w:val="1"/>
          <w:bCs w:val="1"/>
          <w:i w:val="1"/>
          <w:iCs w:val="1"/>
          <w:color w:val="auto"/>
        </w:rPr>
        <w:t>Our third-party manufacturers may be unable to successfully scale up manufacturing of our product candidates in sufficient quality and quantity, which may impair the clinical advancement and commercialization of our product candidates.</w:t>
      </w:r>
    </w:p>
    <w:p>
      <w:pPr>
        <w:spacing w:after="0" w:line="4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order to conduct clinical trials of our product candidates and commercialize any approved product, our manufacturing partners need to manufacture them in large quantities. However, they may be unable to successfully increase the manufacturing capacity for any of our product candidates or products in a timely or cost-effective manner, or at all. In addition, quality issues may arise during scale-up activities, as discussed above. If we, or any manufacturing partners,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it is not certain that supplies could be resumed (whether in part or in whole) within a reasonable timeframe and at an acceptable cost, or at all.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84"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We do not have multiple sources of supply for some of the components used in our product candidates, nor long-term supply contracts, and certain of our suppliers are critical to our production. If we were to lose a critical supplier, it could have a material adverse effect on our ability to complete the development of our product candidates. If we obtain regulatory approval for any of our product candidates, we would need to expand the supply of their components in order to commercialize them.</w:t>
      </w:r>
    </w:p>
    <w:p>
      <w:pPr>
        <w:spacing w:after="0" w:line="8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do not have multiple sources of supply for each of the components used in the manufacturing of AT-527, AT-752, AT-787 or any of our other product candidates. For commercial supply of AT-527 for the treatment of COVID-19, we are exclusively dependent on Roche. For our other products, we have a sole supplier located in China for our active pharmaceutical ingredients. For fill -finish work, we have a supplier located in Canada and a back-up supplier located in the United States. We do not have long-term supply agreements with any of our component suppliers. We may not be able to establish additional sources of supply for our product candidates, or may be unable to do so on acceptable terms. Manufacturing suppliers are subject to cGMP quality and regulatory requirements and similar regulatory requirements, covering manufacturing, testing, quality control and record keeping relating to our product candidates and subject to ongoing inspections by applicable regulatory authorities. Manufacturing suppliers are also subject to local, state and federal regulations and licensing requirements. Failure by any of our suppliers to comply with all applicable regulations and requirements may result in long delays and interruptions in supply.</w:t>
      </w:r>
    </w:p>
    <w:p>
      <w:pPr>
        <w:spacing w:after="0" w:line="9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number of suppliers of the components of our product candidates is limited. In the event it is necessary or desirable to acquire supplies from alternative suppliers, we might not be able to obtain them on commercially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line="238" w:lineRule="auto"/>
        <w:rPr>
          <w:sz w:val="20"/>
          <w:szCs w:val="20"/>
          <w:color w:val="auto"/>
        </w:rPr>
      </w:pPr>
      <w:r>
        <w:rPr>
          <w:rFonts w:ascii="Arial" w:cs="Arial" w:eastAsia="Arial" w:hAnsi="Arial"/>
          <w:sz w:val="18"/>
          <w:szCs w:val="18"/>
          <w:color w:val="auto"/>
        </w:rPr>
        <w:t>reasonable terms, if at all. It could also require significant time and expense to redesign our manufacturing processes to work with another company and redesign of processes can trigger the need for conducting additional studies such as comparability or bridging studies. Additionally, certain of our suppliers are critical to our production, and the loss of these suppliers to one of our competitors or otherwise would materially and adversely affect our development and commercialization efforts.</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part of any marketing approval, regulatory authorities conduct inspections that must be successful prior to the approval of the product. Failure of manufacturing suppliers to successfully complete these regulatory inspections will result in delays. If supply from the approved supplier is interrupted, there could be a significant disruption in commercial supply. An alternative vendor would need to be qualified through a NDA amendment or supplement, which could result in further delay. The FDA or other regulatory authorities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97"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If we are unable to obtain the supplies we need at a reasonable price or on a timely basis, it could have a material adverse effect on our ability to complete the development of our product candidates or, if we obtain regulatory approval for our product candidates, to commercialize them.</w:t>
      </w:r>
    </w:p>
    <w:p>
      <w:pPr>
        <w:spacing w:after="0" w:line="181"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Any failure by a third party to conduct the clinical trials according to GCPs and in a timely manner may delay or prevent our ability to seek or obtain regulatory approval for or commercialize our product candidates.</w:t>
      </w:r>
    </w:p>
    <w:p>
      <w:pPr>
        <w:spacing w:after="0" w:line="8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dependent on third parties to conduct critical aspects of our preclinical studies and clinical trials, including our ongoing Phase 1, Phase 2 and Phase 3 clinical trials for AT-527 for the treatment of COVID-19, our Phase 1 clinical trial of AT-752 for the treatment of dengue and our Phase 1/2a clinical trial of AT-787 for the treatment of HCV, and we expect to rely on third parties to conduct future clinical trials and preclinical studies for our product candidates including Roche with respect to the clinical development of AT-527.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or research activities complies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0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Any third parties conducting our clinical trials or preclinical studies are not and will not be our employees and, except for remedies available to us under our agreements with such third parties, we cannot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and cash equivalents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5" w:name="page66"/>
    <w:bookmarkEnd w:id="65"/>
    <w:p>
      <w:pPr>
        <w:ind w:right="260"/>
        <w:spacing w:after="0" w:line="246" w:lineRule="auto"/>
        <w:rPr>
          <w:sz w:val="20"/>
          <w:szCs w:val="20"/>
          <w:color w:val="auto"/>
        </w:rPr>
      </w:pPr>
      <w:r>
        <w:rPr>
          <w:rFonts w:ascii="Arial" w:cs="Arial" w:eastAsia="Arial" w:hAnsi="Arial"/>
          <w:sz w:val="18"/>
          <w:szCs w:val="18"/>
          <w:color w:val="auto"/>
        </w:rPr>
        <w:t>could result in the delay or rejection of any NDA we submit to the FDA. Any such delay or rejection could prevent us from commercializing our product candidates.</w:t>
      </w:r>
    </w:p>
    <w:p>
      <w:pPr>
        <w:spacing w:after="0" w:line="8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and substantially all our clinical trial sites have an ability to terminate their respective agreements with us if it can be reasonably demonstrated that the safety of the subjects participating in our clinical trials warrants such termination.</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We may collaborate with third parties for the development and commercialization of our candidates. We may not succeed in establishing and maintaining collaborative relationships, which may significantly limit our ability to develop and commercialize our product candidates successfully, if at all.</w:t>
      </w:r>
    </w:p>
    <w:p>
      <w:pPr>
        <w:spacing w:after="0" w:line="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October 2020 we entered into the Roche License Agreement under which we granted to Roche an exclusive license related to AT-527 for certain development rights and commercialization rights outside of the United States. Additionally, we agreed that Roche would be the exclusive global supplier of AT-527 commercial product, if approved. As part of the Roche License Agreement we agreed with Roche that we would not commercialize AT-752 outside the United States unless we entered into a separate agreement with Roche to do so. We may seek additional collaborative relationships for the development and commercialization of our product candidates. If we enter into any additional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product revenue from these arrangements with commercial entities will depend on our collaborators’ abilities to successfully perform the functions assigned to them in these arrangements. We cannot predict the success of any collaboration that we enter into. Collaborations involving our product candidates pose the following risks to us:</w:t>
      </w:r>
    </w:p>
    <w:p>
      <w:pPr>
        <w:spacing w:after="0" w:line="98"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280" w:right="560" w:hanging="272"/>
        <w:spacing w:after="0" w:line="238"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inappropriately or in such a way as to expose us to potential litigation or other intellectual property-related proceedings, including proceedings challenging the scope, ownership, validity and enforceability of our intellectual property;</w:t>
      </w:r>
    </w:p>
    <w:p>
      <w:pPr>
        <w:spacing w:after="0" w:line="96" w:lineRule="exact"/>
        <w:rPr>
          <w:rFonts w:ascii="Arial" w:cs="Arial" w:eastAsia="Arial" w:hAnsi="Arial"/>
          <w:sz w:val="18"/>
          <w:szCs w:val="18"/>
          <w:color w:val="auto"/>
        </w:rPr>
      </w:pPr>
    </w:p>
    <w:p>
      <w:pPr>
        <w:ind w:left="280" w:right="100" w:hanging="272"/>
        <w:spacing w:after="0" w:line="246"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rights covering our product candidates that result from our collaboration with them, and in such cases, we may not have the exclusive right to commercialize such intellectual property or such product candidates;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280" w:right="160" w:hanging="272"/>
        <w:spacing w:after="0" w:line="246"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88" w:lineRule="exact"/>
        <w:rPr>
          <w:rFonts w:ascii="Arial" w:cs="Arial" w:eastAsia="Arial" w:hAnsi="Arial"/>
          <w:sz w:val="18"/>
          <w:szCs w:val="18"/>
          <w:color w:val="auto"/>
        </w:rPr>
      </w:pPr>
    </w:p>
    <w:p>
      <w:pPr>
        <w:ind w:left="280" w:right="380" w:hanging="272"/>
        <w:spacing w:after="0" w:line="246"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88" w:lineRule="exact"/>
        <w:rPr>
          <w:rFonts w:ascii="Arial" w:cs="Arial" w:eastAsia="Arial" w:hAnsi="Arial"/>
          <w:sz w:val="18"/>
          <w:szCs w:val="18"/>
          <w:color w:val="auto"/>
        </w:rPr>
      </w:pPr>
    </w:p>
    <w:p>
      <w:pPr>
        <w:ind w:left="280" w:right="7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280" w:right="2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6" w:name="page67"/>
    <w:bookmarkEnd w:id="66"/>
    <w:p>
      <w:pPr>
        <w:ind w:left="280" w:right="320" w:hanging="272"/>
        <w:spacing w:after="0" w:line="245"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89" w:lineRule="exact"/>
        <w:rPr>
          <w:rFonts w:ascii="Arial" w:cs="Arial" w:eastAsia="Arial" w:hAnsi="Arial"/>
          <w:sz w:val="18"/>
          <w:szCs w:val="18"/>
          <w:color w:val="auto"/>
        </w:rPr>
      </w:pPr>
    </w:p>
    <w:p>
      <w:pPr>
        <w:ind w:left="280" w:right="24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4" w:lineRule="exact"/>
        <w:rPr>
          <w:rFonts w:ascii="Arial" w:cs="Arial" w:eastAsia="Arial" w:hAnsi="Arial"/>
          <w:sz w:val="18"/>
          <w:szCs w:val="18"/>
          <w:color w:val="auto"/>
        </w:rPr>
      </w:pPr>
    </w:p>
    <w:p>
      <w:pPr>
        <w:ind w:left="280" w:right="760" w:hanging="272"/>
        <w:spacing w:after="0" w:line="246"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17" w:lineRule="exact"/>
        <w:rPr>
          <w:rFonts w:ascii="Arial" w:cs="Arial" w:eastAsia="Arial" w:hAnsi="Arial"/>
          <w:sz w:val="18"/>
          <w:szCs w:val="18"/>
          <w:color w:val="auto"/>
        </w:rPr>
      </w:pPr>
    </w:p>
    <w:p>
      <w:pPr>
        <w:ind w:left="280" w:right="100" w:hanging="272"/>
        <w:spacing w:after="0" w:line="246"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88" w:lineRule="exact"/>
        <w:rPr>
          <w:rFonts w:ascii="Arial" w:cs="Arial" w:eastAsia="Arial" w:hAnsi="Arial"/>
          <w:sz w:val="18"/>
          <w:szCs w:val="18"/>
          <w:color w:val="auto"/>
        </w:rPr>
      </w:pPr>
    </w:p>
    <w:p>
      <w:pPr>
        <w:ind w:left="280" w:right="240" w:hanging="272"/>
        <w:spacing w:after="0" w:line="246"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88" w:lineRule="exact"/>
        <w:rPr>
          <w:rFonts w:ascii="Arial" w:cs="Arial" w:eastAsia="Arial" w:hAnsi="Arial"/>
          <w:sz w:val="18"/>
          <w:szCs w:val="18"/>
          <w:color w:val="auto"/>
        </w:rPr>
      </w:pPr>
    </w:p>
    <w:p>
      <w:pPr>
        <w:ind w:left="280" w:right="40" w:hanging="272"/>
        <w:spacing w:after="0" w:line="274" w:lineRule="auto"/>
        <w:tabs>
          <w:tab w:leader="none" w:pos="2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devices, materials, know-how or intellectual property of the collaborator relating to our product candidates;</w:t>
      </w:r>
    </w:p>
    <w:p>
      <w:pPr>
        <w:spacing w:after="0" w:line="66" w:lineRule="exact"/>
        <w:rPr>
          <w:rFonts w:ascii="Arial" w:cs="Arial" w:eastAsia="Arial" w:hAnsi="Arial"/>
          <w:sz w:val="17"/>
          <w:szCs w:val="17"/>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rFonts w:ascii="Arial" w:cs="Arial" w:eastAsia="Arial" w:hAnsi="Arial"/>
          <w:sz w:val="18"/>
          <w:szCs w:val="18"/>
          <w:color w:val="auto"/>
        </w:rPr>
      </w:pPr>
    </w:p>
    <w:p>
      <w:pPr>
        <w:ind w:left="280" w:right="540" w:hanging="272"/>
        <w:spacing w:after="0" w:line="246"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88" w:lineRule="exact"/>
        <w:rPr>
          <w:rFonts w:ascii="Arial" w:cs="Arial" w:eastAsia="Arial" w:hAnsi="Arial"/>
          <w:sz w:val="18"/>
          <w:szCs w:val="18"/>
          <w:color w:val="auto"/>
        </w:rPr>
      </w:pPr>
    </w:p>
    <w:p>
      <w:pPr>
        <w:ind w:left="280" w:right="840" w:hanging="272"/>
        <w:spacing w:after="0" w:line="246"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face significant competition in seeking appropriate collaborations.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If we seek, but are not able to establish, collaborations, we may have to alter our development and commercialization plans.</w:t>
      </w:r>
    </w:p>
    <w:p>
      <w:pPr>
        <w:spacing w:after="0" w:line="12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capital. In addition to our collaboration with Roche, we may decide to collaborate with pharmaceutical and biotechnology companies for the development and potential commercialization of our other product candidates.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product revenues.</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ordinary course of our business, we may enter into collaborations, licensing arrangements, joint ventures, strategic alliances, partnerships or other arrangements to develop new products and to pursue new markets. Proposing, negotiating and implementing collaborations, 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product revenues and could be terminated prior to developing any products.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current or future collaborators, they may act in their self-interest, which may be adverse to our best interest, and they may breach their obligations to us. In addition, we may have limited control over the amount and timing of resources that any current or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ind w:right="300"/>
        <w:spacing w:after="0" w:line="246" w:lineRule="auto"/>
        <w:rPr>
          <w:sz w:val="20"/>
          <w:szCs w:val="20"/>
          <w:color w:val="auto"/>
        </w:rPr>
      </w:pPr>
      <w:r>
        <w:rPr>
          <w:rFonts w:ascii="Arial" w:cs="Arial" w:eastAsia="Arial" w:hAnsi="Arial"/>
          <w:sz w:val="18"/>
          <w:szCs w:val="18"/>
          <w:color w:val="auto"/>
        </w:rPr>
        <w:t>such event, we may not continue to have rights to the products relating to such transaction or arrangement or may need to purchase such rights at a premium.</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we enter into in-bound intellectual property license agreements, we may not be able to fully protect the licensed intellectual property rights or maintain those licenses. Future licensors could retain the right to prosecute, maintain, defend and enforce the intellectual property rights licensed to us, in which case we would depend on the ability and will of our licensors to do so. These licensors may determine not to pursue litigation against other companies or may pursue such litigation less aggressively than we would. If our licensors do not adequately protect or enforce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payment or other obligations on us, and future licensors may allege that we have breached our license agreement with them and accordingly seek to terminate our license. Any of the foregoing could adversely affect our competitive business position and have a material adverse effect on our business, financial condition, results of operations, and prospects.</w:t>
      </w:r>
    </w:p>
    <w:p>
      <w:pPr>
        <w:spacing w:after="0" w:line="18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Data provided by collaborators and others upon which we rely that have not been independently verified could turn out to be false, misleading or incomplete.</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on third-party vendors, such as CROs, scientists and collaborators to provide us with significant data and other information related to our programs, preclinical studies or clinical trials and our business. If such third parties provide inaccurate, misleading or incomplete data, our business, prospects and results of operations could be materially adversely affected.</w:t>
      </w:r>
    </w:p>
    <w:p>
      <w:pPr>
        <w:spacing w:after="0" w:line="18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w:t>
      </w:r>
    </w:p>
    <w:p>
      <w:pPr>
        <w:spacing w:after="0" w:line="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9" w:name="page70"/>
    <w:bookmarkEnd w:id="69"/>
    <w:p>
      <w:pPr>
        <w:ind w:right="20"/>
        <w:spacing w:after="0" w:line="271" w:lineRule="auto"/>
        <w:rPr>
          <w:sz w:val="20"/>
          <w:szCs w:val="20"/>
          <w:color w:val="auto"/>
        </w:rPr>
      </w:pPr>
      <w:r>
        <w:rPr>
          <w:rFonts w:ascii="Arial" w:cs="Arial" w:eastAsia="Arial" w:hAnsi="Arial"/>
          <w:sz w:val="18"/>
          <w:szCs w:val="18"/>
          <w:b w:val="1"/>
          <w:bCs w:val="1"/>
          <w:i w:val="1"/>
          <w:iCs w:val="1"/>
          <w:color w:val="auto"/>
        </w:rPr>
        <w:t>If our CMOs and CROs use hazardous and biological materials in a manner that causes injury or violates applicable law, we may be liable for damages.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CMOs and biological materials by our CROs. Our CMOs and CROs are subject to federal, state and local laws and regulations in the United States and in the countries in which they operate governing the use, manufacture, storage, handling and disposal of medical and hazardous materials. Although we believe that our manufacturers’ and CRO’s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Generally,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2"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8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our intellectual property and prevent others from duplicating AT-511 (the free base of AT-527), AT-527, AT-281 (the free base of AT-752), AT-752, AT-777, and AT-787, or their use or manufacture, or any of our other pipeline product candidates and any future product candidates, and our success depends in large part on our ability to obtain and maintain patent protection in the United States and other countries with respect to such product candidates.</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Although we enter into confidentiality agreements with parties who have access to confidential or patentable aspects of our research and development output, such as our employees, CROs, consultants, scientific advisors and other contractors,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and some remain so until issued. Therefore, we cannot be certain that we were the first to make the inventions claimed in our patents or pending patent applications, or that we were the first to file any patent application related to an invention or product candidate. Further, if we encounter delays in regulatory approvals, the period of time during which we could market a product candidate under patent protection could be reduced.</w:t>
      </w:r>
    </w:p>
    <w:p>
      <w:pPr>
        <w:spacing w:after="0" w:line="9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strength of patents in the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 may fail to result in issued patents with claims that cover our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 inventorship, ownership, validity, enforceability or scope of such patents, which may result in such patents being narrowed or invalidated, or being held unenforceable. Our pending and future patent applications may not result in patents being issued which protect our technology or product candidates or which effectively prevent others from commercializing competitive technologies and product candidates. Additionally, any U.S. provisional patent application that we file is not eligible to become an issued patent until, among other things, we file a non-provisional patent application within 12 months of filing the related provisional patent application. If we do not timely file any non-provisional patent application, we may lose our priority date with respect to the provisional patent application and any patent protection on the inventions disclosed in the provisional patent application.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jc w:val="both"/>
        <w:ind w:right="80"/>
        <w:spacing w:after="0" w:line="257" w:lineRule="auto"/>
        <w:rPr>
          <w:sz w:val="20"/>
          <w:szCs w:val="20"/>
          <w:color w:val="auto"/>
        </w:rPr>
      </w:pPr>
      <w:r>
        <w:rPr>
          <w:rFonts w:ascii="Arial" w:cs="Arial" w:eastAsia="Arial" w:hAnsi="Arial"/>
          <w:sz w:val="17"/>
          <w:szCs w:val="17"/>
          <w:color w:val="auto"/>
        </w:rPr>
        <w:t>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similar or alternative products or methods that achieve similar results without infringing upon our patents. Any of these outcomes could impair our ability to prevent competition from third parties, which may have an adverse impact on our business.</w:t>
      </w:r>
    </w:p>
    <w:p>
      <w:pPr>
        <w:spacing w:after="0" w:line="8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the patent applications we hold with respect to our programs or product candidates fail to issue, if the breadth or strength of protection of our current or future issued patents is threatened, or if they fail to provide meaningful exclusivity for our product candidates, it could dissuade companies from collaborating with us to develop product candidates, or threaten our ability to commercialize our current or future product candidates. Several patent applications covering our product candidates have been filed recently by us. We cannot offer any assurances about which, if any, will result in issued patents,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w:t>
      </w:r>
    </w:p>
    <w:p>
      <w:pPr>
        <w:spacing w:after="0" w:line="95"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Wide-ranging patent reform legislation in the United States, including the Leahy-Smith America Invents Act of 2011, (the “Leahy-Smith Act”), may increase the uncertainty of the strength or enforceability of our intellectual property and the cost to defend it. The Leahy-Smith Act includes a number of significant changes to U.S. patent law, including provisions that affect the way patent applications are prosecuted and also affect patent litigation. Under the Leahy-Smith Act, the United States transitioned from a “first-to-invent” to a “first-to-file” system for deciding which party should be granted a patent when two or more patent applications are filed by different parties claiming the same invention. This will require us to be prompt going forward during the time from invention to filing of a patent application and to be diligent in filing patent applications, but circumstances could prevent us from promptly filing or prosecuting patent applications on our inventions. The Leahy-Smith Act also enlarged the scope of disclosures that qualify as prior art. Furthermore, if a third party filed a patent application before effectiveness of applicable provisions of the Leahy-Smith Act, on March 16, 2013, an interference proceeding in the United States can be initiated by a third party to determine if it was the first to invent any of the subject matter covered by the claims of our patent applications. We may also be subject to a third party preissuance submission of prior art to the U.S. Patent and Trademark Office, (the “USPTO”).</w:t>
      </w:r>
    </w:p>
    <w:p>
      <w:pPr>
        <w:spacing w:after="0" w:line="9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Leahy-Smith Act created for the first time new procedures to challenge issued patents in the United States, including post-grant review, inter partes review and derivation proceedings, which are adversarial proceedings conducted at the USPTO, which some third parties have been using to cause the cancellation of selected or all claims of issued patents of competitors. For a patent with a priority date of March 16, 2013 or later, which all of our patent filings have, a petition for post-grant review can be filed by a third party in a nine-month window from issuance of the patent. A petition for inter partes review can be filed immediately following the issuance of a patent if the patent was filed prior to March 16, 2013. A petition for inter partes review can be filed after the nine-month period for filing a post-grant review petition has expired for a patent with a priority date of March 16, 2013 or later. Post-grant review proceedings can be brought on any ground of challenge, whereas inter partes review proceedings can only be brought to raise a challenge based on published prior art. These adversarial actions at the USPTO include review of patent claims without the presumption of validity afforded to U.S. patents in lawsuits in U.S. federal courts. The USPTO issued a final rule effective November 13, 2018 announcing that it will now use the same claim construction standard currently used in the U.S. federal courts to interpret patent claims in USPTO proceedings, which is the plain and ordinary meaning of words used. If any of our patents are challenged by a third party in such a USPTO proceeding, there is no guarantee that we will be successful in defending the patent, which would result in a loss of the challenged patent right to us, including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10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As a result of all of the foregoing, the issuance, scope, validity, enforceability and commercial value of our patent rights are highly uncertain, which could have a material adverse effect on our business, financial condition, results of operations, and prospects.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1" w:name="page72"/>
    <w:bookmarkEnd w:id="71"/>
    <w:p>
      <w:pPr>
        <w:ind w:right="540"/>
        <w:spacing w:after="0" w:line="271"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may result in substantial costs or prevent or delay our development and commercialization efforts.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commercial success depends in part on our avoiding actual and allegations of infringement, misappropriation or other violation of the patents and other proprietary rights of third parties. There is a substantial amount of litigation, both within and outside the United States, involving patent and other intellectual property rights in the pharmaceutical industry, including patent infringement lawsuits, interferences, oppositions, re-examination, and post-grant and inter partes review proceedings before the USPTO and similar proceedings in foreign jurisdictions, such as oppositions before the European Patent Office, (the “EPO”). Numerous U.S. and foreign issued patents and pending patent applications, which are owned by third parties, exist in the fields in which we are pursuing development candidates. Many companies in intellectual property-dependent industries, including the pharmaceutical industry, have employed intellectual property litigation as a means to gain an advantage over their competitors. As the pharmaceutical industry expands and more patents are issued, and as we gain greater visibility and market exposure as a public company, the risk increases that our product candidates may be subject to claims of infringement of the patent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9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guarantee that our technologies, products, compositions and their uses do not or will not infringe, misappropriate or otherwise violate third-party patent or other intellectual property rights.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Pending patent applications that have been published can, subject to certain limitations, be later amended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In order to successfully challenge the validity of a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third-party patents were held by a court of competent jurisdiction to cover the composition of matter of any of our product candidates, the manufacturing process of any of our product candidates or the method of use for any of our product candidates, the holders of any such patents may be able to block our ability to commercialize such product candidate unless we obtained a license under the applicable patents, which may not be available at all or on commercially reasonable terms, or until such patents expire.</w:t>
      </w:r>
    </w:p>
    <w:p>
      <w:pPr>
        <w:spacing w:after="0" w:line="10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the merit of such claims. We may not be aware of all intellectual property rights potentially relating to our technology and product candidates and their uses, or we may incorrectly conclude that third-party intellectual property is invalid or that our activities and product candidates do not infringe, misappropriate or otherwise violate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addition, there could be public announcements of the results of hearings, motions, or other interim proceedings or developments, and if securities analysts or investors perceive these results to be negative, it could have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spacing w:after="0" w:line="236" w:lineRule="auto"/>
        <w:rPr>
          <w:sz w:val="20"/>
          <w:szCs w:val="20"/>
          <w:color w:val="auto"/>
        </w:rPr>
      </w:pPr>
      <w:r>
        <w:rPr>
          <w:rFonts w:ascii="Arial" w:cs="Arial" w:eastAsia="Arial" w:hAnsi="Arial"/>
          <w:sz w:val="18"/>
          <w:szCs w:val="18"/>
          <w:color w:val="auto"/>
        </w:rPr>
        <w:t>substantial adverse effect on the price of our common stock. In the event of a successful claim of infringement against us, we may have to pay substantial damages, 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and other third parties access to the same technologies licensed to us; alternatively or additionally it could include terms that impede or destroy our ability to compete successfully in the commercial marketplace. Any of the foregoing could have a material adverse effect on our business, financial condition, results of operations, and prospects.</w:t>
      </w:r>
    </w:p>
    <w:p>
      <w:pPr>
        <w:spacing w:after="0" w:line="18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A number of companies and universities file and obtain patents in the same area as our products, which are nucleotide prodrugs, and these patent filings could be asserted against us, which may affect our business, and if successful, could lead to expensive litigation, affect the profitability of our products and/or prohibit the sale of a product or its use.</w:t>
      </w:r>
    </w:p>
    <w:p>
      <w:pPr>
        <w:spacing w:after="0" w:line="8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product candidates are nucleotide prodrugs, or nucleotide phosphoramidates. A number of companies and universities have patent applications and issued patents in this general area, including for viral indications, such as, for example, Gilead Pharmasset, LLC.; Gilead Sciences, Inc.; Merck &amp; Co.; Bristol Myers Squibb; F. Hoffmann-La Roche; University of Cardiff; University College Cardiff Consultants; NuCana, plc; Alios Biopharma; Medivir; and others. If any of these companies or universities, or others, assert that a patent it holds is infringed by any of our product candidates or their use or manufacture, we may be drawn into expensive litigation, which may affect our business, take the time of and distract the attention of our employees, and if the litigation is successful, could affect the profitability of our products or prohibit their sale. On June 3, 2019, we received an anonymous Third Party Observation filed in connection with our international Patent Cooperation Treaty patent application for our second patent family, which covers the hemisulfate salt form of AT-511, or AT-527. The Observation generally challenges the patentability of the hemisulfate salt AT-527 over the free base AT-511. On August 1, 2019, we filed a response to the Observation describing that the AT-527 hemisulfate salt of AT-511 is not obvious in view of the AT-511 free base because AT-527 disproportionately concentrates in the liver over the heart, as shown in vivo in a dog model, which can provide an increased therapeutic effect to treat HCV, and decreased toxicity because hepatitis C is a disease of the liver. Further, while not raised in the response to the Observation, we have now also shown that AT-527 has a longer half-life and higher concentration in the lung than in the liver in vivo in monkeys, which is relevant to our COVID19 indication. On August 10, 2020, an anonymous party filed a Third Party Observation against our Patent Cooperation Treaty patent application covering a method to treat HCV patients with compensated or decompensated cirrhosis using our drug AT-527. The anonymous party asserted that it would have been obvious that the hemisulfate salt of AT-511 (AT-527) would be effective to treat HCV-infected cirrhotic patients. We filed a response to the Observation on October 2, 2020, wherein we disagreed for several reasons, including that the hemisulfate salt of AT-511 had not been publicly disclosed at the time of the filing of our method of treatment of cirrhosis application and further noted that it is not straightforward that a treatment for patients with compensated cirrhosis would also be effective for patients with decompensated cirrhosis. Our Patent Cooperation Treaty patent application provides human data that supports the efficacy of using AT-527 to treat cirrhotic HCV-infected patients. The Observations by anonymous third parties as well as our responses are placed in the file and available to be read and considered by any country examining our respective patent applications. In December 2019, the U.S. Patent Office issued a patent to us covering the composition of matter AT-527. However, other than the foregoing issued U.S. patent, there can be no assurance that the Observations will not adversely affect our ability to obtain issued patents from national-stage filings of such Patent Cooperation Treaty patent applications in any jurisdictions. We may not be aware of patent claims that are currently or may in the future be pending that affect our business by the competitors working in this area. Patent applications are typically published between six and eighteen months from filing, and the presentation of new claims in already pending applications can sometimes not be visible to the public, including to us, for a period of time, or if publicly available, not yet seen by us. We cannot provide any assurance that a third party practicing in the general area of our technology will not present a patent claim that covers one or more of our products or their methods of use or manufacture at any time, including before or during this registration period. If that does occur, we may have to take steps to try to invalidate such patent or application, and we may either choose not to or may not be successful in such attempt. A license to the patent or application may not be available on commercially reasonable terms or at all.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3" w:name="page74"/>
    <w:bookmarkEnd w:id="73"/>
    <w:p>
      <w:pPr>
        <w:ind w:right="120"/>
        <w:spacing w:after="0" w:line="253" w:lineRule="auto"/>
        <w:rPr>
          <w:sz w:val="20"/>
          <w:szCs w:val="20"/>
          <w:color w:val="auto"/>
        </w:rPr>
      </w:pPr>
      <w:r>
        <w:rPr>
          <w:rFonts w:ascii="Arial" w:cs="Arial" w:eastAsia="Arial" w:hAnsi="Arial"/>
          <w:sz w:val="18"/>
          <w:szCs w:val="18"/>
          <w:b w:val="1"/>
          <w:bCs w:val="1"/>
          <w:i w:val="1"/>
          <w:iCs w:val="1"/>
          <w:color w:val="auto"/>
        </w:rPr>
        <w:t>Our products are subject to The Drug Price Competition and Patent Term Restoration Act of 1984, as amended (also referred to as the Hatch-Waxman Act), in the United States, that can increase the risk of litigation with generic companies trying to sell our products, and may cause us to lose patent protection.</w:t>
      </w:r>
    </w:p>
    <w:p>
      <w:pPr>
        <w:spacing w:after="0" w:line="8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Because our clinical candidates are pharmaceutical molecules reviewed by the Center for Drug Evaluation and Research of the FDA, after commercialization they will be subject in the United States to the patent litigation process of the Hatch-Waxman Act, as currently amended, which allows a generic company to submit an Abbreviated New Drug Application, (“ANDA”), to the FDA to obtain approval to sell our drug using bioequivalence data only. Under the Hatch-Waxman Act, we will have the opportunity to list our patents that cover our drug product or its method of use in the FDA’s compendium of “Approved Drug Products with Therapeutic Equivalence Evaluation,” sometimes referred to as the FDA’s Orange Book.</w:t>
      </w:r>
    </w:p>
    <w:p>
      <w:pPr>
        <w:spacing w:after="0" w:line="9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Currently, in the United States, the FDA may grant five years of exclusivity for new chemical entities, (“NCEs”), for which all of our products may qualify. An NCE is a drug that contains no active moiety that has been approved by the FDA in any other NDA. A generic company can submit an ANDA to the FDA four years after approval of our product. The submission of the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our listed patents are invalid, unenforceable or not infringed. Under the Hatch-Waxman Act, if a lawsuit is brought, the FDA is prevented from issuing a final approval on the generic drug until 30 months after the end of our data exclusivity period, or a final decision of a court holding that our asserted patent claims are invalid, unenforceable or not infringed. If we do not properly list our relevant patents in the Orange Book, do not timely file a lawsuit in response to a certification from a generic company under an ANDA, or if we do not prevail in the resulting patent litigation, we can lose our proprietary protection, and our product can rapidly become generic. Further, even if we do correctly list our relevant patents in the Orange Book, bring a lawsuit in a timely manner and prevail in that lawsuit, the generic litigation may be at a very significant cost to us of attorneys’ fees and employee time and distraction over a long period. Further, it is common for more than one generic company to try to sell an innovator drug at the same time, and so we may be faced with the cost and distraction of multiple lawsuits. We may also determine it is necessary to settle the lawsuit in a manner that allows the generic company to enter our market prior to the expiration of our patent or otherwise in a manner that adversely affects the strength, validity or enforceability of our patent.</w:t>
      </w:r>
    </w:p>
    <w:p>
      <w:pPr>
        <w:spacing w:after="0" w:line="19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 fine or loss of rights. We cannot be sure that we would not also be subject to such a review or that the result of the review would be favorable to us, which could result in a fine or penalty.</w:t>
      </w:r>
    </w:p>
    <w:p>
      <w:pPr>
        <w:spacing w:after="0" w:line="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FTC has brought a number of lawsuits in federal court in the past few years to challenge Hatch-Waxman Act ANDA litigation settlements between innovator companies and generic companies as anti-competitive. As an example, the FTC has taken an aggressive position that anything of value is a payment, whether money is paid or not. Under its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pharmaceutical industry argues that such agreements are rational business decisions to dismiss risk and are immune from antitrust attack if the terms of the settlement are within the scope of the exclusionary potential of the patent. In 2013, the U.S. Supreme Court, in a five-to-three decision in FTC v. Actavis, Inc., rejected both the 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to enter the market before the patent expires without the patentee’s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leaving to lower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ind w:right="120"/>
        <w:spacing w:after="0"/>
        <w:rPr>
          <w:sz w:val="20"/>
          <w:szCs w:val="20"/>
          <w:color w:val="auto"/>
        </w:rPr>
      </w:pPr>
      <w:r>
        <w:rPr>
          <w:rFonts w:ascii="Arial" w:cs="Arial" w:eastAsia="Arial" w:hAnsi="Arial"/>
          <w:sz w:val="18"/>
          <w:szCs w:val="18"/>
          <w:color w:val="auto"/>
        </w:rPr>
        <w:t>courts the structuring of such rule of reason analysis. If we are faced with drug patent litigation, including Hatch-Waxman Act litigation with a generic company, we could be faced with such an FTC challenge based on that activity, including how or whether we settle the case, and even if we strongly disagree with the FTC’s position, we could face a significant expense or penalty.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candidates might expire before or shortly after such candidates are commercialized. For patents that are eligible for extension of patent term, we expect to seek extensions of patent terms in the United States and, if available, in other countries, however there can be no assurance that we will be granted any patent term extension we seek, or that any such patent term extension will provide us with any competitive advantage.</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Hatch-Waxman Act in the United States provides for the opportunity to seek a patent term extension on one selected patent for each of our products, and the length of that patent term extension, if at all, is subject to review and approval by the USPTO and the FDA.</w:t>
      </w:r>
    </w:p>
    <w:p>
      <w:pPr>
        <w:spacing w:after="0" w:line="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United States, the Hatch-Waxman Act permits one patent term extension of up to five years beyond the normal expiration of one patent per product, which if a method of treatment patent, is limited to the approved indication (or any additional indications approved during the period of extension).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USPTO in the United States, and any equivalent regulatory authorities in other countries, may not agree with our assessment of whether such extensions are available,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product revenue.</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1997, as part of the Food &amp; Drug Administration Modernization Act, (the “FDAMA”), Congress enacted a law that provides incentives to drug manufacturers who conduct studies of drugs in children. The law, which provides six months of exclusivity in return for conducting pediatric studies, is referred to as the pediatric exclusivity provision. If clinical studies are carried out by us that comply with the FDAMA, we may receive an additional six-month term added to our regulatory data exclusivity period and our patent term extension period, if received, on our product. However, if we choose not to carry out pediatric studies that comply with the FDAMA, or are not accepted by the FDA for this purpose, we would not receive this additional six-month exclusivity extension to our data exclusivity or our patent term extension.</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Europe, supplementary protection certificates are available to extend a patent term up to five years to compensate for patent term lost during regulatory review, and can be extended for an additional six months if data from clinical trials is obtained in accordance with an agreed-upon pediatric investigation plan. Although all countries in Europe must provide supplementary protection certificates, there is no unified legislation among European countries and so supplementary protection certificates must be applied for and granted on a country-by-country basis. This can lead to a substantial cost to apply for and receive these certificates, which may vary among countries or not be provided at all.</w:t>
      </w:r>
    </w:p>
    <w:p>
      <w:pPr>
        <w:spacing w:after="0" w:line="183"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or fail to comply with our obligations under such agreements, our business could be harmed.</w:t>
      </w:r>
    </w:p>
    <w:p>
      <w:pPr>
        <w:spacing w:after="0" w:line="68"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It may be necessary for us to use the patented or other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5" w:name="page76"/>
    <w:bookmarkEnd w:id="75"/>
    <w:p>
      <w:pPr>
        <w:ind w:right="120"/>
        <w:spacing w:after="0" w:line="236" w:lineRule="auto"/>
        <w:rPr>
          <w:sz w:val="20"/>
          <w:szCs w:val="20"/>
          <w:color w:val="auto"/>
        </w:rPr>
      </w:pPr>
      <w:r>
        <w:rPr>
          <w:rFonts w:ascii="Arial" w:cs="Arial" w:eastAsia="Arial" w:hAnsi="Arial"/>
          <w:sz w:val="18"/>
          <w:szCs w:val="18"/>
          <w:color w:val="auto"/>
        </w:rPr>
        <w:t>be materially harmed. If we are unable to obtain a necessary license, we may be unable to develop or commercialize the affected product candidates, which could materially harm our business and the third parties owning or otherwise controlling such intellectual property rights could seek either an injunction prohibiting our sales or an obligation on our part to pay royalties and/or other forms of compensation. Even if we are able to obtain a license, it may be non-exclusive, thereby giving our competitors and other third parties access to the same technologies licensed to us.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Additionally, if we fail to comply with our obligations under any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85"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Although we are not currently involved in any relevant litigation, we may become involved in lawsuits to protect or enforce our patents or other intellectual property, which could be expensive, time-consuming and unsuccessful.</w:t>
      </w:r>
    </w:p>
    <w:p>
      <w:pPr>
        <w:spacing w:after="0" w:line="6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Competitors and other third parties may infringe, misappropriate or otherwise violate our or our future licensors’ patents, trademarks, copyrights or other intellectual property. As a result, we may need to file infringement, misappropriation or other intellectual property-related claims against third parties.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claims we assert against third parties could also provoke these parties to assert counterclaims against us alleging that we infringe, misappropriate or otherwise violate their intellectual property. In addition, in a patent infringement proceeding, such parties could counterclaim that the patents we have asserted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any such proceeding, a court may decide that a patent of ours, or a patent that we in-license, is not valid, is unenforceable and/or is not infringed, or may construe such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in whole or in part, could put our patent applications at risk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6" w:name="page77"/>
    <w:bookmarkEnd w:id="76"/>
    <w:p>
      <w:pPr>
        <w:spacing w:after="0" w:line="238" w:lineRule="auto"/>
        <w:rPr>
          <w:sz w:val="20"/>
          <w:szCs w:val="20"/>
          <w:color w:val="auto"/>
        </w:rPr>
      </w:pPr>
      <w:r>
        <w:rPr>
          <w:rFonts w:ascii="Arial" w:cs="Arial" w:eastAsia="Arial" w:hAnsi="Arial"/>
          <w:sz w:val="18"/>
          <w:szCs w:val="18"/>
          <w:color w:val="auto"/>
        </w:rPr>
        <w:t>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have a material adverse effect on our business, financial condition, results of operations, and prospects.</w:t>
      </w:r>
    </w:p>
    <w:p>
      <w:pPr>
        <w:spacing w:after="0" w:line="181"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USPTO, EPO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 rely on our outside counsel to pay such fees due to non-U.S. patent agencies.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or other third parties might be able to enter the market with similar or identical products or technology, which could have a material adverse effect on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Therefore, we may choose not to pursue or maintain protection for certain intellectual property in certain jurisdictions. The requirements for patentability may differ in certain countries, particularly in developing countries.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9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may not favor the enforcement of our patents and other intellectual property rights.</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This could make it difficult for us to stop the infringement of our patents or the misappropriation or other violation of our other intellectual property rights. 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7" w:name="page78"/>
    <w:bookmarkEnd w:id="77"/>
    <w:p>
      <w:pPr>
        <w:ind w:right="40"/>
        <w:spacing w:after="0" w:line="237" w:lineRule="auto"/>
        <w:rPr>
          <w:sz w:val="20"/>
          <w:szCs w:val="20"/>
          <w:color w:val="auto"/>
        </w:rPr>
      </w:pPr>
      <w:r>
        <w:rPr>
          <w:rFonts w:ascii="Arial" w:cs="Arial" w:eastAsia="Arial" w:hAnsi="Arial"/>
          <w:sz w:val="18"/>
          <w:szCs w:val="18"/>
          <w:color w:val="auto"/>
        </w:rPr>
        <w:t>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(the “TRIPS”), as interpreted by the Doha Declaration, countries in which drugs are manufactured are required to allow exportation of the drug to a developing country that lacks adequate manufacturing capability. Therefore, our drug markets in the United States or foreign countries may be affected by the influence of current public policy on patent issuance, enforcement or involuntary licensing in the healthcare area.</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in November 2015, members of the World Trade Organization (the “WTO”), which administers TRIPS, voted to extend the exemption against enforcing pharmaceutical drug patents in least developed countries until 2033. We currently have no patent applications filed in least developed countries, and our current intent is not to file in these countries in the future, at least in part due to this WTO pharmaceutical patent exemption.</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Furthermore, the WTO is currently considering a waiver of intellectual property rights for COVID-19 vaccines and the U.S. government recently took a stance in support of the waiver. The current proposal is for a temporary waiver of intellectual property rights that cover COVID-19 vaccines, however, the ultimate timing and scope of the waiver, if approved, is unknown. The scope and timing of such waiver will likely be subject to extensive negotiations given the complexity of the matter, which may result in prolonged uncertainty and therefore could adversely affect our business. If a waiver is approved and covers COVID-19 treatments, such as AT-527, our ability to successfully commercialize AT-527 and protect our related technology could be adversely affected.</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7" w:right="419" w:bottom="1440" w:gutter="0" w:footer="0" w:header="0"/>
        </w:sectPr>
      </w:pPr>
    </w:p>
    <w:bookmarkStart w:id="78" w:name="page79"/>
    <w:bookmarkEnd w:id="78"/>
    <w:p>
      <w:pPr>
        <w:jc w:val="both"/>
        <w:ind w:right="80"/>
        <w:spacing w:after="0" w:line="253" w:lineRule="auto"/>
        <w:rPr>
          <w:sz w:val="20"/>
          <w:szCs w:val="20"/>
          <w:color w:val="auto"/>
        </w:rPr>
      </w:pPr>
      <w:r>
        <w:rPr>
          <w:rFonts w:ascii="Arial" w:cs="Arial" w:eastAsia="Arial" w:hAnsi="Arial"/>
          <w:sz w:val="18"/>
          <w:szCs w:val="18"/>
          <w:b w:val="1"/>
          <w:bCs w:val="1"/>
          <w:i w:val="1"/>
          <w:iCs w:val="1"/>
          <w:color w:val="auto"/>
        </w:rPr>
        <w:t>We rely on our ability to stop others from competing by enforcing our patents, however some jurisdictions may require us to grant licenses to third parties. Such compulsory licenses could be extended to include some of our product candidates, which may limit our potential revenue opportunities.</w:t>
      </w:r>
    </w:p>
    <w:p>
      <w:pPr>
        <w:spacing w:after="0" w:line="8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Many foreign countries have compulsory licensing laws under which a patent owner must grant licenses to third parties, in certain circumstances. For example, compulsory licensing, or the threat of compulsory licensing, of life-saving products and expensive products is becoming increasingly popular in developing countries, either through direct legislation or international initiatives. Compulsory licenses could be extended to include some of our product candidates, if they receive marketing approval, which may limit our potential revenue opportunities. Consequently, we may not be able to prevent third parties from practicing our inventions in certain countries outside the United States and Europe. Competitors may also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where such patent rights exist,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some countries limit the enforceability of patents against government agencies or government contractors. In these countries, the patent owner may be limited to monetary relief and may be unable to enjoin infringement if a government is the infringer, which could materially diminish the value of the patent.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parties who have access to them, such as our employees, CROs,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Enforcing a claim that a party illegally disclosed or misappropriated a trade secret is difficult, expensive and time-consuming, and the outcome is unpredictable. In addition, some courts inside and outside the United States are less willing or unwilling to protect trade secrets. Misappropriation or unauthorized disclosure of our trade secrets or other confidential proprietary information could cause us to lose trade secret protection, impair our competitive position and have a material adverse effect on our business. Additionally, if the steps taken to maintain our trade secrets or other confidential proprietary information are deemed inadequate, we may have insufficient recourse against third parties for misappropriating the trade secret or other confidential proprietary information.</w:t>
      </w:r>
    </w:p>
    <w:p>
      <w:pPr>
        <w:spacing w:after="0" w:line="10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w:t>
      </w:r>
    </w:p>
    <w:p>
      <w:pPr>
        <w:spacing w:after="0" w:line="75"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that our employees have wrongfully used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9" w:name="page80"/>
    <w:bookmarkEnd w:id="79"/>
    <w:p>
      <w:pPr>
        <w:ind w:right="660"/>
        <w:spacing w:after="0" w:line="271" w:lineRule="auto"/>
        <w:rPr>
          <w:sz w:val="20"/>
          <w:szCs w:val="20"/>
          <w:color w:val="auto"/>
        </w:rPr>
      </w:pPr>
      <w:r>
        <w:rPr>
          <w:rFonts w:ascii="Arial" w:cs="Arial" w:eastAsia="Arial" w:hAnsi="Arial"/>
          <w:sz w:val="18"/>
          <w:szCs w:val="18"/>
          <w:b w:val="1"/>
          <w:bCs w:val="1"/>
          <w:i w:val="1"/>
          <w:iCs w:val="1"/>
          <w:color w:val="auto"/>
        </w:rPr>
        <w:t>disclosed alleged trade secrets of their former employers, or asserting ownership of what we regard as our own intellectual property.</w:t>
      </w:r>
    </w:p>
    <w:p>
      <w:pPr>
        <w:spacing w:after="0" w:line="6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employed, and may in the future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such individuals’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Although it is our policy to require all of our employees and consultants to assign their inventions to us, to the extent that employees or consultants use intellectual property owned by others in their work for us, disputes may arise as to the rights in related or resulting know-how and inventions. We may also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proprietary rights may not adequately protect our technologies and product candidates, and intellectual property rights do not necessarily address all potential threats to our competitive advantage.</w:t>
      </w:r>
    </w:p>
    <w:p>
      <w:pPr>
        <w:spacing w:after="0" w:line="68" w:lineRule="exact"/>
        <w:rPr>
          <w:sz w:val="20"/>
          <w:szCs w:val="20"/>
          <w:color w:val="auto"/>
        </w:rPr>
      </w:pPr>
    </w:p>
    <w:p>
      <w:pPr>
        <w:jc w:val="both"/>
        <w:ind w:right="240"/>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89" w:lineRule="exact"/>
        <w:rPr>
          <w:sz w:val="20"/>
          <w:szCs w:val="20"/>
          <w:color w:val="auto"/>
        </w:rPr>
      </w:pPr>
    </w:p>
    <w:p>
      <w:pPr>
        <w:ind w:left="280" w:right="180" w:hanging="272"/>
        <w:spacing w:after="0" w:line="246" w:lineRule="auto"/>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 candidates but that are not covered by the claims of our patents;</w:t>
      </w:r>
    </w:p>
    <w:p>
      <w:pPr>
        <w:spacing w:after="0" w:line="88" w:lineRule="exact"/>
        <w:rPr>
          <w:rFonts w:ascii="Arial" w:cs="Arial" w:eastAsia="Arial" w:hAnsi="Arial"/>
          <w:sz w:val="18"/>
          <w:szCs w:val="18"/>
          <w:color w:val="auto"/>
        </w:rPr>
      </w:pPr>
    </w:p>
    <w:p>
      <w:pPr>
        <w:ind w:left="280" w:right="10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including inventors or developers of our patented technologies who may become involved with competitors, may independently develop similar technologies that function as alternatives or replacements for any of our technologies without infringing, misappropriating or otherwise violating our intellectual property rights;</w:t>
      </w:r>
    </w:p>
    <w:p>
      <w:pPr>
        <w:spacing w:after="0" w:line="94"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might not have been the first to conceive and reduce to practice the inventions covered by our patents or patent applications;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280" w:hanging="272"/>
        <w:spacing w:after="0" w:line="246" w:lineRule="auto"/>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pending patent applications might not result in issued patents;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might be prior public disclosures that could invalidate our patents;</w:t>
      </w:r>
    </w:p>
    <w:p>
      <w:pPr>
        <w:spacing w:after="0" w:line="117" w:lineRule="exact"/>
        <w:rPr>
          <w:rFonts w:ascii="Arial" w:cs="Arial" w:eastAsia="Arial" w:hAnsi="Arial"/>
          <w:sz w:val="18"/>
          <w:szCs w:val="18"/>
          <w:color w:val="auto"/>
        </w:rPr>
      </w:pPr>
    </w:p>
    <w:p>
      <w:pPr>
        <w:ind w:left="280" w:right="720" w:hanging="272"/>
        <w:spacing w:after="0" w:line="246" w:lineRule="auto"/>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issued patents may not provide us with any commercially viable products or competitive advantage, or may be held invalid or unenforceable, as a result of legal challenges by our competitors or other third parties;</w:t>
      </w:r>
    </w:p>
    <w:p>
      <w:pPr>
        <w:spacing w:after="0" w:line="88" w:lineRule="exact"/>
        <w:rPr>
          <w:rFonts w:ascii="Arial" w:cs="Arial" w:eastAsia="Arial" w:hAnsi="Arial"/>
          <w:sz w:val="18"/>
          <w:szCs w:val="18"/>
          <w:color w:val="auto"/>
        </w:rPr>
      </w:pPr>
    </w:p>
    <w:p>
      <w:pPr>
        <w:ind w:left="280" w:right="260" w:hanging="272"/>
        <w:spacing w:after="0" w:line="246" w:lineRule="auto"/>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Supreme Court of the United States, other U.S. federal courts, Congress, the USPTO or similar foreign authorities may change the standards of patentability and any such changes could narrow or invalidate, or change the scope of, our patents;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 terms may be inadequate to protect our competitive position on our product candidates for an adequate amount of time;</w:t>
      </w:r>
    </w:p>
    <w:p>
      <w:pPr>
        <w:spacing w:after="0" w:line="117" w:lineRule="exact"/>
        <w:rPr>
          <w:rFonts w:ascii="Arial" w:cs="Arial" w:eastAsia="Arial" w:hAnsi="Arial"/>
          <w:sz w:val="18"/>
          <w:szCs w:val="18"/>
          <w:color w:val="auto"/>
        </w:rPr>
      </w:pPr>
    </w:p>
    <w:p>
      <w:pPr>
        <w:ind w:left="280" w:right="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0" w:name="page81"/>
    <w:bookmarkEnd w:id="80"/>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ownership, validity or enforceability of our patents or patent applications may be challenged by third parties; and</w:t>
      </w:r>
    </w:p>
    <w:p>
      <w:pPr>
        <w:spacing w:after="0" w:line="116" w:lineRule="exact"/>
        <w:rPr>
          <w:rFonts w:ascii="Arial" w:cs="Arial" w:eastAsia="Arial" w:hAnsi="Arial"/>
          <w:sz w:val="18"/>
          <w:szCs w:val="18"/>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patents or pending or future applications of third parties, if issued, may have an adverse effect on our business.</w:t>
      </w:r>
    </w:p>
    <w:p>
      <w:pPr>
        <w:spacing w:after="0" w:line="11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0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will need to expand our organization, and we may experience difficulties in managing this growth, which could disrupt our operations.</w:t>
      </w:r>
    </w:p>
    <w:p>
      <w:pPr>
        <w:spacing w:after="0" w:line="6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expect to experience significant growth over time in the number of our employees and the scope of our operations, particularly in the areas of product candidate development, regulatory and clinical affairs and sales, marketing and distribution. To manage our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As we expand our organization, we may have difficulty identifying, hiring and integrating new personnel. Future growth would impose significant additional responsibilities on our management, including:</w:t>
      </w:r>
    </w:p>
    <w:p>
      <w:pPr>
        <w:spacing w:after="0" w:line="95"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need to identify, recruit, maintain, motivate and integrate additional employees, consultants and contractors;</w:t>
      </w:r>
    </w:p>
    <w:p>
      <w:pPr>
        <w:spacing w:after="0" w:line="117" w:lineRule="exact"/>
        <w:rPr>
          <w:rFonts w:ascii="Arial" w:cs="Arial" w:eastAsia="Arial" w:hAnsi="Arial"/>
          <w:sz w:val="18"/>
          <w:szCs w:val="18"/>
          <w:color w:val="auto"/>
        </w:rPr>
      </w:pPr>
    </w:p>
    <w:p>
      <w:pPr>
        <w:ind w:left="280" w:right="400" w:hanging="272"/>
        <w:spacing w:after="0" w:line="246" w:lineRule="auto"/>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product revenues could be reduced, and we may not be able to implement our business strategy. Our future financial performance and our ability to commercialize our product candidates and compete effectively will depend, in part, on our ability to effectively manage any future growth.</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substantially all aspects of clinical trial conduct and execution,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high-quality personnel and consultants, the rate and success at which we can discover and develop product candidates and operate our business will be limited.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w:t>
      </w:r>
    </w:p>
    <w:p>
      <w:pPr>
        <w:spacing w:after="0" w:line="126"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As of November 10, 2021, we had 56 full-time employees. Our focus on the development of AT-527 requires us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w:t>
      </w:r>
    </w:p>
    <w:p>
      <w:pPr>
        <w:spacing w:after="0" w:line="73"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may materially suffer.</w:t>
      </w:r>
    </w:p>
    <w:p>
      <w:pPr>
        <w:spacing w:after="0" w:line="6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are highly dependent on our management and directors, including our Chief Executive Officer, Jean-Pierre Sommadossi, Ph.D., among others. Due to the specialized knowledge each of our officers and key employees possesses with respect to our product candidates and our operations, the loss of service of any of our officers or directors could delay or prevent the successful enrollment and completion of our clinical trials. We do not carry key person life insurance on any officers or directors. In general, the employment arrangements that we have with our executive officers do not prevent them from terminating their employment with us at any time.</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or costly and may take an extended period of time because of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effectively incentivize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w:t>
      </w:r>
    </w:p>
    <w:p>
      <w:pPr>
        <w:spacing w:after="0" w:line="9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Many of our employees have become or will soon become vested in a substantial amount of our common stock or options to purchase our common stock.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spacing w:after="0" w:line="7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share price.</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and uncertainty about economic stability. For example, the COVID-19 pandemic has resulted in widespread unemployment, economic slowdown and extreme volatility in the capital markets. If the equity and credit markets deteriorate, including as a result of a resurgence of COVID-19, it may make any necessary debt or equity financing more difficult to obtain in a timely manner or on favorable terms, more costly or more dilutive. In addition, there is a risk that one or more of our CROs, suppliers, CMOs or other third-party providers may not survive an economic downturn. As a result, our business, results of operations and price of our common stock may be adversely affected.</w:t>
      </w:r>
    </w:p>
    <w:p>
      <w:pPr>
        <w:spacing w:after="0" w:line="7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 which could reduce our share price.</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Following a national referendum and enactment of legislation by the government of the U.K., the U.K. formally withdrew from the EU on January 31, 2020, commonly referred to as “Brexit” and, following the expiration of the Brexit transitional period on December 31, 2020, the U.K. now operates under a distinct regulatory regime and certain EU laws now only apply to the U.K. in respect of Northern Ireland (as laid out in the Protocol on Ireland and Northern Ireland, including but not limited to marketing authorizations). The Medicines and Healthcare products Regulatory Agency is now the U.K.’s standalone regulator. Although the U.K. and European Union have now reached an agreement on its future trading relationship (implemented in the EU-U.K. Trade and Cooperation Agreement from January 1, 2021 (“TCA”)), the agreement does not cover all regulatory areas regarding supply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2" w:name="page83"/>
    <w:bookmarkEnd w:id="82"/>
    <w:p>
      <w:pPr>
        <w:ind w:right="100"/>
        <w:spacing w:after="0" w:line="246" w:lineRule="auto"/>
        <w:rPr>
          <w:sz w:val="20"/>
          <w:szCs w:val="20"/>
          <w:color w:val="auto"/>
        </w:rPr>
      </w:pPr>
      <w:r>
        <w:rPr>
          <w:rFonts w:ascii="Arial" w:cs="Arial" w:eastAsia="Arial" w:hAnsi="Arial"/>
          <w:sz w:val="18"/>
          <w:szCs w:val="18"/>
          <w:color w:val="auto"/>
        </w:rPr>
        <w:t>medicinal product, which will likely be subject to future bilateral discussions going forward and could further change the relationship between the U.K. and the EU in this regard.</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While agreement on the terms of the TCA has avoided a “no deal” Brexit scenario, and provides in principle for quota and tariff free trading of goods, it is nevertheless expected that the TCA will result in the creation of non-tariff barriers (such as increased shipping and regulatory costs and complexities) to the trade in goods between the UK and EU. Further, the TCA does not provide for the continued free movement of services between the UK and EU and also grants each of the U.K. and EU the ability, in certain circumstances, to unilaterally impose tariffs on one another. The TCA does provide for the mutual recognition of cGMP inspections of manufacturing facilities for medicinal products and cGMP documents issued. However, it is important to note that significant regulatory gaps still exist and the TCA does not contain wholesale mutual recognition of U.K. and EU pharmaceutical regulations and product standards between the parties, for example, in relation to batch testing and pharmacovigilance, which remain subject to further discussions.</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United Kingdom and in Europe. As a result of this uncertainty, global financial markets could experience significant volatility, which could adversely affect the market price of our common stock. Asset valuations, currency exchange rates, and credit ratings may also be subject to increased market volatility. Lack of clarity about future U.K. laws and regulations as the United Kingdom determines which European Union rules and regulations to replace or replicate after withdrawal, including financial laws and regulations, tax and free trade agreements, intellectual property rights, data protection laws, supply chain logistics, environmental, health, and safety laws and regulations, immigration laws, and employment laws, could decrease foreign direct investment in the United Kingdom, increase costs, depress economic activity, and restrict our access to capital. If the United Kingdom and the European Union are unable to negotiate acceptable withdrawal terms or if other EU Member States pursue withdrawal, barrier-free access between the United Kingdom and other EU Member States or among the European Economic Area overall could be diminished or eliminated.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Brexit and new regulatory regimes, we may also face new regulatory costs and challenges that could have an adverse effect on our operations. In addition, currency exchange rates between the pound sterling, the euro and the U.S. dollar have already been, and may continue to be, affected by Brexit.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shares of common stock and will be able to exert significant influence over matters subject to stockholder approval.</w:t>
      </w:r>
    </w:p>
    <w:p>
      <w:pPr>
        <w:spacing w:after="0" w:line="6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executive officers, directors, and &gt;5% stockholders beneficially own a significant percentage of our common stock as of November 10, 2021. Therefore, these stockholders will have the ability to influence us through this ownership position. These stockholders may be able to determine matters requiring stockholders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shares of common stock that you may feel are in your best interest as one of our stockholders.</w:t>
      </w:r>
    </w:p>
    <w:p>
      <w:pPr>
        <w:spacing w:after="0" w:line="7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We have 83,102,730 outstanding shares of common stock as of November 10, 2021. Substantially all of these shares are eligible for sale. Additionally, former holders of our preferred stock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of the Securities Act of 1933, as amended, or until the rights terminate pursuant to the terms of the stockholders’ agreement between us and such holders. We also have registered all shares of common stock that we may issue under our equity compensation plans and these shares can be freely sold in the public market upon issuance, subject to volume limitations applicable to affiliates and the lock-up agreements.</w:t>
      </w:r>
    </w:p>
    <w:p>
      <w:pPr>
        <w:spacing w:after="0" w:line="77"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i w:val="1"/>
          <w:iCs w:val="1"/>
          <w:color w:val="auto"/>
        </w:rPr>
        <w:t>We are currently an “emerging growth company,” and the reduced disclosure requirements applicable to emerging growth companies may make our common stock less attractive to investors.</w:t>
      </w:r>
    </w:p>
    <w:p>
      <w:pPr>
        <w:spacing w:after="0" w:line="6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are an “emerging growth company,” as defined in the JOBS Act, and expect to remain an emerging growth company until December 31, 2021. For so long as we remain an emerging growth company, we are permitted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3" w:name="page84"/>
    <w:bookmarkEnd w:id="83"/>
    <w:p>
      <w:pPr>
        <w:ind w:right="300"/>
        <w:spacing w:after="0" w:line="246" w:lineRule="auto"/>
        <w:rPr>
          <w:sz w:val="20"/>
          <w:szCs w:val="20"/>
          <w:color w:val="auto"/>
        </w:rPr>
      </w:pPr>
      <w:r>
        <w:rPr>
          <w:rFonts w:ascii="Arial" w:cs="Arial" w:eastAsia="Arial" w:hAnsi="Arial"/>
          <w:sz w:val="18"/>
          <w:szCs w:val="18"/>
          <w:color w:val="auto"/>
        </w:rPr>
        <w:t>and intend to rely on exemptions from certain disclosure requirements that are applicable to other public companies that are not emerging growth companies. These exemptions include:</w:t>
      </w:r>
    </w:p>
    <w:p>
      <w:pPr>
        <w:spacing w:after="0" w:line="89"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280" w:right="380" w:hanging="272"/>
        <w:spacing w:after="0" w:line="246"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If some investors find our common stock less attractive as a result, there may be a less active trading market for our common stock and our stock price may be reduced or more volatile.</w:t>
      </w:r>
    </w:p>
    <w:p>
      <w:pPr>
        <w:spacing w:after="0" w:line="97"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We expect to become a large accelerated filer on December 31, 2021 at which time we will also lose our status as an emerging growth company. Following the loss of emerging growth company status, we expect to have increased legal, accounting and other expenses associated with being a public company, which may adversely impact our results of operations.</w:t>
      </w:r>
    </w:p>
    <w:p>
      <w:pPr>
        <w:spacing w:after="0" w:line="18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 even if our business is doing well.</w:t>
      </w:r>
    </w:p>
    <w:p>
      <w:pPr>
        <w:spacing w:after="0" w:line="6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currently have limited research coverage by securities and industry analysts. If any of the analysts who cover us or may cover us downgrades our common stock or issues an adverse or misleading opinion regarding us, our business model, our intellectual property or our stock performance, or if our target preclinical studies or clinical trials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8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may also limit the price that investors are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95" w:lineRule="exact"/>
        <w:rPr>
          <w:sz w:val="20"/>
          <w:szCs w:val="20"/>
          <w:color w:val="auto"/>
        </w:rPr>
      </w:pPr>
    </w:p>
    <w:p>
      <w:pPr>
        <w:ind w:left="280" w:hanging="272"/>
        <w:spacing w:after="0" w:line="246" w:lineRule="auto"/>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280" w:right="340" w:hanging="272"/>
        <w:spacing w:after="0" w:line="246" w:lineRule="auto"/>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88" w:lineRule="exact"/>
        <w:rPr>
          <w:rFonts w:ascii="Arial" w:cs="Arial" w:eastAsia="Arial" w:hAnsi="Arial"/>
          <w:sz w:val="18"/>
          <w:szCs w:val="18"/>
          <w:color w:val="auto"/>
        </w:rPr>
      </w:pPr>
    </w:p>
    <w:p>
      <w:pPr>
        <w:ind w:left="280" w:right="2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94" w:lineRule="exact"/>
        <w:rPr>
          <w:rFonts w:ascii="Arial" w:cs="Arial" w:eastAsia="Arial" w:hAnsi="Arial"/>
          <w:sz w:val="18"/>
          <w:szCs w:val="18"/>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4" w:name="page85"/>
    <w:bookmarkEnd w:id="84"/>
    <w:p>
      <w:pPr>
        <w:jc w:val="both"/>
        <w:ind w:left="280" w:right="500" w:hanging="272"/>
        <w:spacing w:after="0" w:line="274" w:lineRule="auto"/>
        <w:tabs>
          <w:tab w:leader="none" w:pos="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66" w:lineRule="exact"/>
        <w:rPr>
          <w:rFonts w:ascii="Arial" w:cs="Arial" w:eastAsia="Arial" w:hAnsi="Arial"/>
          <w:sz w:val="17"/>
          <w:szCs w:val="17"/>
          <w:color w:val="auto"/>
        </w:rPr>
      </w:pPr>
    </w:p>
    <w:p>
      <w:pPr>
        <w:ind w:left="280" w:right="120" w:hanging="272"/>
        <w:spacing w:after="0" w:line="246" w:lineRule="auto"/>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88" w:lineRule="exact"/>
        <w:rPr>
          <w:rFonts w:ascii="Arial" w:cs="Arial" w:eastAsia="Arial" w:hAnsi="Arial"/>
          <w:sz w:val="18"/>
          <w:szCs w:val="18"/>
          <w:color w:val="auto"/>
        </w:rPr>
      </w:pPr>
    </w:p>
    <w:p>
      <w:pPr>
        <w:ind w:left="280" w:right="240" w:hanging="272"/>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94" w:lineRule="exact"/>
        <w:rPr>
          <w:rFonts w:ascii="Arial" w:cs="Arial" w:eastAsia="Arial" w:hAnsi="Arial"/>
          <w:sz w:val="18"/>
          <w:szCs w:val="18"/>
          <w:color w:val="auto"/>
        </w:rPr>
      </w:pPr>
    </w:p>
    <w:p>
      <w:pPr>
        <w:ind w:left="280" w:right="140" w:hanging="272"/>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spacing w:after="0" w:line="6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other than suits brought to enforce any liability or duty created by the Exchange Act or any other claim for which the federal courts have exclusive jurisdiction and any action that the Court of Chancery of the State of Delaware has dismissed for lack of subject matter jurisdiction, which may be brought in another state or federal court sitting in the State of Delaware. Our restated certificate of incorporation also specifies that unless we consent in writing to the selection of an alternate forum, the federal district courts of the United States shall be the exclusive forum for the resolution of any complaint asserting a cause of action arising under the Securities Act of 1933. Any person or entity purchasing or otherwise acquiring any interest in shares of our capital stock shall be deemed to have notice of and to have consented to the provisions of our restated certificate of incorporation described above.</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believe this provision benefits us by providing increased consistency in the application of Delaware law by chancellors particularly experienced in resolving corporate disputes or federal judges experienced in resolving Securities Act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additional dilution to our stockholders, restrict our operations, require us to relinquish rights to our technologies or product candidates, and could cause our share price to fall.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Until such time, if ever, as we can generate substantial revenue from product sales, we may finance our cash needs through a combination of equity offerings, debt financings, marketing and distribution arrangements and other collaborations, strategic alliances and licensing arrangements. In addition, we may seek additional capital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5" w:name="page86"/>
    <w:bookmarkEnd w:id="85"/>
    <w:p>
      <w:pPr>
        <w:ind w:right="540"/>
        <w:spacing w:after="0" w:line="246" w:lineRule="auto"/>
        <w:rPr>
          <w:sz w:val="20"/>
          <w:szCs w:val="20"/>
          <w:color w:val="auto"/>
        </w:rPr>
      </w:pPr>
      <w:r>
        <w:rPr>
          <w:rFonts w:ascii="Arial" w:cs="Arial" w:eastAsia="Arial" w:hAnsi="Arial"/>
          <w:sz w:val="18"/>
          <w:szCs w:val="18"/>
          <w:color w:val="auto"/>
        </w:rPr>
        <w:t>due to favorable market conditions or strategic considerations, even if we believe that we have sufficient funds for our current or future operating plans.</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operations, our ability to take specific actions, such as incurring additional debt, making capital expenditures, declaring dividends, redeeming our stock, making certain investments and engaging in certain merger, consolidation or asset sale transactions, among other restrictions.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Weakening patent laws and enforcement by courts and other authorities in the United States and other jurisdictions may impact our ability to protect our patents.</w:t>
      </w:r>
    </w:p>
    <w:p>
      <w:pPr>
        <w:spacing w:after="0" w:line="6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and other bodies in other countries, the laws and regulations governing patents could change in unpredictable ways that would weaken our ability to obtain new patents or to enforce and defend our existing patents and patents that we might obtain in the future.</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EPO, or patent litigation and other proceedings in a foreign court. If so, uncertainties resulting from the initiation and continuation of such proceedings could have a material adverse effect on our ability to compete in the marketplace. The cost of foreign adversarial proceedings can also be substantial, and in many foreign jurisdictions, the losing party must pay the attorney fees of the winning party.</w:t>
      </w:r>
    </w:p>
    <w:p>
      <w:pPr>
        <w:spacing w:after="0" w:line="18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and we may never realize the anticipated benefits of such acquisitions or partnerships.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and cash equivalents available for operations and other uses. We cannot predict the number, timing or size of future acquisitions or partnerships or the effect that any such transactions might have on our operating results.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86" w:name="page87"/>
    <w:bookmarkEnd w:id="86"/>
    <w:p>
      <w:pPr>
        <w:ind w:right="460"/>
        <w:spacing w:after="0" w:line="27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or pandemics and our business continuity and disaster recovery plans may not adequately protect us from a serious disaster.</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Natural disasters or pandemics, other than or in addition to COVID-19, could severely disrupt our operations and have a material adverse effect on our business, results of operations, financial condition and prospects. If a natural disaster, power outage, pandemic, such as the COVID-19 pandemic,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against us could be costly and time-consuming to defend and could result in additional liabilities.</w:t>
      </w:r>
    </w:p>
    <w:p>
      <w:pPr>
        <w:spacing w:after="0" w:line="126" w:lineRule="exact"/>
        <w:rPr>
          <w:sz w:val="20"/>
          <w:szCs w:val="20"/>
          <w:color w:val="auto"/>
        </w:rPr>
      </w:pPr>
    </w:p>
    <w:p>
      <w:pPr>
        <w:jc w:val="both"/>
        <w:ind w:right="400"/>
        <w:spacing w:after="0" w:line="238" w:lineRule="auto"/>
        <w:rPr>
          <w:sz w:val="20"/>
          <w:szCs w:val="20"/>
          <w:color w:val="auto"/>
        </w:rPr>
      </w:pPr>
      <w:r>
        <w:rPr>
          <w:rFonts w:ascii="Arial" w:cs="Arial" w:eastAsia="Arial" w:hAnsi="Arial"/>
          <w:sz w:val="18"/>
          <w:szCs w:val="18"/>
          <w:color w:val="auto"/>
        </w:rPr>
        <w:t>We may from time to time be subject to legal proceedings and claims that arise in the ordinary course of business or otherwise, such as claims brought by our customers or third parties in connection with commercial disputes and employment claims made by our current or former employees. Claims may also be asserted by or on behalf of a variety of other parties, including government agencies, patients or vendors of our customers, or stockholders.</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volatile and may fluctuate substantially.</w:t>
      </w:r>
    </w:p>
    <w:p>
      <w:pPr>
        <w:spacing w:after="0" w:line="126"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Our stock price has been and is likely to remain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a profit. The market price for our common stock may be influenced by many factors, including:</w:t>
      </w:r>
    </w:p>
    <w:p>
      <w:pPr>
        <w:spacing w:after="0" w:line="97"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expected changes in our growth rate relative to our competitors;</w:t>
      </w:r>
    </w:p>
    <w:p>
      <w:pPr>
        <w:spacing w:after="0" w:line="117" w:lineRule="exact"/>
        <w:rPr>
          <w:rFonts w:ascii="Arial" w:cs="Arial" w:eastAsia="Arial" w:hAnsi="Arial"/>
          <w:sz w:val="18"/>
          <w:szCs w:val="18"/>
          <w:color w:val="auto"/>
        </w:rPr>
      </w:pPr>
    </w:p>
    <w:p>
      <w:pPr>
        <w:ind w:left="280" w:hanging="272"/>
        <w:spacing w:after="0" w:line="246"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our ongoing, planned or any future preclinical studies, clinical trials or clinical development of our product candidates or those of our competitors;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related to our existing or any future collaborations;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concerning our manufacturers or our manufacturing plans;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 of third-party product candidates that may address our markets and make our product candidates less attractive;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7" w:name="page88"/>
    <w:bookmarkEnd w:id="87"/>
    <w:p>
      <w:pPr>
        <w:ind w:left="280" w:right="100" w:hanging="272"/>
        <w:spacing w:after="0" w:line="246" w:lineRule="auto"/>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cash and cash equivalents position;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280" w:right="100" w:hanging="272"/>
        <w:spacing w:after="0" w:line="246" w:lineRule="auto"/>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shares,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w:t>
      </w:r>
    </w:p>
    <w:p>
      <w:pPr>
        <w:spacing w:after="0" w:line="18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has been and will continue to be required to devote substantial time to new compliance initiatives and corporate governance practices.</w:t>
      </w:r>
    </w:p>
    <w:p>
      <w:pPr>
        <w:spacing w:after="0" w:line="8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before we became a public company in October 2020.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are devoting a substantial amount of time to these compliance initiatives. Moreover, these rules and regulations have and will continue to increase our legal and financial compliance costs and will make some</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63" w:right="419" w:bottom="1440" w:gutter="0" w:footer="0" w:header="0"/>
        </w:sectPr>
      </w:pPr>
    </w:p>
    <w:bookmarkStart w:id="88" w:name="page89"/>
    <w:bookmarkEnd w:id="88"/>
    <w:p>
      <w:pPr>
        <w:ind w:right="40"/>
        <w:spacing w:after="0"/>
        <w:rPr>
          <w:sz w:val="20"/>
          <w:szCs w:val="20"/>
          <w:color w:val="auto"/>
        </w:rPr>
      </w:pPr>
      <w:r>
        <w:rPr>
          <w:rFonts w:ascii="Arial" w:cs="Arial" w:eastAsia="Arial" w:hAnsi="Arial"/>
          <w:sz w:val="18"/>
          <w:szCs w:val="18"/>
          <w:color w:val="auto"/>
        </w:rPr>
        <w:t>activities more time-consuming and costly. For example, these rules and regulations have made it more difficult and more expensive for us to obtain director and officer liability insurance, which in turn could make it more difficult for us to attract and retain qualified members of our board of directors.</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9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Section 404 of the Sarbanes-Oxley Act of 2002 (“Section 404”), in our second annual report due to be filed with the SEC after becoming a public company, we will be required to furnish a report by our management on our internal control over financial reporting. In addition, we will be required to include an attestation report on internal control over financial reporting issued by our independent registered public accounting firm in our Annual Report on Form 10-K for the year ending December 31, 2021. At such time, our independent registered public accounting firm may issue a report that is adverse in the event material weaknesses have been identified in our internal control over financial reporting. To achieve compliance with Section 404 within the prescribed period, we are engaged in a process to document and evaluate our internal control over financial reporting, which is both costly and challenging. In this regard, we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We may discover significant deficiencies or material weaknesses in our internal control over financial reporting,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it could result in an adverse reaction in the financial markets due to a loss of confidence in the reliability of our financial statements.</w:t>
      </w:r>
    </w:p>
    <w:p>
      <w:pPr>
        <w:spacing w:after="0" w:line="19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8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are not currently required to comply with the rules of the SEC implementing Section 404 and, therefore, we are not required to make a formal assessment of the effectiveness of our internal control over financial reporting for that purpose.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In addition, our independent registered public accounting firm will be required to attest to the effectiveness of our internal control over financial reporting pursuant to Section 404 in our Annual Report on Form 10-K for the year ending December 31, 2021. Our independent registered public accounting firm may issue a report that is adverse in the event material weaknesses have been identified in our internal control over financial reporting.</w:t>
      </w:r>
    </w:p>
    <w:p>
      <w:pPr>
        <w:spacing w:after="0" w:line="9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To comply with the requirements of being a public company, we have undertaken and will need to undertake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In addition,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9" w:name="page90"/>
    <w:bookmarkEnd w:id="89"/>
    <w:p>
      <w:pPr>
        <w:ind w:right="140"/>
        <w:spacing w:after="0" w:line="246" w:lineRule="auto"/>
        <w:rPr>
          <w:sz w:val="20"/>
          <w:szCs w:val="20"/>
          <w:color w:val="auto"/>
        </w:rPr>
      </w:pPr>
      <w:r>
        <w:rPr>
          <w:rFonts w:ascii="Arial" w:cs="Arial" w:eastAsia="Arial" w:hAnsi="Arial"/>
          <w:sz w:val="18"/>
          <w:szCs w:val="18"/>
          <w:color w:val="auto"/>
        </w:rPr>
        <w:t>investors may lose confidence in the accuracy and completeness of our financial reports. As a result, the market price of our common stock could be materially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is likely to be your sole source of gain.</w:t>
      </w:r>
    </w:p>
    <w:p>
      <w:pPr>
        <w:spacing w:after="0" w:line="6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is likely to be your sole source of gain on an investment in our common stock for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right="1920"/>
        <w:spacing w:after="0" w:line="396" w:lineRule="auto"/>
        <w:rPr>
          <w:sz w:val="20"/>
          <w:szCs w:val="20"/>
          <w:color w:val="auto"/>
        </w:rPr>
      </w:pPr>
      <w:r>
        <w:rPr>
          <w:rFonts w:ascii="Arial" w:cs="Arial" w:eastAsia="Arial" w:hAnsi="Arial"/>
          <w:sz w:val="18"/>
          <w:szCs w:val="18"/>
          <w:b w:val="1"/>
          <w:bCs w:val="1"/>
          <w:color w:val="auto"/>
        </w:rPr>
        <w:t xml:space="preserve">Recent Sales of Unregistered Securities; Purchases of Equity Securities by the Issuer or Affiliated Purchaser </w:t>
      </w:r>
      <w:r>
        <w:rPr>
          <w:rFonts w:ascii="Arial" w:cs="Arial" w:eastAsia="Arial" w:hAnsi="Arial"/>
          <w:sz w:val="18"/>
          <w:szCs w:val="18"/>
          <w:color w:val="auto"/>
        </w:rPr>
        <w:t>None.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November 3, 2020, we completed the initial public offering (“IPO”) of our common stock pursuant to which we issued and sold 14,375,000 shares of our common stock at a price to the public of $24.00 per share.</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All shares issued and sold in the initial public offering were registered under the Securities Act pursuant to a Registration Statement on Form S-1 (File No.333-249404), as amended (the “Registration Statement”), declared effective by the SEC on October 29,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received net proceeds of approximately $317.6 million after deducting underwriting discounts and commissions and offering expenses.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remaining net proceeds from our IPO have been invested primarily in money market accounts. There has been no material change in the expected use of the net proceeds from our initial public offering as described in our Prospectus filed pursuant to Rule 424(b)(4) under the Securities Act with the SEC on October 29,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6. Exhibits.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42"/>
        </w:trPr>
        <w:tc>
          <w:tcPr>
            <w:tcW w:w="1080" w:type="dxa"/>
            <w:vAlign w:val="bottom"/>
          </w:tcPr>
          <w:p>
            <w:pPr>
              <w:spacing w:after="0" w:line="143" w:lineRule="exact"/>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6"/>
              <w:spacing w:after="0" w:line="143"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Furnished</w:t>
            </w:r>
          </w:p>
        </w:tc>
      </w:tr>
      <w:tr>
        <w:trPr>
          <w:trHeight w:val="17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5"/>
                <w:szCs w:val="15"/>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290"/>
        </w:trPr>
        <w:tc>
          <w:tcPr>
            <w:tcW w:w="1080" w:type="dxa"/>
            <w:vAlign w:val="bottom"/>
          </w:tcPr>
          <w:p>
            <w:pPr>
              <w:jc w:val="right"/>
              <w:ind w:right="6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940" w:type="dxa"/>
            <w:vAlign w:val="bottom"/>
            <w:tcBorders>
              <w:bottom w:val="single" w:sz="8" w:color="0000EE"/>
            </w:tcBorders>
            <w:gridSpan w:val="5"/>
          </w:tcPr>
          <w:p>
            <w:pPr>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Restated Certificate of Incorporation.</w:t>
              </w:r>
            </w:hyperlink>
          </w:p>
        </w:tc>
        <w:tc>
          <w:tcPr>
            <w:tcW w:w="1820" w:type="dxa"/>
            <w:vAlign w:val="bottom"/>
            <w:gridSpan w:val="8"/>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001-39661</w:t>
            </w:r>
          </w:p>
        </w:tc>
        <w:tc>
          <w:tcPr>
            <w:tcW w:w="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36"/>
              <w:spacing w:after="0"/>
              <w:rPr>
                <w:sz w:val="20"/>
                <w:szCs w:val="20"/>
                <w:color w:val="auto"/>
              </w:rPr>
            </w:pPr>
            <w:r>
              <w:rPr>
                <w:rFonts w:ascii="Arial" w:cs="Arial" w:eastAsia="Arial" w:hAnsi="Arial"/>
                <w:sz w:val="18"/>
                <w:szCs w:val="18"/>
                <w:color w:val="auto"/>
                <w:w w:val="99"/>
              </w:rPr>
              <w:t>11/5/2020</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3"/>
        </w:trPr>
        <w:tc>
          <w:tcPr>
            <w:tcW w:w="1080" w:type="dxa"/>
            <w:vAlign w:val="bottom"/>
          </w:tcPr>
          <w:p>
            <w:pPr>
              <w:jc w:val="right"/>
              <w:ind w:right="6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760" w:type="dxa"/>
            <w:vAlign w:val="bottom"/>
            <w:gridSpan w:val="13"/>
          </w:tcPr>
          <w:p>
            <w:pPr>
              <w:spacing w:after="0"/>
              <w:rPr>
                <w:rFonts w:ascii="Arial" w:cs="Arial" w:eastAsia="Arial" w:hAnsi="Arial"/>
                <w:sz w:val="18"/>
                <w:szCs w:val="18"/>
                <w:color w:val="0000EE"/>
              </w:rPr>
            </w:pPr>
            <w:hyperlink r:id="rId111">
              <w:r>
                <w:rPr>
                  <w:rFonts w:ascii="Arial" w:cs="Arial" w:eastAsia="Arial" w:hAnsi="Arial"/>
                  <w:sz w:val="18"/>
                  <w:szCs w:val="18"/>
                  <w:color w:val="0000EE"/>
                </w:rPr>
                <w:t>Amended and Restated Bylaws.</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001-39661</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6"/>
              <w:spacing w:after="0"/>
              <w:rPr>
                <w:sz w:val="20"/>
                <w:szCs w:val="20"/>
                <w:color w:val="auto"/>
              </w:rPr>
            </w:pPr>
            <w:r>
              <w:rPr>
                <w:rFonts w:ascii="Arial" w:cs="Arial" w:eastAsia="Arial" w:hAnsi="Arial"/>
                <w:sz w:val="18"/>
                <w:szCs w:val="18"/>
                <w:color w:val="auto"/>
                <w:w w:val="99"/>
              </w:rPr>
              <w:t>11/5/2020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1080" w:type="dxa"/>
            <w:vAlign w:val="bottom"/>
          </w:tcPr>
          <w:p>
            <w:pPr>
              <w:jc w:val="right"/>
              <w:ind w:right="6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760" w:type="dxa"/>
            <w:vAlign w:val="bottom"/>
            <w:gridSpan w:val="13"/>
          </w:tcPr>
          <w:p>
            <w:pPr>
              <w:spacing w:after="0"/>
              <w:rPr>
                <w:rFonts w:ascii="Arial" w:cs="Arial" w:eastAsia="Arial" w:hAnsi="Arial"/>
                <w:sz w:val="18"/>
                <w:szCs w:val="18"/>
                <w:color w:val="0000EE"/>
              </w:rPr>
            </w:pPr>
            <w:hyperlink r:id="rId112">
              <w:r>
                <w:rPr>
                  <w:rFonts w:ascii="Arial" w:cs="Arial" w:eastAsia="Arial" w:hAnsi="Arial"/>
                  <w:sz w:val="18"/>
                  <w:szCs w:val="18"/>
                  <w:color w:val="0000EE"/>
                </w:rPr>
                <w:t>Specimen Stock Certificate evidencing the shares of</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333-249404</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6"/>
              <w:spacing w:after="0"/>
              <w:rPr>
                <w:sz w:val="20"/>
                <w:szCs w:val="20"/>
                <w:color w:val="auto"/>
              </w:rPr>
            </w:pPr>
            <w:r>
              <w:rPr>
                <w:rFonts w:ascii="Arial" w:cs="Arial" w:eastAsia="Arial" w:hAnsi="Arial"/>
                <w:sz w:val="18"/>
                <w:szCs w:val="18"/>
                <w:color w:val="auto"/>
                <w:w w:val="99"/>
              </w:rPr>
              <w:t>10/9/2020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12">
              <w:r>
                <w:rPr>
                  <w:rFonts w:ascii="Arial" w:cs="Arial" w:eastAsia="Arial" w:hAnsi="Arial"/>
                  <w:sz w:val="18"/>
                  <w:szCs w:val="18"/>
                  <w:color w:val="0000EE"/>
                </w:rPr>
                <w:t>common stock</w:t>
              </w:r>
            </w:hyperlink>
          </w:p>
        </w:tc>
        <w:tc>
          <w:tcPr>
            <w:tcW w:w="60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5"/>
                <w:szCs w:val="15"/>
                <w:color w:val="auto"/>
              </w:rPr>
            </w:pPr>
          </w:p>
        </w:tc>
        <w:tc>
          <w:tcPr>
            <w:tcW w:w="44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Sublease Agreement, dated as of July 19, 2021, by and</w:t>
              </w:r>
            </w:hyperlink>
          </w:p>
        </w:tc>
        <w:tc>
          <w:tcPr>
            <w:tcW w:w="320" w:type="dxa"/>
            <w:vAlign w:val="bottom"/>
            <w:gridSpan w:val="2"/>
          </w:tcPr>
          <w:p>
            <w:pPr>
              <w:spacing w:after="0"/>
              <w:rPr>
                <w:sz w:val="15"/>
                <w:szCs w:val="15"/>
                <w:color w:val="auto"/>
              </w:rPr>
            </w:pPr>
          </w:p>
        </w:tc>
        <w:tc>
          <w:tcPr>
            <w:tcW w:w="780" w:type="dxa"/>
            <w:vAlign w:val="bottom"/>
            <w:gridSpan w:val="2"/>
          </w:tcPr>
          <w:p>
            <w:pPr>
              <w:jc w:val="center"/>
              <w:ind w:right="100"/>
              <w:spacing w:after="0" w:line="182"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001-39661</w:t>
            </w:r>
          </w:p>
        </w:tc>
        <w:tc>
          <w:tcPr>
            <w:tcW w:w="120" w:type="dxa"/>
            <w:vAlign w:val="bottom"/>
          </w:tcPr>
          <w:p>
            <w:pPr>
              <w:spacing w:after="0"/>
              <w:rPr>
                <w:sz w:val="15"/>
                <w:szCs w:val="15"/>
                <w:color w:val="auto"/>
              </w:rPr>
            </w:pPr>
          </w:p>
        </w:tc>
        <w:tc>
          <w:tcPr>
            <w:tcW w:w="740" w:type="dxa"/>
            <w:vAlign w:val="bottom"/>
          </w:tcPr>
          <w:p>
            <w:pPr>
              <w:jc w:val="center"/>
              <w:spacing w:after="0" w:line="182" w:lineRule="exact"/>
              <w:rPr>
                <w:sz w:val="20"/>
                <w:szCs w:val="20"/>
                <w:color w:val="auto"/>
              </w:rPr>
            </w:pPr>
            <w:r>
              <w:rPr>
                <w:rFonts w:ascii="Arial" w:cs="Arial" w:eastAsia="Arial" w:hAnsi="Arial"/>
                <w:sz w:val="18"/>
                <w:szCs w:val="18"/>
                <w:color w:val="auto"/>
                <w:w w:val="96"/>
              </w:rPr>
              <w:t>10.1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36"/>
              <w:spacing w:after="0" w:line="182" w:lineRule="exact"/>
              <w:rPr>
                <w:sz w:val="20"/>
                <w:szCs w:val="20"/>
                <w:color w:val="auto"/>
              </w:rPr>
            </w:pPr>
            <w:r>
              <w:rPr>
                <w:rFonts w:ascii="Arial" w:cs="Arial" w:eastAsia="Arial" w:hAnsi="Arial"/>
                <w:sz w:val="18"/>
                <w:szCs w:val="18"/>
                <w:color w:val="auto"/>
                <w:w w:val="99"/>
              </w:rPr>
              <w:t>7/23/2021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between the Company and DataRobot, Inc.</w:t>
              </w:r>
            </w:hyperlink>
          </w:p>
        </w:tc>
        <w:tc>
          <w:tcPr>
            <w:tcW w:w="1300" w:type="dxa"/>
            <w:vAlign w:val="bottom"/>
            <w:gridSpan w:val="7"/>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15"/>
                <w:szCs w:val="15"/>
                <w:color w:val="auto"/>
              </w:rPr>
            </w:pPr>
          </w:p>
        </w:tc>
        <w:tc>
          <w:tcPr>
            <w:tcW w:w="44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93">
              <w:r>
                <w:rPr>
                  <w:rFonts w:ascii="Arial" w:cs="Arial" w:eastAsia="Arial" w:hAnsi="Arial"/>
                  <w:sz w:val="18"/>
                  <w:szCs w:val="18"/>
                  <w:color w:val="0000EE"/>
                  <w:w w:val="99"/>
                </w:rPr>
                <w:t>Certification of Chief Executive Officer pursuant to Rule</w:t>
              </w:r>
            </w:hyperlink>
          </w:p>
        </w:tc>
        <w:tc>
          <w:tcPr>
            <w:tcW w:w="36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84"/>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60" w:type="dxa"/>
            <w:vAlign w:val="bottom"/>
            <w:gridSpan w:val="13"/>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13a-14(a)/15d-14(a).</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15"/>
                <w:szCs w:val="15"/>
                <w:color w:val="auto"/>
              </w:rPr>
            </w:pPr>
          </w:p>
        </w:tc>
        <w:tc>
          <w:tcPr>
            <w:tcW w:w="43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94">
              <w:r>
                <w:rPr>
                  <w:rFonts w:ascii="Arial" w:cs="Arial" w:eastAsia="Arial" w:hAnsi="Arial"/>
                  <w:sz w:val="18"/>
                  <w:szCs w:val="18"/>
                  <w:color w:val="0000EE"/>
                  <w:w w:val="99"/>
                </w:rPr>
                <w:t>Certification of Chief Financial Officer pursuant to Rule</w:t>
              </w:r>
            </w:hyperlink>
          </w:p>
        </w:tc>
        <w:tc>
          <w:tcPr>
            <w:tcW w:w="42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84"/>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60" w:type="dxa"/>
            <w:vAlign w:val="bottom"/>
            <w:gridSpan w:val="13"/>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13a-14(a)/15d-14(a).</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15"/>
                <w:szCs w:val="15"/>
                <w:color w:val="auto"/>
              </w:rPr>
            </w:pPr>
          </w:p>
        </w:tc>
        <w:tc>
          <w:tcPr>
            <w:tcW w:w="4760" w:type="dxa"/>
            <w:vAlign w:val="bottom"/>
            <w:gridSpan w:val="13"/>
          </w:tcPr>
          <w:p>
            <w:pPr>
              <w:spacing w:after="0" w:line="182" w:lineRule="exact"/>
              <w:rPr>
                <w:rFonts w:ascii="Arial" w:cs="Arial" w:eastAsia="Arial" w:hAnsi="Arial"/>
                <w:sz w:val="18"/>
                <w:szCs w:val="18"/>
                <w:color w:val="0000EE"/>
              </w:rPr>
            </w:pPr>
            <w:hyperlink w:anchor="page95">
              <w:r>
                <w:rPr>
                  <w:rFonts w:ascii="Arial" w:cs="Arial" w:eastAsia="Arial" w:hAnsi="Arial"/>
                  <w:sz w:val="18"/>
                  <w:szCs w:val="18"/>
                  <w:color w:val="0000EE"/>
                </w:rPr>
                <w:t>Certification of Chief Executive Officer pursuant to 18</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95">
              <w:r>
                <w:rPr>
                  <w:rFonts w:ascii="Arial" w:cs="Arial" w:eastAsia="Arial" w:hAnsi="Arial"/>
                  <w:sz w:val="18"/>
                  <w:szCs w:val="18"/>
                  <w:color w:val="0000EE"/>
                </w:rPr>
                <w:t>U.S.C. Section 1350.</w:t>
              </w:r>
            </w:hyperlink>
          </w:p>
        </w:tc>
        <w:tc>
          <w:tcPr>
            <w:tcW w:w="54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32.2</w:t>
            </w:r>
          </w:p>
        </w:tc>
        <w:tc>
          <w:tcPr>
            <w:tcW w:w="100" w:type="dxa"/>
            <w:vAlign w:val="bottom"/>
          </w:tcPr>
          <w:p>
            <w:pPr>
              <w:spacing w:after="0"/>
              <w:rPr>
                <w:sz w:val="15"/>
                <w:szCs w:val="15"/>
                <w:color w:val="auto"/>
              </w:rPr>
            </w:pPr>
          </w:p>
        </w:tc>
        <w:tc>
          <w:tcPr>
            <w:tcW w:w="4760" w:type="dxa"/>
            <w:vAlign w:val="bottom"/>
            <w:gridSpan w:val="13"/>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Certification of Chief Financial Officer pursuant to 18</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U.S.C. Section 1350.</w:t>
              </w:r>
            </w:hyperlink>
          </w:p>
        </w:tc>
        <w:tc>
          <w:tcPr>
            <w:tcW w:w="60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08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8"/>
                <w:szCs w:val="18"/>
                <w:color w:val="auto"/>
              </w:rPr>
            </w:pPr>
          </w:p>
        </w:tc>
        <w:tc>
          <w:tcPr>
            <w:tcW w:w="4760" w:type="dxa"/>
            <w:vAlign w:val="bottom"/>
            <w:gridSpan w:val="13"/>
          </w:tcPr>
          <w:p>
            <w:pPr>
              <w:spacing w:after="0"/>
              <w:rPr>
                <w:sz w:val="20"/>
                <w:szCs w:val="20"/>
                <w:color w:val="auto"/>
              </w:rPr>
            </w:pPr>
            <w:r>
              <w:rPr>
                <w:rFonts w:ascii="Arial" w:cs="Arial" w:eastAsia="Arial" w:hAnsi="Arial"/>
                <w:sz w:val="18"/>
                <w:szCs w:val="18"/>
                <w:color w:val="auto"/>
              </w:rPr>
              <w:t>Inline XBRL Instance Document - the instance document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3"/>
          </w:tcPr>
          <w:p>
            <w:pPr>
              <w:spacing w:after="0" w:line="202" w:lineRule="exact"/>
              <w:rPr>
                <w:sz w:val="20"/>
                <w:szCs w:val="20"/>
                <w:color w:val="auto"/>
              </w:rPr>
            </w:pPr>
            <w:r>
              <w:rPr>
                <w:rFonts w:ascii="Arial" w:cs="Arial" w:eastAsia="Arial" w:hAnsi="Arial"/>
                <w:sz w:val="18"/>
                <w:szCs w:val="18"/>
                <w:color w:val="auto"/>
              </w:rPr>
              <w:t>does not appear in the Interactive Data File because its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3"/>
          </w:tcPr>
          <w:p>
            <w:pPr>
              <w:spacing w:after="0" w:line="202" w:lineRule="exact"/>
              <w:rPr>
                <w:sz w:val="20"/>
                <w:szCs w:val="20"/>
                <w:color w:val="auto"/>
              </w:rPr>
            </w:pPr>
            <w:r>
              <w:rPr>
                <w:rFonts w:ascii="Arial" w:cs="Arial" w:eastAsia="Arial" w:hAnsi="Arial"/>
                <w:sz w:val="18"/>
                <w:szCs w:val="18"/>
                <w:color w:val="auto"/>
              </w:rPr>
              <w:t>XBRL tags are embedded within the Inline XBRL</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8"/>
                <w:szCs w:val="18"/>
                <w:color w:val="auto"/>
              </w:rPr>
            </w:pPr>
          </w:p>
        </w:tc>
        <w:tc>
          <w:tcPr>
            <w:tcW w:w="47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9"/>
                <w:szCs w:val="19"/>
                <w:color w:val="auto"/>
              </w:rPr>
            </w:pPr>
          </w:p>
        </w:tc>
        <w:tc>
          <w:tcPr>
            <w:tcW w:w="476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7"/>
                <w:szCs w:val="17"/>
                <w:color w:val="auto"/>
              </w:rPr>
            </w:pPr>
          </w:p>
        </w:tc>
        <w:tc>
          <w:tcPr>
            <w:tcW w:w="476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7"/>
                <w:szCs w:val="17"/>
                <w:color w:val="auto"/>
              </w:rPr>
            </w:pPr>
          </w:p>
        </w:tc>
        <w:tc>
          <w:tcPr>
            <w:tcW w:w="476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7"/>
                <w:szCs w:val="17"/>
                <w:color w:val="auto"/>
              </w:rPr>
            </w:pPr>
          </w:p>
        </w:tc>
        <w:tc>
          <w:tcPr>
            <w:tcW w:w="476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Presentation Linkbase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4760" w:type="dxa"/>
            <w:vAlign w:val="bottom"/>
            <w:gridSpan w:val="13"/>
          </w:tcPr>
          <w:p>
            <w:pPr>
              <w:spacing w:after="0" w:line="202" w:lineRule="exact"/>
              <w:rPr>
                <w:sz w:val="20"/>
                <w:szCs w:val="20"/>
                <w:color w:val="auto"/>
              </w:rPr>
            </w:pPr>
            <w:r>
              <w:rPr>
                <w:rFonts w:ascii="Arial" w:cs="Arial" w:eastAsia="Arial" w:hAnsi="Arial"/>
                <w:sz w:val="18"/>
                <w:szCs w:val="18"/>
                <w:color w:val="auto"/>
              </w:rPr>
              <w:t>Cover Page Interactive Data File (formatted as inline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17"/>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gridSpan w:val="13"/>
          </w:tcPr>
          <w:p>
            <w:pPr>
              <w:spacing w:after="0"/>
              <w:rPr>
                <w:sz w:val="20"/>
                <w:szCs w:val="20"/>
                <w:color w:val="auto"/>
              </w:rPr>
            </w:pPr>
            <w:r>
              <w:rPr>
                <w:rFonts w:ascii="Arial" w:cs="Arial" w:eastAsia="Arial" w:hAnsi="Arial"/>
                <w:sz w:val="18"/>
                <w:szCs w:val="18"/>
                <w:color w:val="auto"/>
              </w:rPr>
              <w:t>XBRL and contained in Exhibit 101)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5054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110" w:lineRule="exact"/>
        <w:rPr>
          <w:sz w:val="20"/>
          <w:szCs w:val="20"/>
          <w:color w:val="auto"/>
        </w:rPr>
      </w:pPr>
    </w:p>
    <w:p>
      <w:pPr>
        <w:ind w:left="720" w:hanging="71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ind w:left="800" w:hanging="792"/>
        <w:spacing w:after="0" w:line="234"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 w:lineRule="exact"/>
        <w:rPr>
          <w:sz w:val="20"/>
          <w:szCs w:val="20"/>
          <w:color w:val="auto"/>
        </w:rPr>
      </w:pPr>
    </w:p>
    <w:p>
      <w:pPr>
        <w:ind w:left="740" w:hanging="732"/>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Portions of this exhibit (indicated by asterisk) have been redacted in compliance with Regulation S-K Item 601(b)(10)(iv)</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80" w:type="dxa"/>
            <w:vAlign w:val="bottom"/>
          </w:tcPr>
          <w:p>
            <w:pPr>
              <w:spacing w:after="0"/>
              <w:rPr>
                <w:sz w:val="18"/>
                <w:szCs w:val="18"/>
                <w:color w:val="auto"/>
              </w:rPr>
            </w:pPr>
          </w:p>
        </w:tc>
        <w:tc>
          <w:tcPr>
            <w:tcW w:w="7360" w:type="dxa"/>
            <w:vAlign w:val="bottom"/>
            <w:gridSpan w:val="2"/>
          </w:tcPr>
          <w:p>
            <w:pPr>
              <w:ind w:left="1820"/>
              <w:spacing w:after="0"/>
              <w:rPr>
                <w:sz w:val="20"/>
                <w:szCs w:val="20"/>
                <w:color w:val="auto"/>
              </w:rPr>
            </w:pPr>
            <w:r>
              <w:rPr>
                <w:rFonts w:ascii="Arial" w:cs="Arial" w:eastAsia="Arial" w:hAnsi="Arial"/>
                <w:sz w:val="18"/>
                <w:szCs w:val="18"/>
                <w:color w:val="auto"/>
              </w:rPr>
              <w:t>ATEA PHARMACEUTICALS, INC.</w:t>
            </w:r>
          </w:p>
        </w:tc>
      </w:tr>
      <w:tr>
        <w:trPr>
          <w:trHeight w:val="418"/>
        </w:trPr>
        <w:tc>
          <w:tcPr>
            <w:tcW w:w="3880" w:type="dxa"/>
            <w:vAlign w:val="bottom"/>
          </w:tcPr>
          <w:p>
            <w:pPr>
              <w:spacing w:after="0"/>
              <w:rPr>
                <w:sz w:val="20"/>
                <w:szCs w:val="20"/>
                <w:color w:val="auto"/>
              </w:rPr>
            </w:pPr>
            <w:r>
              <w:rPr>
                <w:rFonts w:ascii="Arial" w:cs="Arial" w:eastAsia="Arial" w:hAnsi="Arial"/>
                <w:sz w:val="18"/>
                <w:szCs w:val="18"/>
                <w:color w:val="auto"/>
              </w:rPr>
              <w:t>Date: November 12, 2021</w:t>
            </w:r>
          </w:p>
        </w:tc>
        <w:tc>
          <w:tcPr>
            <w:tcW w:w="2140" w:type="dxa"/>
            <w:vAlign w:val="bottom"/>
          </w:tcPr>
          <w:p>
            <w:pPr>
              <w:ind w:left="18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Jean-Pierre Sommadossi, Ph.D.</w:t>
            </w:r>
          </w:p>
        </w:tc>
      </w:tr>
      <w:tr>
        <w:trPr>
          <w:trHeight w:val="200"/>
        </w:trPr>
        <w:tc>
          <w:tcPr>
            <w:tcW w:w="38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Jean-Pierre Sommadossi, Ph.D.</w:t>
            </w:r>
          </w:p>
        </w:tc>
      </w:tr>
      <w:tr>
        <w:trPr>
          <w:trHeight w:val="203"/>
        </w:trPr>
        <w:tc>
          <w:tcPr>
            <w:tcW w:w="38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President and Chief Executive Officer</w:t>
            </w:r>
          </w:p>
        </w:tc>
      </w:tr>
      <w:tr>
        <w:trPr>
          <w:trHeight w:val="239"/>
        </w:trPr>
        <w:tc>
          <w:tcPr>
            <w:tcW w:w="38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Date: November 12, 2021</w:t>
            </w:r>
          </w:p>
        </w:tc>
        <w:tc>
          <w:tcPr>
            <w:tcW w:w="2140" w:type="dxa"/>
            <w:vAlign w:val="bottom"/>
          </w:tcPr>
          <w:p>
            <w:pPr>
              <w:ind w:left="18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Andrea Corcoran</w:t>
            </w:r>
          </w:p>
        </w:tc>
      </w:tr>
      <w:tr>
        <w:trPr>
          <w:trHeight w:val="222"/>
        </w:trPr>
        <w:tc>
          <w:tcPr>
            <w:tcW w:w="38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9"/>
              </w:rPr>
              <w:t>Andrea Corcoran</w:t>
            </w:r>
          </w:p>
        </w:tc>
      </w:tr>
    </w:tbl>
    <w:p>
      <w:pPr>
        <w:jc w:val="center"/>
        <w:ind w:left="6000"/>
        <w:spacing w:after="0" w:line="234"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00"/>
        <w:spacing w:after="0" w:line="235" w:lineRule="auto"/>
        <w:rPr>
          <w:sz w:val="20"/>
          <w:szCs w:val="20"/>
          <w:color w:val="auto"/>
        </w:rPr>
      </w:pPr>
      <w:r>
        <w:rPr>
          <w:rFonts w:ascii="Arial" w:cs="Arial" w:eastAsia="Arial" w:hAnsi="Arial"/>
          <w:sz w:val="18"/>
          <w:szCs w:val="18"/>
          <w:b w:val="1"/>
          <w:bCs w:val="1"/>
          <w:color w:val="auto"/>
        </w:rPr>
        <w:t>Secretary</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333"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Jean-Pierre Sommadossi, Ph.D., certify that:</w:t>
      </w:r>
    </w:p>
    <w:p>
      <w:pPr>
        <w:spacing w:after="0" w:line="212"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11" w:lineRule="exact"/>
        <w:rPr>
          <w:rFonts w:ascii="Arial" w:cs="Arial" w:eastAsia="Arial" w:hAnsi="Arial"/>
          <w:sz w:val="18"/>
          <w:szCs w:val="18"/>
          <w:color w:val="auto"/>
        </w:rPr>
      </w:pPr>
    </w:p>
    <w:p>
      <w:pPr>
        <w:ind w:left="540" w:right="6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40" w:right="2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40" w:right="240" w:hanging="532"/>
        <w:spacing w:after="0" w:line="246"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80" w:right="220" w:hanging="532"/>
        <w:spacing w:after="0"/>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left="1080" w:hanging="532"/>
        <w:spacing w:after="0"/>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[Omitted];</w:t>
      </w:r>
    </w:p>
    <w:p>
      <w:pPr>
        <w:spacing w:after="0" w:line="211" w:lineRule="exact"/>
        <w:rPr>
          <w:rFonts w:ascii="Arial" w:cs="Arial" w:eastAsia="Arial" w:hAnsi="Arial"/>
          <w:sz w:val="18"/>
          <w:szCs w:val="18"/>
          <w:color w:val="auto"/>
        </w:rPr>
      </w:pPr>
    </w:p>
    <w:p>
      <w:pPr>
        <w:jc w:val="both"/>
        <w:ind w:left="1080" w:right="140" w:hanging="532"/>
        <w:spacing w:after="0"/>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280" w:hanging="532"/>
        <w:spacing w:after="0"/>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40" w:right="4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140" w:hanging="532"/>
        <w:spacing w:after="0"/>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80" w:right="60" w:hanging="532"/>
        <w:spacing w:after="0" w:line="246"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spacing w:after="0"/>
        <w:tabs>
          <w:tab w:leader="none" w:pos="5600" w:val="left"/>
          <w:tab w:leader="none" w:pos="716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-1905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b w:val="1"/>
          <w:bCs w:val="1"/>
          <w:color w:val="auto"/>
        </w:rPr>
        <w:t>Jean-Pierre Sommadossi, Ph.D.</w:t>
      </w:r>
    </w:p>
    <w:p>
      <w:pPr>
        <w:spacing w:after="0" w:line="1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President and Chief Executive Officer</w:t>
      </w:r>
    </w:p>
    <w:p>
      <w:pPr>
        <w:ind w:left="74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46"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Andrea Corcoran, certify that:</w:t>
      </w:r>
    </w:p>
    <w:p>
      <w:pPr>
        <w:spacing w:after="0" w:line="212"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11" w:lineRule="exact"/>
        <w:rPr>
          <w:rFonts w:ascii="Arial" w:cs="Arial" w:eastAsia="Arial" w:hAnsi="Arial"/>
          <w:sz w:val="18"/>
          <w:szCs w:val="18"/>
          <w:color w:val="auto"/>
        </w:rPr>
      </w:pPr>
    </w:p>
    <w:p>
      <w:pPr>
        <w:ind w:left="540" w:right="6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40" w:right="2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40" w:right="240" w:hanging="532"/>
        <w:spacing w:after="0" w:line="246"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80" w:right="220" w:hanging="532"/>
        <w:spacing w:after="0"/>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left="1080" w:hanging="532"/>
        <w:spacing w:after="0"/>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[Omitted];</w:t>
      </w:r>
    </w:p>
    <w:p>
      <w:pPr>
        <w:spacing w:after="0" w:line="211" w:lineRule="exact"/>
        <w:rPr>
          <w:rFonts w:ascii="Arial" w:cs="Arial" w:eastAsia="Arial" w:hAnsi="Arial"/>
          <w:sz w:val="18"/>
          <w:szCs w:val="18"/>
          <w:color w:val="auto"/>
        </w:rPr>
      </w:pPr>
    </w:p>
    <w:p>
      <w:pPr>
        <w:jc w:val="both"/>
        <w:ind w:left="1080" w:right="140" w:hanging="532"/>
        <w:spacing w:after="0"/>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280" w:hanging="532"/>
        <w:spacing w:after="0"/>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40" w:right="4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140" w:hanging="532"/>
        <w:spacing w:after="0"/>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80" w:right="60" w:hanging="532"/>
        <w:spacing w:after="0" w:line="246" w:lineRule="auto"/>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spacing w:after="0"/>
        <w:tabs>
          <w:tab w:leader="none" w:pos="5600" w:val="left"/>
          <w:tab w:leader="none" w:pos="77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-1905</wp:posOffset>
            </wp:positionV>
            <wp:extent cx="33515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7860"/>
        <w:spacing w:after="0"/>
        <w:rPr>
          <w:sz w:val="20"/>
          <w:szCs w:val="20"/>
          <w:color w:val="auto"/>
        </w:rPr>
      </w:pPr>
      <w:r>
        <w:rPr>
          <w:rFonts w:ascii="Arial" w:cs="Arial" w:eastAsia="Arial" w:hAnsi="Arial"/>
          <w:sz w:val="18"/>
          <w:szCs w:val="18"/>
          <w:b w:val="1"/>
          <w:bCs w:val="1"/>
          <w:color w:val="auto"/>
        </w:rPr>
        <w:t>Andrea Corcoran</w:t>
      </w:r>
    </w:p>
    <w:p>
      <w:pPr>
        <w:spacing w:after="0" w:line="17"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5920"/>
        <w:spacing w:after="0" w:line="234" w:lineRule="auto"/>
        <w:rPr>
          <w:sz w:val="20"/>
          <w:szCs w:val="20"/>
          <w:color w:val="auto"/>
        </w:rPr>
      </w:pPr>
      <w:r>
        <w:rPr>
          <w:rFonts w:ascii="Arial" w:cs="Arial" w:eastAsia="Arial" w:hAnsi="Arial"/>
          <w:sz w:val="18"/>
          <w:szCs w:val="18"/>
          <w:b w:val="1"/>
          <w:bCs w:val="1"/>
          <w:color w:val="auto"/>
        </w:rPr>
        <w:t>Secretary</w:t>
      </w:r>
    </w:p>
    <w:p>
      <w:pPr>
        <w:spacing w:after="0" w:line="1"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46"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ind w:right="60" w:firstLine="546"/>
        <w:spacing w:after="0"/>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203"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80" w:right="180" w:hanging="532"/>
        <w:spacing w:after="0" w:line="246"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tabs>
          <w:tab w:leader="none" w:pos="5680" w:val="left"/>
          <w:tab w:leader="none" w:pos="72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8"/>
          <w:szCs w:val="18"/>
          <w:b w:val="1"/>
          <w:bCs w:val="1"/>
          <w:color w:val="auto"/>
        </w:rPr>
        <w:t>Jean-Pierre Sommadossi, Ph.D.</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President and Chief Executive Officer</w:t>
      </w:r>
    </w:p>
    <w:p>
      <w:pPr>
        <w:ind w:left="74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4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ind w:right="60" w:firstLine="546"/>
        <w:spacing w:after="0"/>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203"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80" w:right="180" w:hanging="532"/>
        <w:spacing w:after="0" w:line="246"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tabs>
          <w:tab w:leader="none" w:pos="5680" w:val="left"/>
          <w:tab w:leader="none" w:pos="78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b w:val="1"/>
          <w:bCs w:val="1"/>
          <w:color w:val="auto"/>
        </w:rPr>
        <w:t>Andrea Corcoran</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00"/>
        <w:spacing w:after="0" w:line="234" w:lineRule="auto"/>
        <w:rPr>
          <w:sz w:val="20"/>
          <w:szCs w:val="20"/>
          <w:color w:val="auto"/>
        </w:rPr>
      </w:pPr>
      <w:r>
        <w:rPr>
          <w:rFonts w:ascii="Arial" w:cs="Arial" w:eastAsia="Arial" w:hAnsi="Arial"/>
          <w:sz w:val="18"/>
          <w:szCs w:val="18"/>
          <w:b w:val="1"/>
          <w:bCs w:val="1"/>
          <w:color w:val="auto"/>
        </w:rPr>
        <w:t>Secretary</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10" Type="http://schemas.openxmlformats.org/officeDocument/2006/relationships/hyperlink" Target="http://www.sec.gov/Archives/edgar/data/1593899/000119312520286850/d97355dex31.htm" TargetMode="External"/><Relationship Id="rId111" Type="http://schemas.openxmlformats.org/officeDocument/2006/relationships/hyperlink" Target="http://www.sec.gov/Archives/edgar/data/1593899/000119312520286850/d97355dex32.htm" TargetMode="External"/><Relationship Id="rId112" Type="http://schemas.openxmlformats.org/officeDocument/2006/relationships/hyperlink" Target="http://www.sec.gov/Archives/edgar/data/1593899/000119312520267199/d913778dex42.htm" TargetMode="External"/><Relationship Id="rId113" Type="http://schemas.openxmlformats.org/officeDocument/2006/relationships/hyperlink" Target="http://www.sec.gov/Archives/edgar/data/1593899/000119312521223025/d6997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2021-11-12T10:09:02Z</dcterms:created>
  <dcterms:modified xsi:type="dcterms:W3CDTF">2021-11-12T10:09:02Z</dcterms:modified>
</cp:coreProperties>
</file>