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Murphy Polly A.</w:t>
              </w:r>
            </w:hyperlink>
          </w:p>
        </w:tc>
        <w:tc>
          <w:tcPr>
            <w:tcW w:w="1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Atea Pharmaceuticals,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AVIR</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60" w:type="dxa"/>
            <w:vAlign w:val="bottom"/>
            <w:gridSpan w:val="3"/>
            <w:vMerge w:val="continue"/>
          </w:tcPr>
          <w:p>
            <w:pPr>
              <w:spacing w:after="0"/>
              <w:rPr>
                <w:sz w:val="6"/>
                <w:szCs w:val="6"/>
                <w:color w:val="auto"/>
              </w:rPr>
            </w:pPr>
          </w:p>
        </w:tc>
        <w:tc>
          <w:tcPr>
            <w:tcW w:w="14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80" w:type="dxa"/>
            <w:vAlign w:val="bottom"/>
            <w:tcBorders>
              <w:bottom w:val="single" w:sz="8" w:color="0000EE"/>
            </w:tcBorders>
          </w:tcPr>
          <w:p>
            <w:pPr>
              <w:spacing w:after="0"/>
              <w:rPr>
                <w:sz w:val="6"/>
                <w:szCs w:val="6"/>
                <w:color w:val="auto"/>
              </w:rPr>
            </w:pPr>
          </w:p>
        </w:tc>
        <w:tc>
          <w:tcPr>
            <w:tcW w:w="14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160" w:type="dxa"/>
            <w:vAlign w:val="bottom"/>
            <w:gridSpan w:val="3"/>
            <w:vMerge w:val="continue"/>
          </w:tcPr>
          <w:p>
            <w:pPr>
              <w:spacing w:after="0"/>
              <w:rPr>
                <w:sz w:val="5"/>
                <w:szCs w:val="5"/>
                <w:color w:val="auto"/>
              </w:rPr>
            </w:pPr>
          </w:p>
        </w:tc>
        <w:tc>
          <w:tcPr>
            <w:tcW w:w="14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7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400" w:type="dxa"/>
            <w:vAlign w:val="bottom"/>
            <w:tcBorders>
              <w:top w:val="single" w:sz="8" w:color="EEEEEE"/>
            </w:tcBorders>
          </w:tcPr>
          <w:p>
            <w:pPr>
              <w:spacing w:after="0"/>
              <w:rPr>
                <w:sz w:val="2"/>
                <w:szCs w:val="2"/>
                <w:color w:val="auto"/>
              </w:rPr>
            </w:pPr>
          </w:p>
        </w:tc>
        <w:tc>
          <w:tcPr>
            <w:tcW w:w="700" w:type="dxa"/>
            <w:vAlign w:val="bottom"/>
            <w:tcBorders>
              <w:top w:val="single" w:sz="8" w:color="EEEEEE"/>
            </w:tcBorders>
          </w:tcPr>
          <w:p>
            <w:pPr>
              <w:spacing w:after="0"/>
              <w:rPr>
                <w:sz w:val="2"/>
                <w:szCs w:val="2"/>
                <w:color w:val="auto"/>
              </w:rPr>
            </w:pPr>
          </w:p>
        </w:tc>
        <w:tc>
          <w:tcPr>
            <w:tcW w:w="14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06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100" w:type="dxa"/>
            <w:vAlign w:val="bottom"/>
            <w:gridSpan w:val="2"/>
            <w:vMerge w:val="restart"/>
          </w:tcPr>
          <w:p>
            <w:pPr>
              <w:ind w:left="160"/>
              <w:spacing w:after="0"/>
              <w:rPr>
                <w:sz w:val="20"/>
                <w:szCs w:val="20"/>
                <w:color w:val="auto"/>
              </w:rPr>
            </w:pPr>
            <w:r>
              <w:rPr>
                <w:rFonts w:ascii="Arial" w:cs="Arial" w:eastAsia="Arial" w:hAnsi="Arial"/>
                <w:sz w:val="13"/>
                <w:szCs w:val="13"/>
                <w:color w:val="auto"/>
              </w:rPr>
              <w:t>(First)</w:t>
            </w:r>
          </w:p>
        </w:tc>
        <w:tc>
          <w:tcPr>
            <w:tcW w:w="1480" w:type="dxa"/>
            <w:vAlign w:val="bottom"/>
            <w:vMerge w:val="restart"/>
          </w:tcPr>
          <w:p>
            <w:pPr>
              <w:ind w:left="2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1480" w:type="dxa"/>
            <w:vAlign w:val="bottom"/>
            <w:vMerge w:val="continue"/>
          </w:tcPr>
          <w:p>
            <w:pPr>
              <w:spacing w:after="0"/>
              <w:rPr>
                <w:sz w:val="8"/>
                <w:szCs w:val="8"/>
                <w:color w:val="auto"/>
              </w:rPr>
            </w:pPr>
          </w:p>
        </w:tc>
        <w:tc>
          <w:tcPr>
            <w:tcW w:w="24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05/18/2026</w:t>
            </w:r>
          </w:p>
        </w:tc>
        <w:tc>
          <w:tcPr>
            <w:tcW w:w="14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1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225 FRANKLIN STREET</w:t>
            </w:r>
          </w:p>
        </w:tc>
        <w:tc>
          <w:tcPr>
            <w:tcW w:w="1480" w:type="dxa"/>
            <w:vAlign w:val="bottom"/>
          </w:tcPr>
          <w:p>
            <w:pPr>
              <w:spacing w:after="0"/>
              <w:rPr>
                <w:sz w:val="11"/>
                <w:szCs w:val="11"/>
                <w:color w:val="auto"/>
              </w:rPr>
            </w:pPr>
          </w:p>
        </w:tc>
        <w:tc>
          <w:tcPr>
            <w:tcW w:w="2440" w:type="dxa"/>
            <w:vAlign w:val="bottom"/>
            <w:gridSpan w:val="3"/>
            <w:vMerge w:val="continue"/>
          </w:tcPr>
          <w:p>
            <w:pPr>
              <w:spacing w:after="0"/>
              <w:rPr>
                <w:sz w:val="11"/>
                <w:szCs w:val="11"/>
                <w:color w:val="auto"/>
              </w:rPr>
            </w:pPr>
          </w:p>
        </w:tc>
        <w:tc>
          <w:tcPr>
            <w:tcW w:w="14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160" w:type="dxa"/>
            <w:vAlign w:val="bottom"/>
            <w:gridSpan w:val="3"/>
            <w:vMerge w:val="continue"/>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0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2100</w:t>
            </w: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280" w:type="dxa"/>
            <w:vAlign w:val="bottom"/>
            <w:tcBorders>
              <w:bottom w:val="single" w:sz="8" w:color="2C2C2C"/>
            </w:tcBorders>
          </w:tcPr>
          <w:p>
            <w:pPr>
              <w:spacing w:after="0"/>
              <w:rPr>
                <w:sz w:val="12"/>
                <w:szCs w:val="12"/>
                <w:color w:val="auto"/>
              </w:rPr>
            </w:pPr>
          </w:p>
        </w:tc>
        <w:tc>
          <w:tcPr>
            <w:tcW w:w="14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02110</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520"/>
              <w:spacing w:after="0"/>
              <w:rPr>
                <w:sz w:val="20"/>
                <w:szCs w:val="20"/>
                <w:color w:val="auto"/>
              </w:rPr>
            </w:pPr>
            <w:r>
              <w:rPr>
                <w:rFonts w:ascii="Times New Roman" w:cs="Times New Roman" w:eastAsia="Times New Roman" w:hAnsi="Times New Roman"/>
                <w:sz w:val="17"/>
                <w:szCs w:val="17"/>
                <w:color w:val="0000FF"/>
              </w:rPr>
              <w:t>05/18/2025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6,100</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4.1715</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92,145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securities were purchased in multiple transactions at prices ranging from $4.14 to $4.19 per share of common stock.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4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Andrea Corcoran,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382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3822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Polly A.</w:t>
        <w:tab/>
        <w:t>05/20/2026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543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5433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29248" TargetMode="External"/><Relationship Id="rId14" Type="http://schemas.openxmlformats.org/officeDocument/2006/relationships/hyperlink" Target="http://www.sec.gov/cgi-bin/browse-edgar?action=getcompany&amp;CIK=000159389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2026-05-20T15:26:37Z</dcterms:created>
  <dcterms:modified xsi:type="dcterms:W3CDTF">2026-05-20T15:26:37Z</dcterms:modified>
</cp:coreProperties>
</file>