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DUNCAN BARBARA GAYLE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FRANKLIN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Atea Pharmaceuticals, Inc.</w:t>
              </w:r>
            </w:hyperlink>
            <w:r>
              <w:rPr/>
              <w:t xml:space="preserve"> [ </w:t>
            </w:r>
            <w:r>
              <w:rPr>
                <w:rFonts w:ascii="Times;serif" w:hAnsi="Times;serif"/>
                <w:color w:val="0000FF"/>
                <w:sz w:val="24"/>
                <w:shd w:fill="FFFFFF" w:val="clear"/>
              </w:rPr>
              <w:t>AVIR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92,350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vested in full on June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a single installment on the earlier of (i) the date of the next annual meeting of the Issuer's stockholders occurring after June 18, 2026 or (ii) June 18, 2027, in each case,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vests and becomes exercisable in twelve (12) substantially equal monthly installments following June 18, 2026, such that the option shall be fully vested on June 18, 2027, subject to the Reporting Person's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Andrea Corcoran, as Attorney-in-Fact for Barbara Gayle Duncan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3128" TargetMode="External"/><Relationship Id="rId5" Type="http://schemas.openxmlformats.org/officeDocument/2006/relationships/hyperlink" Target="http://www.sec.gov/cgi-bin/browse-edgar?action=getcompany&amp;CIK=00015938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3891</Characters>
  <CharactersWithSpaces>4531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