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KIRSCH ARTHUR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FRANKLIN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Atea Pharmaceuticals, Inc.</w:t>
              </w:r>
            </w:hyperlink>
            <w:r>
              <w:rPr/>
              <w:t xml:space="preserve"> [ </w:t>
            </w:r>
            <w:r>
              <w:rPr>
                <w:rFonts w:ascii="Times;serif" w:hAnsi="Times;serif"/>
                <w:color w:val="0000FF"/>
                <w:sz w:val="24"/>
                <w:shd w:fill="FFFFFF" w:val="clear"/>
              </w:rPr>
              <w:t>AVIR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a single installment on the earlier of (i) the date of the next annual meeting of the Issuer's stockholders occurring after June 18, 2026 or (ii) June 18, 2027, in each case, subject to the Reporting Person's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and becomes exercisable in twelve (12) substantially equal monthly installments following June 18, 2026, such that the option shall be fully vested on June 18, 2027, subject to the Reporting Person's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Andrea Corcoran, as Attorney-in-Fact for Arthur S. Kirsch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0976" TargetMode="External"/><Relationship Id="rId5" Type="http://schemas.openxmlformats.org/officeDocument/2006/relationships/hyperlink" Target="http://www.sec.gov/cgi-bin/browse-edgar?action=getcompany&amp;CIK=00015938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3739</Characters>
  <CharactersWithSpaces>4362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