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177800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700" w:right="1540" w:hanging="3679"/>
        <w:spacing w:after="0" w:line="297" w:lineRule="auto"/>
        <w:tabs>
          <w:tab w:leader="none" w:pos="4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2022</w:t>
      </w:r>
    </w:p>
    <w:p>
      <w:pPr>
        <w:jc w:val="center"/>
        <w:spacing w:after="0"/>
        <w:rPr>
          <w:sz w:val="20"/>
          <w:szCs w:val="20"/>
          <w:color w:val="auto"/>
        </w:rPr>
      </w:pPr>
      <w:r>
        <w:rPr>
          <w:rFonts w:ascii="Arial" w:cs="Arial" w:eastAsia="Arial" w:hAnsi="Arial"/>
          <w:sz w:val="18"/>
          <w:szCs w:val="18"/>
          <w:b w:val="1"/>
          <w:bCs w:val="1"/>
          <w:color w:val="auto"/>
        </w:rPr>
        <w:t>OR</w:t>
      </w:r>
    </w:p>
    <w:p>
      <w:pPr>
        <w:spacing w:after="0" w:line="50" w:lineRule="exact"/>
        <w:rPr>
          <w:sz w:val="24"/>
          <w:szCs w:val="24"/>
          <w:color w:val="auto"/>
        </w:rPr>
      </w:pPr>
    </w:p>
    <w:p>
      <w:pPr>
        <w:ind w:left="2700" w:right="1540" w:hanging="2679"/>
        <w:spacing w:after="0" w:line="313" w:lineRule="auto"/>
        <w:tabs>
          <w:tab w:leader="none" w:pos="48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 transition period from _______________ to _______________</w:t>
      </w:r>
    </w:p>
    <w:p>
      <w:pPr>
        <w:ind w:left="40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Commission File Number: 001-39661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189230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ATEA PHARMACEUTICALS, INC.</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177800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sectPr>
      </w:pPr>
    </w:p>
    <w:p>
      <w:pPr>
        <w:spacing w:after="0" w:line="200" w:lineRule="exact"/>
        <w:rPr>
          <w:sz w:val="24"/>
          <w:szCs w:val="24"/>
          <w:color w:val="auto"/>
        </w:rPr>
      </w:pPr>
    </w:p>
    <w:p>
      <w:pPr>
        <w:spacing w:after="0" w:line="291"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5"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46-0574869</w:t>
      </w:r>
    </w:p>
    <w:p>
      <w:pPr>
        <w:spacing w:after="0" w:line="7"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7" w:lineRule="exact"/>
        <w:rPr>
          <w:sz w:val="24"/>
          <w:szCs w:val="24"/>
          <w:color w:val="auto"/>
        </w:rPr>
      </w:pPr>
    </w:p>
    <w:p>
      <w:pPr>
        <w:sectPr>
          <w:pgSz w:w="11900" w:h="16838" w:orient="portrait"/>
          <w:cols w:equalWidth="0" w:num="2">
            <w:col w:w="7180" w:space="720"/>
            <w:col w:w="3340"/>
          </w:cols>
          <w:pgMar w:left="320" w:top="690" w:right="339" w:bottom="1440" w:gutter="0" w:footer="0" w:header="0"/>
          <w:type w:val="continuous"/>
        </w:sectPr>
      </w:pPr>
    </w:p>
    <w:tbl>
      <w:tblPr>
        <w:tblLayout w:type="fixed"/>
        <w:tblInd w:w="1520" w:type="dxa"/>
        <w:tblCellMar>
          <w:top w:w="0" w:type="dxa"/>
          <w:left w:w="0" w:type="dxa"/>
          <w:bottom w:w="0" w:type="dxa"/>
          <w:right w:w="0" w:type="dxa"/>
        </w:tblCellMar>
      </w:tblPr>
      <w:tr>
        <w:trPr>
          <w:trHeight w:val="207"/>
        </w:trPr>
        <w:tc>
          <w:tcPr>
            <w:tcW w:w="4600" w:type="dxa"/>
            <w:vAlign w:val="bottom"/>
          </w:tcPr>
          <w:p>
            <w:pPr>
              <w:jc w:val="center"/>
              <w:ind w:right="1919"/>
              <w:spacing w:after="0"/>
              <w:rPr>
                <w:sz w:val="20"/>
                <w:szCs w:val="20"/>
                <w:color w:val="auto"/>
              </w:rPr>
            </w:pPr>
            <w:r>
              <w:rPr>
                <w:rFonts w:ascii="Arial" w:cs="Arial" w:eastAsia="Arial" w:hAnsi="Arial"/>
                <w:sz w:val="18"/>
                <w:szCs w:val="18"/>
                <w:b w:val="1"/>
                <w:bCs w:val="1"/>
                <w:color w:val="auto"/>
                <w:w w:val="99"/>
              </w:rPr>
              <w:t>225 Franklin Street, Suite 2100</w:t>
            </w:r>
          </w:p>
        </w:tc>
        <w:tc>
          <w:tcPr>
            <w:tcW w:w="26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02110</w:t>
            </w:r>
          </w:p>
        </w:tc>
        <w:tc>
          <w:tcPr>
            <w:tcW w:w="0" w:type="dxa"/>
            <w:vAlign w:val="bottom"/>
          </w:tcPr>
          <w:p>
            <w:pPr>
              <w:spacing w:after="0"/>
              <w:rPr>
                <w:sz w:val="1"/>
                <w:szCs w:val="1"/>
                <w:color w:val="auto"/>
              </w:rPr>
            </w:pPr>
          </w:p>
        </w:tc>
      </w:tr>
      <w:tr>
        <w:trPr>
          <w:trHeight w:val="217"/>
        </w:trPr>
        <w:tc>
          <w:tcPr>
            <w:tcW w:w="4600" w:type="dxa"/>
            <w:vAlign w:val="bottom"/>
          </w:tcPr>
          <w:p>
            <w:pPr>
              <w:ind w:left="780"/>
              <w:spacing w:after="0"/>
              <w:rPr>
                <w:sz w:val="20"/>
                <w:szCs w:val="20"/>
                <w:color w:val="auto"/>
              </w:rPr>
            </w:pPr>
            <w:r>
              <w:rPr>
                <w:rFonts w:ascii="Arial" w:cs="Arial" w:eastAsia="Arial" w:hAnsi="Arial"/>
                <w:sz w:val="18"/>
                <w:szCs w:val="18"/>
                <w:b w:val="1"/>
                <w:bCs w:val="1"/>
                <w:color w:val="auto"/>
              </w:rPr>
              <w:t>Boston, MA</w:t>
            </w:r>
          </w:p>
        </w:tc>
        <w:tc>
          <w:tcPr>
            <w:tcW w:w="2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4600" w:type="dxa"/>
            <w:vAlign w:val="bottom"/>
          </w:tcPr>
          <w:p>
            <w:pPr>
              <w:jc w:val="center"/>
              <w:ind w:right="191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20" w:type="dxa"/>
            <w:vAlign w:val="bottom"/>
          </w:tcPr>
          <w:p>
            <w:pPr>
              <w:jc w:val="center"/>
              <w:ind w:left="1924"/>
              <w:spacing w:after="0"/>
              <w:rPr>
                <w:sz w:val="20"/>
                <w:szCs w:val="20"/>
                <w:color w:val="auto"/>
              </w:rPr>
            </w:pPr>
            <w:r>
              <w:rPr>
                <w:rFonts w:ascii="Arial" w:cs="Arial" w:eastAsia="Arial" w:hAnsi="Arial"/>
                <w:sz w:val="13"/>
                <w:szCs w:val="13"/>
                <w:b w:val="1"/>
                <w:bCs w:val="1"/>
                <w:color w:val="auto"/>
                <w:w w:val="96"/>
              </w:rPr>
              <w:t>(Zip Code)</w:t>
            </w:r>
          </w:p>
        </w:tc>
        <w:tc>
          <w:tcPr>
            <w:tcW w:w="0" w:type="dxa"/>
            <w:vAlign w:val="bottom"/>
          </w:tcPr>
          <w:p>
            <w:pPr>
              <w:spacing w:after="0"/>
              <w:rPr>
                <w:sz w:val="1"/>
                <w:szCs w:val="1"/>
                <w:color w:val="auto"/>
              </w:rPr>
            </w:pPr>
          </w:p>
        </w:tc>
      </w:tr>
    </w:tbl>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(857) 284-8891</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ind w:left="16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4"/>
                <w:szCs w:val="14"/>
                <w:color w:val="auto"/>
              </w:rPr>
            </w:pPr>
          </w:p>
        </w:tc>
        <w:tc>
          <w:tcPr>
            <w:tcW w:w="202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5"/>
        </w:trPr>
        <w:tc>
          <w:tcPr>
            <w:tcW w:w="4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44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20"/>
              <w:spacing w:after="0"/>
              <w:rPr>
                <w:sz w:val="20"/>
                <w:szCs w:val="20"/>
                <w:color w:val="auto"/>
              </w:rPr>
            </w:pPr>
            <w:r>
              <w:rPr>
                <w:rFonts w:ascii="Arial" w:cs="Arial" w:eastAsia="Arial" w:hAnsi="Arial"/>
                <w:sz w:val="16"/>
                <w:szCs w:val="16"/>
                <w:color w:val="auto"/>
              </w:rPr>
              <w:t>Common Stock, $0.001 par value per share</w:t>
            </w:r>
          </w:p>
        </w:tc>
        <w:tc>
          <w:tcPr>
            <w:tcW w:w="12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color w:val="auto"/>
                <w:w w:val="96"/>
              </w:rPr>
              <w:t>AVIR</w:t>
            </w:r>
          </w:p>
        </w:tc>
        <w:tc>
          <w:tcPr>
            <w:tcW w:w="12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rPr>
              <w:t>The Nasdaq Global Select Market</w:t>
            </w:r>
          </w:p>
        </w:tc>
        <w:tc>
          <w:tcPr>
            <w:tcW w:w="0" w:type="dxa"/>
            <w:vAlign w:val="bottom"/>
          </w:tcPr>
          <w:p>
            <w:pPr>
              <w:spacing w:after="0"/>
              <w:rPr>
                <w:sz w:val="1"/>
                <w:szCs w:val="1"/>
                <w:color w:val="auto"/>
              </w:rPr>
            </w:pPr>
          </w:p>
        </w:tc>
      </w:tr>
    </w:tbl>
    <w:p>
      <w:pPr>
        <w:spacing w:after="0" w:line="176" w:lineRule="exact"/>
        <w:rPr>
          <w:sz w:val="24"/>
          <w:szCs w:val="24"/>
          <w:color w:val="auto"/>
        </w:rPr>
      </w:pPr>
    </w:p>
    <w:p>
      <w:pPr>
        <w:ind w:right="120" w:firstLine="599"/>
        <w:spacing w:after="0" w:line="19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6" w:lineRule="exact"/>
        <w:rPr>
          <w:sz w:val="24"/>
          <w:szCs w:val="24"/>
          <w:color w:val="auto"/>
        </w:rPr>
      </w:pPr>
    </w:p>
    <w:p>
      <w:pPr>
        <w:jc w:val="both"/>
        <w:ind w:right="40" w:firstLine="599"/>
        <w:spacing w:after="0" w:line="202"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2"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18"/>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2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19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260" w:type="dxa"/>
            <w:vAlign w:val="bottom"/>
          </w:tcPr>
          <w:p>
            <w:pPr>
              <w:ind w:left="3100"/>
              <w:spacing w:after="0"/>
              <w:rPr>
                <w:sz w:val="20"/>
                <w:szCs w:val="20"/>
                <w:color w:val="auto"/>
              </w:rPr>
            </w:pPr>
            <w:r>
              <w:rPr>
                <w:rFonts w:ascii="Arial" w:cs="Arial" w:eastAsia="Arial" w:hAnsi="Arial"/>
                <w:sz w:val="16"/>
                <w:szCs w:val="16"/>
                <w:color w:val="auto"/>
              </w:rPr>
              <w:t>Emerging growth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3" w:lineRule="exact"/>
        <w:rPr>
          <w:sz w:val="24"/>
          <w:szCs w:val="24"/>
          <w:color w:val="auto"/>
        </w:rPr>
      </w:pPr>
    </w:p>
    <w:p>
      <w:pPr>
        <w:jc w:val="both"/>
        <w:ind w:right="60" w:firstLine="599"/>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3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2022, the registrant had 83,258,603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358140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This Quarterly Report on Form 10-Q contains forward-looking statements. We make such forward-looking statements pursuant to the safe harbor provisions of the Private Securities Litigation Reform Act of 1995 and other federal securities laws. Forward-looking statements are neither historical facts nor assurances of future performance. Instead, they are based on our current beliefs, expectations and assumptions regarding the future of our business, future plans and strategies, our clinical results and other future conditions. The words “aim,” “anticipate,”</w:t>
      </w:r>
    </w:p>
    <w:p>
      <w:pPr>
        <w:ind w:right="100"/>
        <w:spacing w:after="0" w:line="226" w:lineRule="auto"/>
        <w:rPr>
          <w:sz w:val="20"/>
          <w:szCs w:val="20"/>
          <w:color w:val="auto"/>
        </w:rPr>
      </w:pPr>
      <w:r>
        <w:rPr>
          <w:rFonts w:ascii="Arial" w:cs="Arial" w:eastAsia="Arial" w:hAnsi="Arial"/>
          <w:sz w:val="18"/>
          <w:szCs w:val="18"/>
          <w:color w:val="auto"/>
        </w:rPr>
        <w:t>“believe,” “contemplate,” “continue,” “could,” “estimate,” “expect,” “goal,” “intend,” “may,” "on track," “plan,” “possible,” “potential,” “predict,” “project,” “seek,” “should,” “target,” “will,” “would” or the negative of these terms or other similar expressions are intended to identify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although not all forward-looking statements contain these identifying words.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198" w:lineRule="exact"/>
        <w:rPr>
          <w:sz w:val="20"/>
          <w:szCs w:val="20"/>
          <w:color w:val="auto"/>
        </w:rPr>
      </w:pPr>
    </w:p>
    <w:p>
      <w:pPr>
        <w:ind w:left="760" w:right="580" w:hanging="378"/>
        <w:spacing w:after="0" w:line="244"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relating to clinical trials for our product candidates, including projected costs, study designs or the timing for initiation, recruitment, completion, or reporting top-line data;</w:t>
      </w:r>
    </w:p>
    <w:p>
      <w:pPr>
        <w:spacing w:after="0" w:line="1" w:lineRule="exact"/>
        <w:rPr>
          <w:rFonts w:ascii="Times New Roman" w:cs="Times New Roman" w:eastAsia="Times New Roman" w:hAnsi="Times New Roman"/>
          <w:sz w:val="18"/>
          <w:szCs w:val="18"/>
          <w:color w:val="auto"/>
        </w:rPr>
      </w:pPr>
    </w:p>
    <w:p>
      <w:pPr>
        <w:ind w:left="760" w:hanging="378"/>
        <w:spacing w:after="0" w:line="21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therapeutic benefits of our product candidates and the potential indications and market opportunities therefor;</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of bemnifosbuvir to retain antiviral activity against circulating COVID-19 variants of concern and to treat COVID-19;</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profile and related adverse events of our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plans to research, develop and commercialize our current and future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any future collaboration we may enter into;</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our ability to obtain and maintain regulatory approvals for our product candidates;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and clinical utility of any products for which we may receive marketing approval;</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commercialization, marketing and manufacturing capabilities and strategy;</w:t>
      </w:r>
    </w:p>
    <w:p>
      <w:pPr>
        <w:ind w:left="760" w:hanging="378"/>
        <w:spacing w:after="0" w:line="218"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estimates regarding future revenue, expenses and results of operations;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progress of, timing of and amount of expenses associated with our research, development and commercialization activities;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future financial position, capital requirements and needs for additional financing;</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strategy;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competing treatments and vaccines and our industry;</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expectations regarding federal, state and foreign laws and regulations;</w:t>
      </w:r>
    </w:p>
    <w:p>
      <w:pPr>
        <w:ind w:left="760" w:hanging="378"/>
        <w:spacing w:after="0" w:line="233" w:lineRule="auto"/>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motivate, and retain key personnel; and</w:t>
      </w: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COVID-19 on our business, including our preclinical studies and clinical trials.</w:t>
      </w:r>
    </w:p>
    <w:p>
      <w:pPr>
        <w:spacing w:after="0" w:line="166" w:lineRule="exact"/>
        <w:rPr>
          <w:sz w:val="20"/>
          <w:szCs w:val="20"/>
          <w:color w:val="auto"/>
        </w:rPr>
      </w:pPr>
    </w:p>
    <w:p>
      <w:pPr>
        <w:ind w:right="20"/>
        <w:spacing w:after="0" w:line="251" w:lineRule="auto"/>
        <w:rPr>
          <w:sz w:val="20"/>
          <w:szCs w:val="20"/>
          <w:color w:val="auto"/>
        </w:rPr>
      </w:pPr>
      <w:r>
        <w:rPr>
          <w:rFonts w:ascii="Arial" w:cs="Arial" w:eastAsia="Arial" w:hAnsi="Arial"/>
          <w:sz w:val="17"/>
          <w:szCs w:val="17"/>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Factors that may cause actual results to differ materially from current expectations include the initiation, execution and completion of clinical trials, uncertainties surrounding the timing of availability of data from our clinical trials, ongoing discussions with and actions by regulatory authorities, our development activities and those other factors we discuss in Part II, Item 1A. “Risk Factors.” You should read these Risk Factors and the other cautionary statements made in this report as being applicable to all related forward-looking statements</w:t>
      </w:r>
    </w:p>
    <w:p>
      <w:pPr>
        <w:spacing w:after="0" w:line="4"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wherever they appear in this report. The Risk Factors are not exhaustive and other sections of this report may include additional factors which could adversely impact our business and financial performance. Given these uncertainties, you should not rely on these forward-</w:t>
      </w:r>
    </w:p>
    <w:p>
      <w:pPr>
        <w:spacing w:after="0" w:line="2" w:lineRule="exact"/>
        <w:rPr>
          <w:sz w:val="20"/>
          <w:szCs w:val="20"/>
          <w:color w:val="auto"/>
        </w:rPr>
      </w:pPr>
    </w:p>
    <w:p>
      <w:pPr>
        <w:ind w:right="300"/>
        <w:spacing w:after="0" w:line="250" w:lineRule="auto"/>
        <w:rPr>
          <w:sz w:val="20"/>
          <w:szCs w:val="20"/>
          <w:color w:val="auto"/>
        </w:rPr>
      </w:pPr>
      <w:r>
        <w:rPr>
          <w:rFonts w:ascii="Arial" w:cs="Arial" w:eastAsia="Arial" w:hAnsi="Arial"/>
          <w:sz w:val="18"/>
          <w:szCs w:val="18"/>
          <w:color w:val="auto"/>
        </w:rPr>
        <w:t>looking statements as predictions of future events. Except as required by law, we assume no obligation to update or revise these forward-looking statements for any reason, even if new information becomes available in the future.</w:t>
      </w:r>
    </w:p>
    <w:p>
      <w:pPr>
        <w:spacing w:after="0" w:line="158"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As used in this Quarterly Report on Form 10-Q, unless otherwise specified or the context otherwise requires, the terms “we,” “our,” “us,” and the “Company” refer to Atea Pharmaceuticals, Inc. and its subsidiary. All brand names or trademarks appearing in this Quarterly Report on Form 10-Q are the property of their respective owners.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10"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SUMMARY RISK FACTORS</w:t>
      </w:r>
    </w:p>
    <w:p>
      <w:pPr>
        <w:spacing w:after="0" w:line="9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Our business is subject to numerous risks and uncertainties, including those described in Part I, Item 1A. “Risk Factors” in this Quarterly Report on Form 10-Q. The principal risks and uncertainties affecting our business include the following:</w:t>
      </w:r>
    </w:p>
    <w:p>
      <w:pPr>
        <w:spacing w:after="0" w:line="18"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There is significant uncertainty around our development of bemnifosbuvir as a potential treatment for COVID-19.</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are highly dependent on our management, directors and other key personnel.</w:t>
      </w:r>
    </w:p>
    <w:p>
      <w:pPr>
        <w:spacing w:after="0" w:line="89" w:lineRule="exact"/>
        <w:rPr>
          <w:rFonts w:ascii="Times New Roman" w:cs="Times New Roman" w:eastAsia="Times New Roman" w:hAnsi="Times New Roman"/>
          <w:sz w:val="18"/>
          <w:szCs w:val="18"/>
          <w:color w:val="auto"/>
        </w:rPr>
      </w:pPr>
    </w:p>
    <w:p>
      <w:pPr>
        <w:ind w:left="1020" w:right="18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expend resources in anticipation of potential clinical trials and commercialization of bemnifosbuvir, which we may not be able to recover if bemnifosbuvir is not approved for the treatment of COVID-19, we are not successful at commercializing bemnifosbuvir or bemnifosbuvir is rendered inferior or obsolete due to rapid changes in COVID -19 epidemiology as a result of the emergence of new SARS-CoV-2 variants or subvariants.</w:t>
      </w:r>
    </w:p>
    <w:p>
      <w:pPr>
        <w:spacing w:after="0" w:line="55" w:lineRule="exact"/>
        <w:rPr>
          <w:rFonts w:ascii="Times New Roman" w:cs="Times New Roman" w:eastAsia="Times New Roman" w:hAnsi="Times New Roman"/>
          <w:sz w:val="18"/>
          <w:szCs w:val="18"/>
          <w:color w:val="auto"/>
        </w:rPr>
      </w:pPr>
    </w:p>
    <w:p>
      <w:pPr>
        <w:ind w:left="1020" w:right="220" w:hanging="503"/>
        <w:spacing w:after="0" w:line="28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new therapeutics for the treatment of COVID-19 may be reduced, perhaps significantly, if vaccines and current therapeutics remain effective in minimizing serious consequences of the disease.</w:t>
      </w:r>
    </w:p>
    <w:p>
      <w:pPr>
        <w:spacing w:after="0" w:line="18" w:lineRule="exact"/>
        <w:rPr>
          <w:rFonts w:ascii="Times New Roman" w:cs="Times New Roman" w:eastAsia="Times New Roman" w:hAnsi="Times New Roman"/>
          <w:sz w:val="18"/>
          <w:szCs w:val="18"/>
          <w:color w:val="auto"/>
        </w:rPr>
      </w:pPr>
    </w:p>
    <w:p>
      <w:pPr>
        <w:ind w:left="1020" w:right="7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Bemnifosbuvir will face significant competition from other treatments for COVID-19 that are currently marketed or are in development.</w:t>
      </w:r>
    </w:p>
    <w:p>
      <w:pPr>
        <w:spacing w:after="0" w:line="32" w:lineRule="exact"/>
        <w:rPr>
          <w:rFonts w:ascii="Times New Roman" w:cs="Times New Roman" w:eastAsia="Times New Roman" w:hAnsi="Times New Roman"/>
          <w:sz w:val="18"/>
          <w:szCs w:val="18"/>
          <w:color w:val="auto"/>
        </w:rPr>
      </w:pPr>
    </w:p>
    <w:p>
      <w:pPr>
        <w:ind w:left="1020" w:right="84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COVID-19 pandemic and future variant fueled pandemic surges may materially and adversely affect our business opportunities, clinical trials and financial results.</w:t>
      </w:r>
    </w:p>
    <w:p>
      <w:pPr>
        <w:spacing w:after="0" w:line="3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a limited operating history and no organizational history of successfully developing or commercializing any approved antiviral products, which may make it difficult to evaluate the success of our business to date and to assess the prospects for our future viability.</w:t>
      </w:r>
    </w:p>
    <w:p>
      <w:pPr>
        <w:spacing w:after="0" w:line="41" w:lineRule="exact"/>
        <w:rPr>
          <w:rFonts w:ascii="Times New Roman" w:cs="Times New Roman" w:eastAsia="Times New Roman" w:hAnsi="Times New Roman"/>
          <w:sz w:val="18"/>
          <w:szCs w:val="18"/>
          <w:color w:val="auto"/>
        </w:rPr>
      </w:pPr>
    </w:p>
    <w:p>
      <w:pPr>
        <w:jc w:val="both"/>
        <w:ind w:left="1020" w:right="180" w:hanging="503"/>
        <w:spacing w:after="0" w:line="300" w:lineRule="auto"/>
        <w:tabs>
          <w:tab w:leader="none" w:pos="10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We have incurred significant operating expenses since inception. We expect our expenditures will increase for the foreseeable future. We have no products that have generated any commercial revenue and we may never achieve or maintain profitability.</w:t>
      </w:r>
    </w:p>
    <w:p>
      <w:pPr>
        <w:spacing w:after="0" w:line="9" w:lineRule="exact"/>
        <w:rPr>
          <w:rFonts w:ascii="Times New Roman" w:cs="Times New Roman" w:eastAsia="Times New Roman" w:hAnsi="Times New Roman"/>
          <w:sz w:val="17"/>
          <w:szCs w:val="17"/>
          <w:color w:val="auto"/>
        </w:rPr>
      </w:pPr>
    </w:p>
    <w:p>
      <w:pPr>
        <w:jc w:val="both"/>
        <w:ind w:left="1020" w:right="4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41"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use our net operating loss carryforwards and other tax attributes to offset taxable income may be subject to certain limitations.</w:t>
      </w:r>
    </w:p>
    <w:p>
      <w:pPr>
        <w:spacing w:after="0" w:line="32"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is highly dependent on the success of our most advanced product candidates, including bemnifosbuvir. If we fail to successfully develop bemnifosbuvir for the treatment of COVID-19 or if our other product candidates for the treatment of hepatitis C ("HCV") or dengue fail in nonclinical or clinical development, or we are unable to obtain regulatory approval or successfully commercialize any of our product candidates, or are significantly delayed in doing so, our business will be harmed.</w:t>
      </w:r>
    </w:p>
    <w:p>
      <w:pPr>
        <w:spacing w:after="0" w:line="47" w:lineRule="exact"/>
        <w:rPr>
          <w:rFonts w:ascii="Times New Roman" w:cs="Times New Roman" w:eastAsia="Times New Roman" w:hAnsi="Times New Roman"/>
          <w:sz w:val="18"/>
          <w:szCs w:val="18"/>
          <w:color w:val="auto"/>
        </w:rPr>
      </w:pPr>
    </w:p>
    <w:p>
      <w:pPr>
        <w:ind w:left="1020" w:right="4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approval processes of the U.S. Food and Drug Administration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 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54"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development, including enrollment of patients in clinical trials, is an expensive, lengthy and uncertain process. We may encounter substantial delays and costs in our clinical trials, or may not be able to conduct or complete our clinical trials on the timelines we expect, if at all.</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intend to develop certain of our product candidates in combination with other therapies, which exposes us to additional risks.</w:t>
      </w:r>
    </w:p>
    <w:p>
      <w:pPr>
        <w:spacing w:after="0" w:line="89"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3" w:name="page4"/>
    <w:bookmarkEnd w:id="3"/>
    <w:p>
      <w:pPr>
        <w:ind w:left="503"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32" w:lineRule="exact"/>
        <w:rPr>
          <w:rFonts w:ascii="Times New Roman" w:cs="Times New Roman" w:eastAsia="Times New Roman" w:hAnsi="Times New Roman"/>
          <w:sz w:val="18"/>
          <w:szCs w:val="18"/>
          <w:color w:val="auto"/>
        </w:rPr>
      </w:pPr>
    </w:p>
    <w:p>
      <w:pPr>
        <w:ind w:left="503" w:hanging="503"/>
        <w:spacing w:after="0" w:line="314"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Interim, topline and preliminary data from our clinical trials that we announce or publish from time to time may change as more data become available and are subject to audit and verification procedures that could result in material changes in the final data.</w:t>
      </w: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successful in our efforts to identify and successfully develop additional product candidates.</w:t>
      </w:r>
    </w:p>
    <w:p>
      <w:pPr>
        <w:spacing w:after="0" w:line="89" w:lineRule="exact"/>
        <w:rPr>
          <w:rFonts w:ascii="Times New Roman" w:cs="Times New Roman" w:eastAsia="Times New Roman" w:hAnsi="Times New Roman"/>
          <w:sz w:val="18"/>
          <w:szCs w:val="18"/>
          <w:color w:val="auto"/>
        </w:rPr>
      </w:pPr>
    </w:p>
    <w:p>
      <w:pPr>
        <w:ind w:left="503" w:right="50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healthcare laws and other legal compliance matters may materially and adversely affect our business and financial results.</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commercialization may materially and adversely affect our business and financial results.</w:t>
      </w:r>
    </w:p>
    <w:p>
      <w:pPr>
        <w:spacing w:after="0" w:line="89" w:lineRule="exact"/>
        <w:rPr>
          <w:rFonts w:ascii="Times New Roman" w:cs="Times New Roman" w:eastAsia="Times New Roman" w:hAnsi="Times New Roman"/>
          <w:sz w:val="18"/>
          <w:szCs w:val="18"/>
          <w:color w:val="auto"/>
        </w:rPr>
      </w:pPr>
    </w:p>
    <w:p>
      <w:pPr>
        <w:ind w:left="503" w:right="52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manufacturing and our dependence on third parties may materially and adversely affect our business and financial results.</w:t>
      </w:r>
    </w:p>
    <w:p>
      <w:pPr>
        <w:spacing w:after="0" w:line="32" w:lineRule="exact"/>
        <w:rPr>
          <w:rFonts w:ascii="Times New Roman" w:cs="Times New Roman" w:eastAsia="Times New Roman" w:hAnsi="Times New Roman"/>
          <w:sz w:val="18"/>
          <w:szCs w:val="18"/>
          <w:color w:val="auto"/>
        </w:rPr>
      </w:pPr>
    </w:p>
    <w:p>
      <w:pPr>
        <w:ind w:left="503" w:hanging="503"/>
        <w:spacing w:after="0" w:line="247"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intellectual property may materially and adversely affect our business and financial results, including 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54"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have only a limited number of employees which may be inadequate to manage and operate our business.</w:t>
      </w:r>
    </w:p>
    <w:p>
      <w:pPr>
        <w:spacing w:after="0" w:line="89" w:lineRule="exact"/>
        <w:rPr>
          <w:rFonts w:ascii="Times New Roman" w:cs="Times New Roman" w:eastAsia="Times New Roman" w:hAnsi="Times New Roman"/>
          <w:sz w:val="18"/>
          <w:szCs w:val="18"/>
          <w:color w:val="auto"/>
        </w:rPr>
      </w:pPr>
    </w:p>
    <w:p>
      <w:pPr>
        <w:ind w:left="503" w:right="180" w:hanging="503"/>
        <w:spacing w:after="0" w:line="286"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and operations may suffer in the event of system failures, deficiencies or intrusions which could materially affect our results.</w:t>
      </w:r>
    </w:p>
    <w:p>
      <w:pPr>
        <w:spacing w:after="0" w:line="18" w:lineRule="exact"/>
        <w:rPr>
          <w:rFonts w:ascii="Times New Roman" w:cs="Times New Roman" w:eastAsia="Times New Roman" w:hAnsi="Times New Roman"/>
          <w:sz w:val="18"/>
          <w:szCs w:val="18"/>
          <w:color w:val="auto"/>
        </w:rPr>
      </w:pPr>
    </w:p>
    <w:p>
      <w:pPr>
        <w:ind w:left="503" w:right="24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to expand our organization, and we may experience difficulties in managing this growth, which could disrupt our operations.</w:t>
      </w:r>
    </w:p>
    <w:p>
      <w:pPr>
        <w:spacing w:after="0" w:line="32" w:lineRule="exact"/>
        <w:rPr>
          <w:rFonts w:ascii="Times New Roman" w:cs="Times New Roman" w:eastAsia="Times New Roman" w:hAnsi="Times New Roman"/>
          <w:sz w:val="18"/>
          <w:szCs w:val="18"/>
          <w:color w:val="auto"/>
        </w:rPr>
      </w:pPr>
    </w:p>
    <w:p>
      <w:pPr>
        <w:ind w:left="503" w:right="400" w:hanging="503"/>
        <w:spacing w:after="0" w:line="300" w:lineRule="auto"/>
        <w:tabs>
          <w:tab w:leader="none" w:pos="503" w:val="left"/>
        </w:tabs>
        <w:numPr>
          <w:ilvl w:val="0"/>
          <w:numId w:val="5"/>
        </w:numPr>
        <w:rPr>
          <w:rFonts w:ascii="Times New Roman" w:cs="Times New Roman" w:eastAsia="Times New Roman" w:hAnsi="Times New Roman"/>
          <w:sz w:val="17"/>
          <w:szCs w:val="17"/>
          <w:color w:val="auto"/>
        </w:rPr>
      </w:pPr>
      <w:r>
        <w:rPr>
          <w:rFonts w:ascii="Arial" w:cs="Arial" w:eastAsia="Arial" w:hAnsi="Arial"/>
          <w:sz w:val="17"/>
          <w:szCs w:val="17"/>
          <w:color w:val="auto"/>
        </w:rPr>
        <w:t>We may engage in acquisitions or strategic partnerships that could disrupt our business, cause dilution to our stockholders, reduce our financial resources, cause us to incur debt or assume contingent liabilities, and subject us to other risks.</w:t>
      </w:r>
    </w:p>
    <w:p>
      <w:pPr>
        <w:spacing w:after="0" w:line="9" w:lineRule="exact"/>
        <w:rPr>
          <w:rFonts w:ascii="Times New Roman" w:cs="Times New Roman" w:eastAsia="Times New Roman" w:hAnsi="Times New Roman"/>
          <w:sz w:val="17"/>
          <w:szCs w:val="17"/>
          <w:color w:val="auto"/>
        </w:rPr>
      </w:pPr>
    </w:p>
    <w:p>
      <w:pPr>
        <w:ind w:left="503" w:right="160" w:hanging="503"/>
        <w:spacing w:after="0" w:line="26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or the third parties upon whom we depend may be adversely affected by natural disasters or other unforeseen events resulting in business interruptions and our business continuity and disaster recovery plans may not adequately protect us from such business interruptions.</w:t>
      </w:r>
    </w:p>
    <w:p>
      <w:pPr>
        <w:spacing w:after="0" w:line="4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Litigation against us could be costly and time-consuming to defend and could result in additional liabilities.</w:t>
      </w:r>
    </w:p>
    <w:p>
      <w:pPr>
        <w:spacing w:after="0" w:line="89" w:lineRule="exact"/>
        <w:rPr>
          <w:rFonts w:ascii="Times New Roman" w:cs="Times New Roman" w:eastAsia="Times New Roman" w:hAnsi="Times New Roman"/>
          <w:sz w:val="18"/>
          <w:szCs w:val="18"/>
          <w:color w:val="auto"/>
        </w:rPr>
      </w:pPr>
    </w:p>
    <w:p>
      <w:pPr>
        <w:ind w:left="503" w:right="280" w:hanging="503"/>
        <w:spacing w:after="0" w:line="27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Unstable market and economic conditions may have serious adverse consequences on our business, financial condition and share price.</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Risks related to our common stock may materially and adversely affect our stock price.</w:t>
      </w:r>
    </w:p>
    <w:p>
      <w:pPr>
        <w:spacing w:after="0" w:line="89" w:lineRule="exact"/>
        <w:rPr>
          <w:rFonts w:ascii="Times New Roman" w:cs="Times New Roman" w:eastAsia="Times New Roman" w:hAnsi="Times New Roman"/>
          <w:sz w:val="18"/>
          <w:szCs w:val="18"/>
          <w:color w:val="auto"/>
        </w:rPr>
      </w:pPr>
    </w:p>
    <w:p>
      <w:pPr>
        <w:ind w:left="503" w:right="140" w:hanging="503"/>
        <w:spacing w:after="0" w:line="260"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28" w:lineRule="exact"/>
        <w:rPr>
          <w:rFonts w:ascii="Times New Roman" w:cs="Times New Roman" w:eastAsia="Times New Roman" w:hAnsi="Times New Roman"/>
          <w:sz w:val="18"/>
          <w:szCs w:val="18"/>
          <w:color w:val="auto"/>
        </w:rPr>
      </w:pPr>
    </w:p>
    <w:p>
      <w:pPr>
        <w:ind w:left="503" w:right="80" w:hanging="503"/>
        <w:spacing w:after="0" w:line="252" w:lineRule="auto"/>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our information systems, or those maintained on our behalf, fail or suffer security breaches, such events could result in, without limitation, the following: a significant disruption of our product development programs; an inability to operate our business effectively; unauthorized access to or disclosure of the personal information we process; and other adverse effects on our business, financial condition, results of operations and prospects.</w:t>
      </w:r>
    </w:p>
    <w:p>
      <w:pPr>
        <w:spacing w:after="0" w:line="4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subject to securities class action litigation.</w:t>
      </w:r>
    </w:p>
    <w:p>
      <w:pPr>
        <w:spacing w:after="0" w:line="200" w:lineRule="exact"/>
        <w:rPr>
          <w:sz w:val="20"/>
          <w:szCs w:val="20"/>
          <w:color w:val="auto"/>
        </w:rPr>
      </w:pPr>
    </w:p>
    <w:p>
      <w:pPr>
        <w:spacing w:after="0" w:line="321"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418" w:right="379" w:bottom="1440" w:gutter="0" w:footer="0" w:header="0"/>
        </w:sectPr>
      </w:pPr>
    </w:p>
    <w:bookmarkStart w:id="4" w:name="page5"/>
    <w:bookmarkEnd w:id="4"/>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440" w:type="dxa"/>
            <w:vAlign w:val="bottom"/>
            <w:gridSpan w:val="24"/>
            <w:vMerge w:val="restart"/>
          </w:tcPr>
          <w:p>
            <w:pPr>
              <w:spacing w:after="0"/>
              <w:rPr>
                <w:sz w:val="20"/>
                <w:szCs w:val="20"/>
                <w:color w:val="auto"/>
              </w:rPr>
            </w:pPr>
            <w:r>
              <w:rPr>
                <w:rFonts w:ascii="Arial" w:cs="Arial" w:eastAsia="Arial" w:hAnsi="Arial"/>
                <w:sz w:val="18"/>
                <w:szCs w:val="18"/>
                <w:color w:val="0000FF"/>
              </w:rPr>
              <w:t>SPECIAL NOTE REGARDING FORWARD-LOOKING STATEMENTS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10440" w:type="dxa"/>
            <w:vAlign w:val="bottom"/>
            <w:gridSpan w:val="24"/>
            <w:vMerge w:val="continue"/>
          </w:tcPr>
          <w:p>
            <w:pPr>
              <w:spacing w:after="0"/>
              <w:rPr>
                <w:sz w:val="13"/>
                <w:szCs w:val="13"/>
                <w:color w:val="auto"/>
              </w:rPr>
            </w:pPr>
          </w:p>
        </w:tc>
        <w:tc>
          <w:tcPr>
            <w:tcW w:w="780" w:type="dxa"/>
            <w:vAlign w:val="bottom"/>
          </w:tcPr>
          <w:p>
            <w:pPr>
              <w:jc w:val="right"/>
              <w:spacing w:after="0" w:line="156" w:lineRule="exact"/>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SUMMARY RISK FACTORS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line="202" w:lineRule="exact"/>
              <w:rPr>
                <w:sz w:val="20"/>
                <w:szCs w:val="20"/>
                <w:color w:val="auto"/>
              </w:rPr>
            </w:pPr>
            <w:r>
              <w:rPr>
                <w:rFonts w:ascii="Arial" w:cs="Arial" w:eastAsia="Arial" w:hAnsi="Arial"/>
                <w:sz w:val="18"/>
                <w:szCs w:val="18"/>
                <w:color w:val="auto"/>
              </w:rPr>
              <w:t>Item 1.</w:t>
            </w: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83"/>
        </w:trPr>
        <w:tc>
          <w:tcPr>
            <w:tcW w:w="1140" w:type="dxa"/>
            <w:vAlign w:val="bottom"/>
            <w:gridSpan w:val="2"/>
            <w:vMerge w:val="continue"/>
          </w:tcPr>
          <w:p>
            <w:pPr>
              <w:spacing w:after="0"/>
              <w:rPr>
                <w:sz w:val="15"/>
                <w:szCs w:val="15"/>
                <w:color w:val="auto"/>
              </w:rPr>
            </w:pPr>
          </w:p>
        </w:tc>
        <w:tc>
          <w:tcPr>
            <w:tcW w:w="2680" w:type="dxa"/>
            <w:vAlign w:val="bottom"/>
            <w:tcBorders>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15"/>
                <w:szCs w:val="15"/>
                <w:color w:val="auto"/>
              </w:rPr>
            </w:pPr>
          </w:p>
        </w:tc>
        <w:tc>
          <w:tcPr>
            <w:tcW w:w="6600" w:type="dxa"/>
            <w:vAlign w:val="bottom"/>
            <w:gridSpan w:val="11"/>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700" w:type="dxa"/>
            <w:vAlign w:val="bottom"/>
            <w:gridSpan w:val="11"/>
          </w:tcPr>
          <w:p>
            <w:pPr>
              <w:spacing w:after="0" w:line="182" w:lineRule="exact"/>
              <w:rPr>
                <w:sz w:val="20"/>
                <w:szCs w:val="20"/>
                <w:color w:val="auto"/>
              </w:rPr>
            </w:pPr>
            <w:r>
              <w:rPr>
                <w:rFonts w:ascii="Arial" w:cs="Arial" w:eastAsia="Arial" w:hAnsi="Arial"/>
                <w:sz w:val="18"/>
                <w:szCs w:val="18"/>
                <w:color w:val="0000FF"/>
                <w:w w:val="98"/>
              </w:rPr>
              <w:t>Condensed Consolidated Balance</w:t>
            </w:r>
          </w:p>
        </w:tc>
        <w:tc>
          <w:tcPr>
            <w:tcW w:w="6600" w:type="dxa"/>
            <w:vAlign w:val="bottom"/>
            <w:gridSpan w:val="11"/>
          </w:tcPr>
          <w:p>
            <w:pPr>
              <w:ind w:left="80"/>
              <w:spacing w:after="0" w:line="182" w:lineRule="exact"/>
              <w:rPr>
                <w:sz w:val="20"/>
                <w:szCs w:val="20"/>
                <w:color w:val="auto"/>
              </w:rPr>
            </w:pPr>
            <w:r>
              <w:rPr>
                <w:rFonts w:ascii="Arial" w:cs="Arial" w:eastAsia="Arial" w:hAnsi="Arial"/>
                <w:sz w:val="18"/>
                <w:szCs w:val="18"/>
                <w:color w:val="0000FF"/>
              </w:rPr>
              <w:t>Sheets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34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Condensed Consolidated Statements of</w:t>
            </w:r>
          </w:p>
        </w:tc>
        <w:tc>
          <w:tcPr>
            <w:tcW w:w="5960" w:type="dxa"/>
            <w:vAlign w:val="bottom"/>
            <w:gridSpan w:val="10"/>
          </w:tcPr>
          <w:p>
            <w:pPr>
              <w:spacing w:after="0" w:line="182" w:lineRule="exact"/>
              <w:rPr>
                <w:sz w:val="20"/>
                <w:szCs w:val="20"/>
                <w:color w:val="auto"/>
              </w:rPr>
            </w:pPr>
            <w:r>
              <w:rPr>
                <w:rFonts w:ascii="Arial" w:cs="Arial" w:eastAsia="Arial" w:hAnsi="Arial"/>
                <w:sz w:val="18"/>
                <w:szCs w:val="18"/>
                <w:color w:val="0000FF"/>
              </w:rPr>
              <w:t>Operations and Comprehensive Income (Loss)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98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Condensed Consolidated Statements of Stockholders’ Equity</w:t>
            </w:r>
          </w:p>
        </w:tc>
        <w:tc>
          <w:tcPr>
            <w:tcW w:w="1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180" w:type="dxa"/>
            <w:vAlign w:val="bottom"/>
            <w:tcBorders>
              <w:top w:val="single" w:sz="8" w:color="0000FF"/>
              <w:bottom w:val="single" w:sz="8" w:color="0000FF"/>
            </w:tcBorders>
            <w:gridSpan w:val="13"/>
          </w:tcPr>
          <w:p>
            <w:pPr>
              <w:spacing w:after="0" w:line="182"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top w:val="single" w:sz="8" w:color="0000FF"/>
              <w:bottom w:val="single" w:sz="8" w:color="0000EE"/>
            </w:tcBorders>
          </w:tcPr>
          <w:p>
            <w:pPr>
              <w:spacing w:after="0"/>
              <w:rPr>
                <w:sz w:val="15"/>
                <w:szCs w:val="15"/>
                <w:color w:val="auto"/>
              </w:rPr>
            </w:pPr>
          </w:p>
        </w:tc>
        <w:tc>
          <w:tcPr>
            <w:tcW w:w="680" w:type="dxa"/>
            <w:vAlign w:val="bottom"/>
            <w:tcBorders>
              <w:top w:val="single" w:sz="8" w:color="0000FF"/>
            </w:tcBorders>
            <w:gridSpan w:val="4"/>
          </w:tcPr>
          <w:p>
            <w:pPr>
              <w:spacing w:after="0"/>
              <w:rPr>
                <w:sz w:val="15"/>
                <w:szCs w:val="15"/>
                <w:color w:val="auto"/>
              </w:rPr>
            </w:pPr>
          </w:p>
        </w:tc>
        <w:tc>
          <w:tcPr>
            <w:tcW w:w="480" w:type="dxa"/>
            <w:vAlign w:val="bottom"/>
          </w:tcPr>
          <w:p>
            <w:pPr>
              <w:spacing w:after="0"/>
              <w:rPr>
                <w:sz w:val="15"/>
                <w:szCs w:val="15"/>
                <w:color w:val="auto"/>
              </w:rPr>
            </w:pPr>
          </w:p>
        </w:tc>
        <w:tc>
          <w:tcPr>
            <w:tcW w:w="1720" w:type="dxa"/>
            <w:vAlign w:val="bottom"/>
            <w:gridSpan w:val="2"/>
          </w:tcPr>
          <w:p>
            <w:pPr>
              <w:spacing w:after="0"/>
              <w:rPr>
                <w:sz w:val="15"/>
                <w:szCs w:val="15"/>
                <w:color w:val="auto"/>
              </w:rPr>
            </w:pP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Arial" w:cs="Arial" w:eastAsia="Arial" w:hAnsi="Arial"/>
                <w:sz w:val="18"/>
                <w:szCs w:val="18"/>
                <w:color w:val="0000FF"/>
              </w:rPr>
              <w:t>Notes to Unaudited Condensed Consolidated Financial Statements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53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Management’s Discussion and Analysis of Financial Condition and</w:t>
            </w:r>
          </w:p>
        </w:tc>
        <w:tc>
          <w:tcPr>
            <w:tcW w:w="3940" w:type="dxa"/>
            <w:vAlign w:val="bottom"/>
            <w:gridSpan w:val="3"/>
          </w:tcPr>
          <w:p>
            <w:pPr>
              <w:spacing w:after="0" w:line="182" w:lineRule="exact"/>
              <w:rPr>
                <w:sz w:val="20"/>
                <w:szCs w:val="20"/>
                <w:color w:val="auto"/>
              </w:rPr>
            </w:pPr>
            <w:r>
              <w:rPr>
                <w:rFonts w:ascii="Arial" w:cs="Arial" w:eastAsia="Arial" w:hAnsi="Arial"/>
                <w:sz w:val="18"/>
                <w:szCs w:val="18"/>
                <w:color w:val="0000FF"/>
              </w:rPr>
              <w:t>Results of Operations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3.</w:t>
            </w:r>
          </w:p>
        </w:tc>
        <w:tc>
          <w:tcPr>
            <w:tcW w:w="708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222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4.</w:t>
            </w:r>
          </w:p>
        </w:tc>
        <w:tc>
          <w:tcPr>
            <w:tcW w:w="2000" w:type="dxa"/>
            <w:vAlign w:val="bottom"/>
            <w:tcBorders>
              <w:top w:val="single" w:sz="8" w:color="0000FF"/>
              <w:bottom w:val="single" w:sz="8" w:color="0000FF"/>
            </w:tcBorders>
            <w:gridSpan w:val="8"/>
          </w:tcPr>
          <w:p>
            <w:pPr>
              <w:spacing w:after="0" w:line="182" w:lineRule="exact"/>
              <w:rPr>
                <w:sz w:val="20"/>
                <w:szCs w:val="20"/>
                <w:color w:val="auto"/>
              </w:rPr>
            </w:pPr>
            <w:r>
              <w:rPr>
                <w:rFonts w:ascii="Arial" w:cs="Arial" w:eastAsia="Arial" w:hAnsi="Arial"/>
                <w:sz w:val="18"/>
                <w:szCs w:val="18"/>
                <w:color w:val="0000FF"/>
                <w:w w:val="99"/>
              </w:rPr>
              <w:t>Controls and Procedures</w:t>
            </w:r>
          </w:p>
        </w:tc>
        <w:tc>
          <w:tcPr>
            <w:tcW w:w="2720" w:type="dxa"/>
            <w:vAlign w:val="bottom"/>
            <w:tcBorders>
              <w:top w:val="single" w:sz="8" w:color="0000FF"/>
            </w:tcBorders>
            <w:gridSpan w:val="8"/>
          </w:tcPr>
          <w:p>
            <w:pPr>
              <w:spacing w:after="0"/>
              <w:rPr>
                <w:sz w:val="15"/>
                <w:szCs w:val="15"/>
                <w:color w:val="auto"/>
              </w:rPr>
            </w:pPr>
          </w:p>
        </w:tc>
        <w:tc>
          <w:tcPr>
            <w:tcW w:w="140" w:type="dxa"/>
            <w:vAlign w:val="bottom"/>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300" w:type="dxa"/>
            <w:vAlign w:val="bottom"/>
            <w:gridSpan w:val="22"/>
          </w:tcPr>
          <w:p>
            <w:pPr>
              <w:spacing w:after="0"/>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w:t>
            </w:r>
          </w:p>
        </w:tc>
        <w:tc>
          <w:tcPr>
            <w:tcW w:w="194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Legal Proceedings</w:t>
            </w:r>
          </w:p>
        </w:tc>
        <w:tc>
          <w:tcPr>
            <w:tcW w:w="2920" w:type="dxa"/>
            <w:vAlign w:val="bottom"/>
            <w:gridSpan w:val="10"/>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1A.</w:t>
            </w:r>
          </w:p>
        </w:tc>
        <w:tc>
          <w:tcPr>
            <w:tcW w:w="150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Risk Factors</w:t>
            </w:r>
          </w:p>
        </w:tc>
        <w:tc>
          <w:tcPr>
            <w:tcW w:w="3360" w:type="dxa"/>
            <w:vAlign w:val="bottom"/>
            <w:gridSpan w:val="11"/>
          </w:tcPr>
          <w:p>
            <w:pPr>
              <w:spacing w:after="0"/>
              <w:rPr>
                <w:sz w:val="15"/>
                <w:szCs w:val="15"/>
                <w:color w:val="auto"/>
              </w:rPr>
            </w:pP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2.</w:t>
            </w:r>
          </w:p>
        </w:tc>
        <w:tc>
          <w:tcPr>
            <w:tcW w:w="100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5"/>
              </w:rPr>
              <w:t>Unregistered</w:t>
            </w:r>
          </w:p>
        </w:tc>
        <w:tc>
          <w:tcPr>
            <w:tcW w:w="20" w:type="dxa"/>
            <w:vAlign w:val="bottom"/>
            <w:tcBorders>
              <w:top w:val="single" w:sz="8" w:color="0000EE"/>
            </w:tcBorders>
          </w:tcPr>
          <w:p>
            <w:pPr>
              <w:spacing w:after="0"/>
              <w:rPr>
                <w:sz w:val="15"/>
                <w:szCs w:val="15"/>
                <w:color w:val="auto"/>
              </w:rPr>
            </w:pPr>
          </w:p>
        </w:tc>
        <w:tc>
          <w:tcPr>
            <w:tcW w:w="8280" w:type="dxa"/>
            <w:vAlign w:val="bottom"/>
            <w:gridSpan w:val="19"/>
          </w:tcPr>
          <w:p>
            <w:pPr>
              <w:ind w:left="6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5.</w:t>
            </w:r>
          </w:p>
        </w:tc>
        <w:tc>
          <w:tcPr>
            <w:tcW w:w="486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rPr>
              <w:t>Other Information</w:t>
            </w:r>
          </w:p>
        </w:tc>
        <w:tc>
          <w:tcPr>
            <w:tcW w:w="44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auto"/>
              </w:rPr>
              <w:t>Item 6.</w:t>
            </w:r>
          </w:p>
        </w:tc>
        <w:tc>
          <w:tcPr>
            <w:tcW w:w="1400" w:type="dxa"/>
            <w:vAlign w:val="bottom"/>
            <w:tcBorders>
              <w:top w:val="single" w:sz="8" w:color="0000FF"/>
            </w:tcBorders>
            <w:gridSpan w:val="5"/>
          </w:tcPr>
          <w:p>
            <w:pPr>
              <w:spacing w:after="0" w:line="182" w:lineRule="exact"/>
              <w:rPr>
                <w:sz w:val="20"/>
                <w:szCs w:val="20"/>
                <w:color w:val="auto"/>
              </w:rPr>
            </w:pPr>
            <w:r>
              <w:rPr>
                <w:rFonts w:ascii="Arial" w:cs="Arial" w:eastAsia="Arial" w:hAnsi="Arial"/>
                <w:sz w:val="18"/>
                <w:szCs w:val="18"/>
                <w:color w:val="0000FF"/>
              </w:rPr>
              <w:t>Exhibits</w:t>
            </w:r>
          </w:p>
        </w:tc>
        <w:tc>
          <w:tcPr>
            <w:tcW w:w="790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183"/>
        </w:trPr>
        <w:tc>
          <w:tcPr>
            <w:tcW w:w="1140" w:type="dxa"/>
            <w:vAlign w:val="bottom"/>
            <w:gridSpan w:val="2"/>
          </w:tcPr>
          <w:p>
            <w:pPr>
              <w:spacing w:after="0" w:line="182" w:lineRule="exact"/>
              <w:rPr>
                <w:sz w:val="20"/>
                <w:szCs w:val="20"/>
                <w:color w:val="auto"/>
              </w:rPr>
            </w:pPr>
            <w:r>
              <w:rPr>
                <w:rFonts w:ascii="Arial" w:cs="Arial" w:eastAsia="Arial" w:hAnsi="Arial"/>
                <w:sz w:val="18"/>
                <w:szCs w:val="18"/>
                <w:color w:val="0000FF"/>
                <w:w w:val="93"/>
              </w:rPr>
              <w:t>SIGNATURES</w:t>
            </w:r>
          </w:p>
        </w:tc>
        <w:tc>
          <w:tcPr>
            <w:tcW w:w="640" w:type="dxa"/>
            <w:vAlign w:val="bottom"/>
            <w:tcBorders>
              <w:top w:val="single" w:sz="8" w:color="0000FF"/>
            </w:tcBorders>
          </w:tcPr>
          <w:p>
            <w:pPr>
              <w:spacing w:after="0"/>
              <w:rPr>
                <w:sz w:val="15"/>
                <w:szCs w:val="15"/>
                <w:color w:val="auto"/>
              </w:rPr>
            </w:pPr>
          </w:p>
        </w:tc>
        <w:tc>
          <w:tcPr>
            <w:tcW w:w="8660" w:type="dxa"/>
            <w:vAlign w:val="bottom"/>
            <w:gridSpan w:val="21"/>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2" w:lineRule="exact"/>
        <w:rPr>
          <w:sz w:val="20"/>
          <w:szCs w:val="20"/>
          <w:color w:val="auto"/>
        </w:rPr>
      </w:pPr>
    </w:p>
    <w:p>
      <w:pPr>
        <w:ind w:right="3760"/>
        <w:spacing w:after="0" w:line="251" w:lineRule="auto"/>
        <w:rPr>
          <w:sz w:val="20"/>
          <w:szCs w:val="20"/>
          <w:color w:val="auto"/>
        </w:rPr>
      </w:pPr>
      <w:r>
        <w:rPr>
          <w:rFonts w:ascii="Arial" w:cs="Arial" w:eastAsia="Arial" w:hAnsi="Arial"/>
          <w:sz w:val="32"/>
          <w:szCs w:val="32"/>
          <w:b w:val="1"/>
          <w:bCs w:val="1"/>
          <w:color w:val="auto"/>
        </w:rPr>
        <w:t>ATEA PHARMACEUTICALS, INC. and Subsidiary Condensed Consolidated Balance Sheets</w:t>
      </w:r>
    </w:p>
    <w:p>
      <w:pPr>
        <w:spacing w:after="0" w:line="237"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9580" w:type="dxa"/>
            <w:vAlign w:val="bottom"/>
            <w:shd w:val="clear" w:color="auto" w:fill="000000"/>
          </w:tcPr>
          <w:p>
            <w:pPr>
              <w:spacing w:after="0"/>
              <w:rPr>
                <w:sz w:val="5"/>
                <w:szCs w:val="5"/>
                <w:color w:val="auto"/>
              </w:rPr>
            </w:pPr>
          </w:p>
        </w:tc>
        <w:tc>
          <w:tcPr>
            <w:tcW w:w="1660" w:type="dxa"/>
            <w:vAlign w:val="bottom"/>
            <w:shd w:val="clear" w:color="auto" w:fill="000000"/>
          </w:tcPr>
          <w:p>
            <w:pPr>
              <w:spacing w:after="0"/>
              <w:rPr>
                <w:sz w:val="5"/>
                <w:szCs w:val="5"/>
                <w:color w:val="auto"/>
              </w:rPr>
            </w:pPr>
          </w:p>
        </w:tc>
      </w:tr>
      <w:tr>
        <w:trPr>
          <w:trHeight w:val="170"/>
        </w:trPr>
        <w:tc>
          <w:tcPr>
            <w:tcW w:w="9580" w:type="dxa"/>
            <w:vAlign w:val="bottom"/>
          </w:tcPr>
          <w:p>
            <w:pPr>
              <w:jc w:val="right"/>
              <w:ind w:right="290"/>
              <w:spacing w:after="0" w:line="170" w:lineRule="exact"/>
              <w:rPr>
                <w:sz w:val="20"/>
                <w:szCs w:val="20"/>
                <w:color w:val="auto"/>
              </w:rPr>
            </w:pPr>
            <w:r>
              <w:rPr>
                <w:rFonts w:ascii="Arial" w:cs="Arial" w:eastAsia="Arial" w:hAnsi="Arial"/>
                <w:sz w:val="18"/>
                <w:szCs w:val="18"/>
                <w:b w:val="1"/>
                <w:bCs w:val="1"/>
                <w:color w:val="auto"/>
              </w:rPr>
              <w:t>June 30,</w:t>
            </w:r>
          </w:p>
        </w:tc>
        <w:tc>
          <w:tcPr>
            <w:tcW w:w="1660" w:type="dxa"/>
            <w:vAlign w:val="bottom"/>
          </w:tcPr>
          <w:p>
            <w:pPr>
              <w:jc w:val="right"/>
              <w:ind w:right="30"/>
              <w:spacing w:after="0" w:line="170" w:lineRule="exact"/>
              <w:rPr>
                <w:sz w:val="20"/>
                <w:szCs w:val="20"/>
                <w:color w:val="auto"/>
              </w:rPr>
            </w:pPr>
            <w:r>
              <w:rPr>
                <w:rFonts w:ascii="Arial" w:cs="Arial" w:eastAsia="Arial" w:hAnsi="Arial"/>
                <w:sz w:val="18"/>
                <w:szCs w:val="18"/>
                <w:b w:val="1"/>
                <w:bCs w:val="1"/>
                <w:color w:val="auto"/>
              </w:rPr>
              <w:t>December 31,</w:t>
            </w:r>
          </w:p>
        </w:tc>
      </w:tr>
      <w:tr>
        <w:trPr>
          <w:trHeight w:val="247"/>
        </w:trPr>
        <w:tc>
          <w:tcPr>
            <w:tcW w:w="95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660" w:type="dxa"/>
            <w:vAlign w:val="bottom"/>
          </w:tcPr>
          <w:p>
            <w:pPr>
              <w:jc w:val="right"/>
              <w:ind w:right="30"/>
              <w:spacing w:after="0"/>
              <w:rPr>
                <w:sz w:val="20"/>
                <w:szCs w:val="20"/>
                <w:color w:val="auto"/>
              </w:rPr>
            </w:pPr>
            <w:r>
              <w:rPr>
                <w:rFonts w:ascii="Arial" w:cs="Arial" w:eastAsia="Arial" w:hAnsi="Arial"/>
                <w:sz w:val="18"/>
                <w:szCs w:val="18"/>
                <w:b w:val="1"/>
                <w:bCs w:val="1"/>
                <w:color w:val="auto"/>
              </w:rPr>
              <w:t>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p>
      <w:pPr>
        <w:spacing w:after="0" w:line="1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Prepaid expenses and other current assets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Property and equipment, net</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 right-of-use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assets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 and Stockholders’ Equity</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expenses and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Current portion of operating lease liabilities</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Income taxes payable</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Commitments and contingencies (see Note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Stockholders’ equity:</w:t>
      </w:r>
    </w:p>
    <w:p>
      <w:pPr>
        <w:spacing w:after="0" w:line="9" w:lineRule="exact"/>
        <w:rPr>
          <w:sz w:val="20"/>
          <w:szCs w:val="20"/>
          <w:color w:val="auto"/>
        </w:rPr>
      </w:pPr>
    </w:p>
    <w:p>
      <w:pPr>
        <w:ind w:left="420" w:right="1160" w:hanging="149"/>
        <w:spacing w:after="0" w:line="229" w:lineRule="auto"/>
        <w:rPr>
          <w:sz w:val="20"/>
          <w:szCs w:val="20"/>
          <w:color w:val="auto"/>
        </w:rPr>
      </w:pPr>
      <w:r>
        <w:rPr>
          <w:rFonts w:ascii="Arial" w:cs="Arial" w:eastAsia="Arial" w:hAnsi="Arial"/>
          <w:sz w:val="18"/>
          <w:szCs w:val="18"/>
          <w:color w:val="auto"/>
        </w:rPr>
        <w:t>Preferred stock, $0.001 par value per share; 10,000,000 shares authorized; no shares issued and outstanding as of June 30, 2022, and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377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left="420" w:right="1400" w:hanging="149"/>
        <w:spacing w:after="0" w:line="219" w:lineRule="auto"/>
        <w:rPr>
          <w:sz w:val="20"/>
          <w:szCs w:val="20"/>
          <w:color w:val="auto"/>
        </w:rPr>
      </w:pPr>
      <w:r>
        <w:rPr>
          <w:rFonts w:ascii="Arial" w:cs="Arial" w:eastAsia="Arial" w:hAnsi="Arial"/>
          <w:sz w:val="18"/>
          <w:szCs w:val="18"/>
          <w:color w:val="auto"/>
        </w:rPr>
        <w:t>Common stock, $0.001 par value; 300,000,000 shares authorized as of June 30, 2022 and December 31, 2021;</w:t>
      </w:r>
    </w:p>
    <w:p>
      <w:pPr>
        <w:ind w:left="420" w:right="1780"/>
        <w:spacing w:after="0" w:line="234" w:lineRule="auto"/>
        <w:rPr>
          <w:sz w:val="20"/>
          <w:szCs w:val="20"/>
          <w:color w:val="auto"/>
        </w:rPr>
      </w:pPr>
      <w:r>
        <w:rPr>
          <w:rFonts w:ascii="Arial" w:cs="Arial" w:eastAsia="Arial" w:hAnsi="Arial"/>
          <w:sz w:val="18"/>
          <w:szCs w:val="18"/>
          <w:color w:val="auto"/>
        </w:rPr>
        <w:t>83,257,591 and 83,102,730 shares issued and outstanding as of June 30, 2022 and December 31, 2021, respectively</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Retained earnings (accumulated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stockholders’ equity</w:t>
      </w:r>
    </w:p>
    <w:p>
      <w:pPr>
        <w:spacing w:after="0" w:line="1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liabilities and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431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684,480</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764,375</w:t>
            </w:r>
          </w:p>
        </w:tc>
      </w:tr>
      <w:tr>
        <w:trPr>
          <w:trHeight w:val="235"/>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4,971</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8,028</w:t>
            </w:r>
          </w:p>
        </w:tc>
      </w:tr>
      <w:tr>
        <w:trPr>
          <w:trHeight w:val="191"/>
        </w:trPr>
        <w:tc>
          <w:tcPr>
            <w:tcW w:w="52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color w:val="auto"/>
              </w:rPr>
              <w:t>689,451</w:t>
            </w:r>
          </w:p>
        </w:tc>
        <w:tc>
          <w:tcPr>
            <w:tcW w:w="64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color w:val="auto"/>
              </w:rPr>
              <w:t>772,403</w:t>
            </w:r>
          </w:p>
        </w:tc>
      </w:tr>
      <w:tr>
        <w:trPr>
          <w:trHeight w:val="216"/>
        </w:trPr>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1,896</w:t>
            </w:r>
          </w:p>
        </w:tc>
        <w:tc>
          <w:tcPr>
            <w:tcW w:w="6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16"/>
        </w:trPr>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305</w:t>
            </w:r>
          </w:p>
        </w:tc>
        <w:tc>
          <w:tcPr>
            <w:tcW w:w="6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305</w:t>
            </w:r>
          </w:p>
        </w:tc>
      </w:tr>
      <w:tr>
        <w:trPr>
          <w:trHeight w:val="235"/>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2,686</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161</w:t>
            </w:r>
          </w:p>
        </w:tc>
      </w:tr>
      <w:tr>
        <w:trPr>
          <w:trHeight w:val="210"/>
        </w:trPr>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694,338</w:t>
            </w: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772,892</w:t>
            </w:r>
          </w:p>
        </w:tc>
      </w:tr>
      <w:tr>
        <w:trPr>
          <w:trHeight w:val="623"/>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13,885</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4,534</w:t>
            </w:r>
          </w:p>
        </w:tc>
      </w:tr>
      <w:tr>
        <w:trPr>
          <w:trHeight w:val="216"/>
        </w:trPr>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10,492</w:t>
            </w:r>
          </w:p>
        </w:tc>
        <w:tc>
          <w:tcPr>
            <w:tcW w:w="6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52,152</w:t>
            </w:r>
          </w:p>
        </w:tc>
      </w:tr>
      <w:tr>
        <w:trPr>
          <w:trHeight w:val="235"/>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730</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w:t>
            </w:r>
          </w:p>
        </w:tc>
      </w:tr>
      <w:tr>
        <w:trPr>
          <w:trHeight w:val="191"/>
        </w:trPr>
        <w:tc>
          <w:tcPr>
            <w:tcW w:w="520" w:type="dxa"/>
            <w:vAlign w:val="bottom"/>
          </w:tcPr>
          <w:p>
            <w:pPr>
              <w:spacing w:after="0"/>
              <w:rPr>
                <w:sz w:val="16"/>
                <w:szCs w:val="16"/>
                <w:color w:val="auto"/>
              </w:rPr>
            </w:pPr>
          </w:p>
        </w:tc>
        <w:tc>
          <w:tcPr>
            <w:tcW w:w="1260" w:type="dxa"/>
            <w:vAlign w:val="bottom"/>
          </w:tcPr>
          <w:p>
            <w:pPr>
              <w:jc w:val="right"/>
              <w:ind w:right="110"/>
              <w:spacing w:after="0" w:line="191" w:lineRule="exact"/>
              <w:rPr>
                <w:sz w:val="20"/>
                <w:szCs w:val="20"/>
                <w:color w:val="auto"/>
              </w:rPr>
            </w:pPr>
            <w:r>
              <w:rPr>
                <w:rFonts w:ascii="Arial" w:cs="Arial" w:eastAsia="Arial" w:hAnsi="Arial"/>
                <w:sz w:val="18"/>
                <w:szCs w:val="18"/>
                <w:color w:val="auto"/>
              </w:rPr>
              <w:t>25,107</w:t>
            </w:r>
          </w:p>
        </w:tc>
        <w:tc>
          <w:tcPr>
            <w:tcW w:w="640" w:type="dxa"/>
            <w:vAlign w:val="bottom"/>
          </w:tcPr>
          <w:p>
            <w:pPr>
              <w:spacing w:after="0"/>
              <w:rPr>
                <w:sz w:val="16"/>
                <w:szCs w:val="16"/>
                <w:color w:val="auto"/>
              </w:rPr>
            </w:pPr>
          </w:p>
        </w:tc>
        <w:tc>
          <w:tcPr>
            <w:tcW w:w="1200" w:type="dxa"/>
            <w:vAlign w:val="bottom"/>
          </w:tcPr>
          <w:p>
            <w:pPr>
              <w:jc w:val="right"/>
              <w:ind w:right="30"/>
              <w:spacing w:after="0" w:line="191" w:lineRule="exact"/>
              <w:rPr>
                <w:sz w:val="20"/>
                <w:szCs w:val="20"/>
                <w:color w:val="auto"/>
              </w:rPr>
            </w:pPr>
            <w:r>
              <w:rPr>
                <w:rFonts w:ascii="Arial" w:cs="Arial" w:eastAsia="Arial" w:hAnsi="Arial"/>
                <w:sz w:val="18"/>
                <w:szCs w:val="18"/>
                <w:color w:val="auto"/>
              </w:rPr>
              <w:t>56,883</w:t>
            </w:r>
          </w:p>
        </w:tc>
      </w:tr>
      <w:tr>
        <w:trPr>
          <w:trHeight w:val="216"/>
        </w:trPr>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2,766</w:t>
            </w:r>
          </w:p>
        </w:tc>
        <w:tc>
          <w:tcPr>
            <w:tcW w:w="6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5"/>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6,008</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5,932</w:t>
            </w:r>
          </w:p>
        </w:tc>
      </w:tr>
      <w:tr>
        <w:trPr>
          <w:trHeight w:val="210"/>
        </w:trPr>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33,881</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62,815</w:t>
            </w:r>
          </w:p>
        </w:tc>
      </w:tr>
      <w:tr>
        <w:trPr>
          <w:trHeight w:val="1023"/>
        </w:trPr>
        <w:tc>
          <w:tcPr>
            <w:tcW w:w="52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760"/>
        </w:trPr>
        <w:tc>
          <w:tcPr>
            <w:tcW w:w="520" w:type="dxa"/>
            <w:vAlign w:val="bottom"/>
          </w:tcPr>
          <w:p>
            <w:pPr>
              <w:spacing w:after="0"/>
              <w:rPr>
                <w:sz w:val="24"/>
                <w:szCs w:val="24"/>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640" w:type="dxa"/>
            <w:vAlign w:val="bottom"/>
          </w:tcPr>
          <w:p>
            <w:pPr>
              <w:spacing w:after="0"/>
              <w:rPr>
                <w:sz w:val="24"/>
                <w:szCs w:val="24"/>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83</w:t>
            </w:r>
          </w:p>
        </w:tc>
      </w:tr>
      <w:tr>
        <w:trPr>
          <w:trHeight w:val="216"/>
        </w:trPr>
        <w:tc>
          <w:tcPr>
            <w:tcW w:w="52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677,756</w:t>
            </w:r>
          </w:p>
        </w:tc>
        <w:tc>
          <w:tcPr>
            <w:tcW w:w="64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653,964</w:t>
            </w:r>
          </w:p>
        </w:tc>
      </w:tr>
      <w:tr>
        <w:trPr>
          <w:trHeight w:val="235"/>
        </w:trPr>
        <w:tc>
          <w:tcPr>
            <w:tcW w:w="5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(17,382)</w:t>
            </w:r>
          </w:p>
        </w:tc>
        <w:tc>
          <w:tcPr>
            <w:tcW w:w="6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56,030</w:t>
            </w:r>
          </w:p>
        </w:tc>
      </w:tr>
      <w:tr>
        <w:trPr>
          <w:trHeight w:val="210"/>
        </w:trPr>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660,457</w:t>
            </w:r>
          </w:p>
        </w:tc>
        <w:tc>
          <w:tcPr>
            <w:tcW w:w="6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710,077</w:t>
            </w:r>
          </w:p>
        </w:tc>
      </w:tr>
      <w:tr>
        <w:trPr>
          <w:trHeight w:val="232"/>
        </w:trPr>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694,338</w:t>
            </w:r>
          </w:p>
        </w:tc>
        <w:tc>
          <w:tcPr>
            <w:tcW w:w="64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772,892</w:t>
            </w:r>
          </w:p>
        </w:tc>
      </w:tr>
    </w:tbl>
    <w:p>
      <w:pPr>
        <w:spacing w:after="0" w:line="200" w:lineRule="exact"/>
        <w:rPr>
          <w:sz w:val="20"/>
          <w:szCs w:val="20"/>
          <w:color w:val="auto"/>
        </w:rPr>
      </w:pPr>
    </w:p>
    <w:p>
      <w:pPr>
        <w:sectPr>
          <w:pgSz w:w="11900" w:h="16838" w:orient="portrait"/>
          <w:cols w:equalWidth="0" w:num="2">
            <w:col w:w="6900" w:space="720"/>
            <w:col w:w="3620"/>
          </w:cols>
          <w:pgMar w:left="320" w:top="323"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Operations and Comprehensive</w:t>
      </w:r>
    </w:p>
    <w:p>
      <w:pPr>
        <w:spacing w:after="0" w:line="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Income (Loss)</w:t>
      </w:r>
    </w:p>
    <w:p>
      <w:pPr>
        <w:spacing w:after="0" w:line="234" w:lineRule="auto"/>
        <w:rPr>
          <w:sz w:val="20"/>
          <w:szCs w:val="20"/>
          <w:color w:val="auto"/>
        </w:rPr>
      </w:pPr>
      <w:r>
        <w:rPr>
          <w:rFonts w:ascii="Arial" w:cs="Arial" w:eastAsia="Arial" w:hAnsi="Arial"/>
          <w:sz w:val="18"/>
          <w:szCs w:val="18"/>
          <w:b w:val="1"/>
          <w:bCs w:val="1"/>
          <w:color w:val="auto"/>
        </w:rPr>
        <w:t>(in thousands, except share and per share amounts)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40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2660" w:type="dxa"/>
            <w:vAlign w:val="bottom"/>
            <w:gridSpan w:val="3"/>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2620" w:type="dxa"/>
            <w:vAlign w:val="bottom"/>
            <w:gridSpan w:val="3"/>
            <w:shd w:val="clear" w:color="auto" w:fill="000000"/>
          </w:tcPr>
          <w:p>
            <w:pPr>
              <w:spacing w:after="0"/>
              <w:rPr>
                <w:sz w:val="5"/>
                <w:szCs w:val="5"/>
                <w:color w:val="auto"/>
              </w:rPr>
            </w:pPr>
          </w:p>
        </w:tc>
      </w:tr>
      <w:tr>
        <w:trPr>
          <w:trHeight w:val="170"/>
        </w:trPr>
        <w:tc>
          <w:tcPr>
            <w:tcW w:w="5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Six Months Ended</w:t>
            </w:r>
          </w:p>
        </w:tc>
      </w:tr>
      <w:tr>
        <w:trPr>
          <w:trHeight w:val="235"/>
        </w:trPr>
        <w:tc>
          <w:tcPr>
            <w:tcW w:w="54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5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54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60,391</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126,376</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19,858</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39,803</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49,491</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66,375</w:t>
            </w: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12,437</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11,901</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24,979</w:t>
            </w:r>
          </w:p>
        </w:tc>
        <w:tc>
          <w:tcPr>
            <w:tcW w:w="3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20,658</w:t>
            </w:r>
          </w:p>
        </w:tc>
      </w:tr>
      <w:tr>
        <w:trPr>
          <w:trHeight w:val="210"/>
        </w:trPr>
        <w:tc>
          <w:tcPr>
            <w:tcW w:w="5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32,295</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51,704</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74,470</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87,033</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(32,295)</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8,687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(74,470)</w:t>
            </w: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39,343</w:t>
            </w:r>
          </w:p>
        </w:tc>
      </w:tr>
      <w:tr>
        <w:trPr>
          <w:trHeight w:val="216"/>
        </w:trPr>
        <w:tc>
          <w:tcPr>
            <w:tcW w:w="5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Interest income and other, net</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1,080</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1,178</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(31,215)</w:t>
            </w:r>
          </w:p>
        </w:tc>
        <w:tc>
          <w:tcPr>
            <w:tcW w:w="3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8,739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(73,292)</w:t>
            </w:r>
          </w:p>
        </w:tc>
        <w:tc>
          <w:tcPr>
            <w:tcW w:w="3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39,452</w:t>
            </w:r>
          </w:p>
        </w:tc>
      </w:tr>
      <w:tr>
        <w:trPr>
          <w:trHeight w:val="216"/>
        </w:trPr>
        <w:tc>
          <w:tcPr>
            <w:tcW w:w="54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1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3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(31,335)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(73,412)</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32,252</w:t>
            </w:r>
          </w:p>
        </w:tc>
      </w:tr>
      <w:tr>
        <w:trPr>
          <w:trHeight w:val="164"/>
        </w:trPr>
        <w:tc>
          <w:tcPr>
            <w:tcW w:w="5400" w:type="dxa"/>
            <w:vAlign w:val="bottom"/>
            <w:shd w:val="clear" w:color="auto" w:fill="CFF0FC"/>
          </w:tcPr>
          <w:p>
            <w:pPr>
              <w:ind w:left="20"/>
              <w:spacing w:after="0" w:line="164" w:lineRule="exact"/>
              <w:rPr>
                <w:sz w:val="20"/>
                <w:szCs w:val="20"/>
                <w:color w:val="auto"/>
              </w:rPr>
            </w:pPr>
            <w:r>
              <w:rPr>
                <w:rFonts w:ascii="Arial" w:cs="Arial" w:eastAsia="Arial" w:hAnsi="Arial"/>
                <w:sz w:val="18"/>
                <w:szCs w:val="18"/>
                <w:color w:val="auto"/>
              </w:rPr>
              <w:t>Net income (loss) per share attributable to common</w:t>
            </w:r>
          </w:p>
        </w:tc>
        <w:tc>
          <w:tcPr>
            <w:tcW w:w="220" w:type="dxa"/>
            <w:vAlign w:val="bottom"/>
            <w:tcBorders>
              <w:top w:val="single" w:sz="8" w:color="auto"/>
            </w:tcBorders>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c>
          <w:tcPr>
            <w:tcW w:w="32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140" w:type="dxa"/>
            <w:vAlign w:val="bottom"/>
            <w:tcBorders>
              <w:top w:val="single" w:sz="8" w:color="auto"/>
            </w:tcBorders>
            <w:shd w:val="clear" w:color="auto" w:fill="CFF0FC"/>
          </w:tcPr>
          <w:p>
            <w:pPr>
              <w:spacing w:after="0"/>
              <w:rPr>
                <w:sz w:val="14"/>
                <w:szCs w:val="14"/>
                <w:color w:val="auto"/>
              </w:rPr>
            </w:pPr>
          </w:p>
        </w:tc>
      </w:tr>
      <w:tr>
        <w:trPr>
          <w:trHeight w:val="235"/>
        </w:trPr>
        <w:tc>
          <w:tcPr>
            <w:tcW w:w="54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stockholders</w:t>
            </w:r>
          </w:p>
        </w:tc>
        <w:tc>
          <w:tcPr>
            <w:tcW w:w="22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r>
      <w:tr>
        <w:trPr>
          <w:trHeight w:val="216"/>
        </w:trPr>
        <w:tc>
          <w:tcPr>
            <w:tcW w:w="5400" w:type="dxa"/>
            <w:vAlign w:val="bottom"/>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(0.88)</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0.39</w:t>
            </w: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(0.38)</w:t>
            </w:r>
          </w:p>
        </w:tc>
        <w:tc>
          <w:tcPr>
            <w:tcW w:w="3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(0.88)</w:t>
            </w:r>
          </w:p>
        </w:tc>
        <w:tc>
          <w:tcPr>
            <w:tcW w:w="3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0.36</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83,257,591</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82,743,530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83,217,223</w:t>
            </w:r>
          </w:p>
        </w:tc>
        <w:tc>
          <w:tcPr>
            <w:tcW w:w="30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82,662,019</w:t>
            </w:r>
          </w:p>
        </w:tc>
      </w:tr>
      <w:tr>
        <w:trPr>
          <w:trHeight w:val="237"/>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83,257,591</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88,091,384</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83,217,223</w:t>
            </w: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88,683,767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-1687830</wp:posOffset>
            </wp:positionV>
            <wp:extent cx="857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-1405255</wp:posOffset>
            </wp:positionV>
            <wp:extent cx="857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-1122045</wp:posOffset>
            </wp:positionV>
            <wp:extent cx="857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Condensed Consolidated Statements of Stockholders’ Equity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2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4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Additional</w:t>
            </w:r>
          </w:p>
        </w:tc>
        <w:tc>
          <w:tcPr>
            <w:tcW w:w="160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Retained Earnings</w:t>
            </w:r>
          </w:p>
        </w:tc>
        <w:tc>
          <w:tcPr>
            <w:tcW w:w="340" w:type="dxa"/>
            <w:vAlign w:val="bottom"/>
          </w:tcPr>
          <w:p>
            <w:pPr>
              <w:spacing w:after="0"/>
              <w:rPr>
                <w:sz w:val="13"/>
                <w:szCs w:val="13"/>
                <w:color w:val="auto"/>
              </w:rPr>
            </w:pPr>
          </w:p>
        </w:tc>
        <w:tc>
          <w:tcPr>
            <w:tcW w:w="1220" w:type="dxa"/>
            <w:vAlign w:val="bottom"/>
          </w:tcPr>
          <w:p>
            <w:pPr>
              <w:jc w:val="right"/>
              <w:ind w:right="48"/>
              <w:spacing w:after="0" w:line="153"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20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Paid-in</w:t>
            </w:r>
          </w:p>
        </w:tc>
        <w:tc>
          <w:tcPr>
            <w:tcW w:w="16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46"/>
        </w:trPr>
        <w:tc>
          <w:tcPr>
            <w:tcW w:w="4200" w:type="dxa"/>
            <w:vAlign w:val="bottom"/>
          </w:tcPr>
          <w:p>
            <w:pPr>
              <w:spacing w:after="0"/>
              <w:rPr>
                <w:sz w:val="12"/>
                <w:szCs w:val="12"/>
                <w:color w:val="auto"/>
              </w:rPr>
            </w:pPr>
          </w:p>
        </w:tc>
        <w:tc>
          <w:tcPr>
            <w:tcW w:w="1080" w:type="dxa"/>
            <w:vAlign w:val="bottom"/>
          </w:tcPr>
          <w:p>
            <w:pPr>
              <w:jc w:val="right"/>
              <w:ind w:right="88"/>
              <w:spacing w:after="0" w:line="147" w:lineRule="exact"/>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2"/>
                <w:szCs w:val="12"/>
                <w:color w:val="auto"/>
              </w:rPr>
            </w:pPr>
          </w:p>
        </w:tc>
        <w:tc>
          <w:tcPr>
            <w:tcW w:w="120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2"/>
                <w:szCs w:val="12"/>
                <w:color w:val="auto"/>
              </w:rPr>
            </w:pPr>
          </w:p>
        </w:tc>
        <w:tc>
          <w:tcPr>
            <w:tcW w:w="980" w:type="dxa"/>
            <w:vAlign w:val="bottom"/>
          </w:tcPr>
          <w:p>
            <w:pPr>
              <w:jc w:val="right"/>
              <w:ind w:right="68"/>
              <w:spacing w:after="0" w:line="147" w:lineRule="exact"/>
              <w:rPr>
                <w:sz w:val="20"/>
                <w:szCs w:val="20"/>
                <w:color w:val="auto"/>
              </w:rPr>
            </w:pPr>
            <w:r>
              <w:rPr>
                <w:rFonts w:ascii="Arial" w:cs="Arial" w:eastAsia="Arial" w:hAnsi="Arial"/>
                <w:sz w:val="14"/>
                <w:szCs w:val="14"/>
                <w:b w:val="1"/>
                <w:bCs w:val="1"/>
                <w:color w:val="auto"/>
              </w:rPr>
              <w:t>Capital</w:t>
            </w:r>
          </w:p>
        </w:tc>
        <w:tc>
          <w:tcPr>
            <w:tcW w:w="320" w:type="dxa"/>
            <w:vAlign w:val="bottom"/>
          </w:tcPr>
          <w:p>
            <w:pPr>
              <w:spacing w:after="0"/>
              <w:rPr>
                <w:sz w:val="12"/>
                <w:szCs w:val="12"/>
                <w:color w:val="auto"/>
              </w:rPr>
            </w:pPr>
          </w:p>
        </w:tc>
        <w:tc>
          <w:tcPr>
            <w:tcW w:w="1280" w:type="dxa"/>
            <w:vAlign w:val="bottom"/>
          </w:tcPr>
          <w:p>
            <w:pPr>
              <w:jc w:val="right"/>
              <w:ind w:right="128"/>
              <w:spacing w:after="0" w:line="147" w:lineRule="exact"/>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20" w:type="dxa"/>
            <w:vAlign w:val="bottom"/>
          </w:tcPr>
          <w:p>
            <w:pPr>
              <w:jc w:val="right"/>
              <w:ind w:right="48"/>
              <w:spacing w:after="0" w:line="147"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1"/>
        </w:trPr>
        <w:tc>
          <w:tcPr>
            <w:tcW w:w="4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Deficit)</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2021</w:t>
            </w:r>
          </w:p>
        </w:tc>
        <w:tc>
          <w:tcPr>
            <w:tcW w:w="10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83,102,730</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653,964</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56,030</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710,077</w:t>
            </w:r>
          </w:p>
        </w:tc>
        <w:tc>
          <w:tcPr>
            <w:tcW w:w="0" w:type="dxa"/>
            <w:vAlign w:val="bottom"/>
          </w:tcPr>
          <w:p>
            <w:pPr>
              <w:spacing w:after="0"/>
              <w:rPr>
                <w:sz w:val="1"/>
                <w:szCs w:val="1"/>
                <w:color w:val="auto"/>
              </w:rPr>
            </w:pPr>
          </w:p>
        </w:tc>
      </w:tr>
      <w:tr>
        <w:trPr>
          <w:trHeight w:val="153"/>
        </w:trPr>
        <w:tc>
          <w:tcPr>
            <w:tcW w:w="420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upon exercise of</w:t>
            </w:r>
          </w:p>
        </w:tc>
        <w:tc>
          <w:tcPr>
            <w:tcW w:w="1080" w:type="dxa"/>
            <w:vAlign w:val="bottom"/>
          </w:tcPr>
          <w:p>
            <w:pPr>
              <w:jc w:val="right"/>
              <w:ind w:right="88"/>
              <w:spacing w:after="0" w:line="153" w:lineRule="exact"/>
              <w:rPr>
                <w:sz w:val="20"/>
                <w:szCs w:val="20"/>
                <w:color w:val="auto"/>
              </w:rPr>
            </w:pPr>
            <w:r>
              <w:rPr>
                <w:rFonts w:ascii="Arial" w:cs="Arial" w:eastAsia="Arial" w:hAnsi="Arial"/>
                <w:sz w:val="14"/>
                <w:szCs w:val="14"/>
                <w:color w:val="auto"/>
              </w:rPr>
              <w:t>154,861</w:t>
            </w:r>
          </w:p>
        </w:tc>
        <w:tc>
          <w:tcPr>
            <w:tcW w:w="260" w:type="dxa"/>
            <w:vAlign w:val="bottom"/>
          </w:tcPr>
          <w:p>
            <w:pPr>
              <w:spacing w:after="0"/>
              <w:rPr>
                <w:sz w:val="13"/>
                <w:szCs w:val="13"/>
                <w:color w:val="auto"/>
              </w:rPr>
            </w:pPr>
          </w:p>
        </w:tc>
        <w:tc>
          <w:tcPr>
            <w:tcW w:w="1200" w:type="dxa"/>
            <w:vAlign w:val="bottom"/>
          </w:tcPr>
          <w:p>
            <w:pPr>
              <w:jc w:val="right"/>
              <w:ind w:right="68"/>
              <w:spacing w:after="0" w:line="153"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980" w:type="dxa"/>
            <w:vAlign w:val="bottom"/>
          </w:tcPr>
          <w:p>
            <w:pPr>
              <w:jc w:val="right"/>
              <w:ind w:right="68"/>
              <w:spacing w:after="0" w:line="153" w:lineRule="exact"/>
              <w:rPr>
                <w:sz w:val="20"/>
                <w:szCs w:val="20"/>
                <w:color w:val="auto"/>
              </w:rPr>
            </w:pPr>
            <w:r>
              <w:rPr>
                <w:rFonts w:ascii="Arial" w:cs="Arial" w:eastAsia="Arial" w:hAnsi="Arial"/>
                <w:sz w:val="14"/>
                <w:szCs w:val="14"/>
                <w:color w:val="auto"/>
              </w:rPr>
              <w:t>223</w:t>
            </w:r>
          </w:p>
        </w:tc>
        <w:tc>
          <w:tcPr>
            <w:tcW w:w="320" w:type="dxa"/>
            <w:vAlign w:val="bottom"/>
          </w:tcPr>
          <w:p>
            <w:pPr>
              <w:spacing w:after="0"/>
              <w:rPr>
                <w:sz w:val="13"/>
                <w:szCs w:val="13"/>
                <w:color w:val="auto"/>
              </w:rPr>
            </w:pPr>
          </w:p>
        </w:tc>
        <w:tc>
          <w:tcPr>
            <w:tcW w:w="1280" w:type="dxa"/>
            <w:vAlign w:val="bottom"/>
          </w:tcPr>
          <w:p>
            <w:pPr>
              <w:jc w:val="right"/>
              <w:ind w:right="88"/>
              <w:spacing w:after="0" w:line="153"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220" w:type="dxa"/>
            <w:vAlign w:val="bottom"/>
          </w:tcPr>
          <w:p>
            <w:pPr>
              <w:jc w:val="right"/>
              <w:ind w:right="48"/>
              <w:spacing w:after="0" w:line="153" w:lineRule="exact"/>
              <w:rPr>
                <w:sz w:val="20"/>
                <w:szCs w:val="20"/>
                <w:color w:val="auto"/>
              </w:rPr>
            </w:pPr>
            <w:r>
              <w:rPr>
                <w:rFonts w:ascii="Arial" w:cs="Arial" w:eastAsia="Arial" w:hAnsi="Arial"/>
                <w:sz w:val="14"/>
                <w:szCs w:val="14"/>
                <w:color w:val="auto"/>
              </w:rPr>
              <w:t>223</w:t>
            </w:r>
          </w:p>
        </w:tc>
        <w:tc>
          <w:tcPr>
            <w:tcW w:w="0" w:type="dxa"/>
            <w:vAlign w:val="bottom"/>
          </w:tcPr>
          <w:p>
            <w:pPr>
              <w:spacing w:after="0"/>
              <w:rPr>
                <w:sz w:val="1"/>
                <w:szCs w:val="1"/>
                <w:color w:val="auto"/>
              </w:rPr>
            </w:pPr>
          </w:p>
        </w:tc>
      </w:tr>
      <w:tr>
        <w:trPr>
          <w:trHeight w:val="171"/>
        </w:trPr>
        <w:tc>
          <w:tcPr>
            <w:tcW w:w="4200" w:type="dxa"/>
            <w:vAlign w:val="bottom"/>
          </w:tcPr>
          <w:p>
            <w:pPr>
              <w:ind w:left="140"/>
              <w:spacing w:after="0"/>
              <w:rPr>
                <w:sz w:val="20"/>
                <w:szCs w:val="20"/>
                <w:color w:val="auto"/>
              </w:rPr>
            </w:pPr>
            <w:r>
              <w:rPr>
                <w:rFonts w:ascii="Arial" w:cs="Arial" w:eastAsia="Arial" w:hAnsi="Arial"/>
                <w:sz w:val="14"/>
                <w:szCs w:val="14"/>
                <w:color w:val="auto"/>
              </w:rPr>
              <w:t>stock options</w:t>
            </w: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11,661</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11,661</w:t>
            </w:r>
          </w:p>
        </w:tc>
        <w:tc>
          <w:tcPr>
            <w:tcW w:w="0" w:type="dxa"/>
            <w:vAlign w:val="bottom"/>
          </w:tcPr>
          <w:p>
            <w:pPr>
              <w:spacing w:after="0"/>
              <w:rPr>
                <w:sz w:val="1"/>
                <w:szCs w:val="1"/>
                <w:color w:val="auto"/>
              </w:rPr>
            </w:pPr>
          </w:p>
        </w:tc>
      </w:tr>
      <w:tr>
        <w:trPr>
          <w:trHeight w:val="176"/>
        </w:trPr>
        <w:tc>
          <w:tcPr>
            <w:tcW w:w="420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(42,077 )</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(42,077 )</w:t>
            </w: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Balance—March 31, 2022</w:t>
            </w:r>
          </w:p>
        </w:tc>
        <w:tc>
          <w:tcPr>
            <w:tcW w:w="10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83,257,591</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665,848</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13,953</w:t>
            </w:r>
          </w:p>
        </w:tc>
        <w:tc>
          <w:tcPr>
            <w:tcW w:w="3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679,884</w:t>
            </w:r>
          </w:p>
        </w:tc>
        <w:tc>
          <w:tcPr>
            <w:tcW w:w="0" w:type="dxa"/>
            <w:vAlign w:val="bottom"/>
          </w:tcPr>
          <w:p>
            <w:pPr>
              <w:spacing w:after="0"/>
              <w:rPr>
                <w:sz w:val="1"/>
                <w:szCs w:val="1"/>
                <w:color w:val="auto"/>
              </w:rPr>
            </w:pPr>
          </w:p>
        </w:tc>
      </w:tr>
      <w:tr>
        <w:trPr>
          <w:trHeight w:val="175"/>
        </w:trPr>
        <w:tc>
          <w:tcPr>
            <w:tcW w:w="4200" w:type="dxa"/>
            <w:vAlign w:val="bottom"/>
          </w:tcPr>
          <w:p>
            <w:pPr>
              <w:ind w:left="20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11,908</w:t>
            </w:r>
          </w:p>
        </w:tc>
        <w:tc>
          <w:tcPr>
            <w:tcW w:w="320" w:type="dxa"/>
            <w:vAlign w:val="bottom"/>
          </w:tcPr>
          <w:p>
            <w:pPr>
              <w:spacing w:after="0"/>
              <w:rPr>
                <w:sz w:val="15"/>
                <w:szCs w:val="15"/>
                <w:color w:val="auto"/>
              </w:rPr>
            </w:pP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11,908</w:t>
            </w:r>
          </w:p>
        </w:tc>
        <w:tc>
          <w:tcPr>
            <w:tcW w:w="0" w:type="dxa"/>
            <w:vAlign w:val="bottom"/>
          </w:tcPr>
          <w:p>
            <w:pPr>
              <w:spacing w:after="0"/>
              <w:rPr>
                <w:sz w:val="1"/>
                <w:szCs w:val="1"/>
                <w:color w:val="auto"/>
              </w:rPr>
            </w:pPr>
          </w:p>
        </w:tc>
      </w:tr>
      <w:tr>
        <w:trPr>
          <w:trHeight w:val="176"/>
        </w:trPr>
        <w:tc>
          <w:tcPr>
            <w:tcW w:w="4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FF0FC"/>
          </w:tcPr>
          <w:p>
            <w:pPr>
              <w:spacing w:after="0"/>
              <w:rPr>
                <w:sz w:val="15"/>
                <w:szCs w:val="15"/>
                <w:color w:val="auto"/>
              </w:rPr>
            </w:pPr>
          </w:p>
        </w:tc>
        <w:tc>
          <w:tcPr>
            <w:tcW w:w="12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(31,335 )</w:t>
            </w:r>
          </w:p>
        </w:tc>
        <w:tc>
          <w:tcPr>
            <w:tcW w:w="34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(31,335 )</w:t>
            </w:r>
          </w:p>
        </w:tc>
        <w:tc>
          <w:tcPr>
            <w:tcW w:w="0" w:type="dxa"/>
            <w:vAlign w:val="bottom"/>
          </w:tcPr>
          <w:p>
            <w:pPr>
              <w:spacing w:after="0"/>
              <w:rPr>
                <w:sz w:val="1"/>
                <w:szCs w:val="1"/>
                <w:color w:val="auto"/>
              </w:rPr>
            </w:pPr>
          </w:p>
        </w:tc>
      </w:tr>
      <w:tr>
        <w:trPr>
          <w:trHeight w:val="169"/>
        </w:trPr>
        <w:tc>
          <w:tcPr>
            <w:tcW w:w="4200" w:type="dxa"/>
            <w:vAlign w:val="bottom"/>
          </w:tcPr>
          <w:p>
            <w:pPr>
              <w:ind w:left="20"/>
              <w:spacing w:after="0"/>
              <w:rPr>
                <w:sz w:val="20"/>
                <w:szCs w:val="20"/>
                <w:color w:val="auto"/>
              </w:rPr>
            </w:pPr>
            <w:r>
              <w:rPr>
                <w:rFonts w:ascii="Arial" w:cs="Arial" w:eastAsia="Arial" w:hAnsi="Arial"/>
                <w:sz w:val="14"/>
                <w:szCs w:val="14"/>
                <w:color w:val="auto"/>
              </w:rPr>
              <w:t>Balance—June 30, 2022</w:t>
            </w:r>
          </w:p>
        </w:tc>
        <w:tc>
          <w:tcPr>
            <w:tcW w:w="1080" w:type="dxa"/>
            <w:vAlign w:val="bottom"/>
          </w:tcPr>
          <w:p>
            <w:pPr>
              <w:jc w:val="right"/>
              <w:ind w:right="88"/>
              <w:spacing w:after="0"/>
              <w:rPr>
                <w:sz w:val="20"/>
                <w:szCs w:val="20"/>
                <w:color w:val="auto"/>
              </w:rPr>
            </w:pPr>
            <w:r>
              <w:rPr>
                <w:rFonts w:ascii="Arial" w:cs="Arial" w:eastAsia="Arial" w:hAnsi="Arial"/>
                <w:sz w:val="14"/>
                <w:szCs w:val="14"/>
                <w:color w:val="auto"/>
              </w:rPr>
              <w:t>83,257,591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68"/>
              <w:spacing w:after="0"/>
              <w:rPr>
                <w:sz w:val="20"/>
                <w:szCs w:val="20"/>
                <w:color w:val="auto"/>
              </w:rPr>
            </w:pPr>
            <w:r>
              <w:rPr>
                <w:rFonts w:ascii="Arial" w:cs="Arial" w:eastAsia="Arial" w:hAnsi="Arial"/>
                <w:sz w:val="14"/>
                <w:szCs w:val="14"/>
                <w:color w:val="auto"/>
              </w:rPr>
              <w:t>83</w:t>
            </w:r>
          </w:p>
        </w:tc>
        <w:tc>
          <w:tcPr>
            <w:tcW w:w="3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68"/>
              <w:spacing w:after="0"/>
              <w:rPr>
                <w:sz w:val="20"/>
                <w:szCs w:val="20"/>
                <w:color w:val="auto"/>
              </w:rPr>
            </w:pPr>
            <w:r>
              <w:rPr>
                <w:rFonts w:ascii="Arial" w:cs="Arial" w:eastAsia="Arial" w:hAnsi="Arial"/>
                <w:sz w:val="14"/>
                <w:szCs w:val="14"/>
                <w:color w:val="auto"/>
              </w:rPr>
              <w:t>677,756</w:t>
            </w: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(17,382 )</w:t>
            </w:r>
          </w:p>
        </w:tc>
        <w:tc>
          <w:tcPr>
            <w:tcW w:w="3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660,457</w:t>
            </w:r>
          </w:p>
        </w:tc>
        <w:tc>
          <w:tcPr>
            <w:tcW w:w="0" w:type="dxa"/>
            <w:vAlign w:val="bottom"/>
          </w:tcPr>
          <w:p>
            <w:pPr>
              <w:spacing w:after="0"/>
              <w:rPr>
                <w:sz w:val="1"/>
                <w:szCs w:val="1"/>
                <w:color w:val="auto"/>
              </w:rPr>
            </w:pPr>
          </w:p>
        </w:tc>
      </w:tr>
      <w:tr>
        <w:trPr>
          <w:trHeight w:val="68"/>
        </w:trPr>
        <w:tc>
          <w:tcPr>
            <w:tcW w:w="42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2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39"/>
        </w:trPr>
        <w:tc>
          <w:tcPr>
            <w:tcW w:w="4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Common Stock</w:t>
            </w:r>
          </w:p>
        </w:tc>
        <w:tc>
          <w:tcPr>
            <w:tcW w:w="360" w:type="dxa"/>
            <w:vAlign w:val="bottom"/>
          </w:tcPr>
          <w:p>
            <w:pPr>
              <w:spacing w:after="0"/>
              <w:rPr>
                <w:sz w:val="12"/>
                <w:szCs w:val="12"/>
                <w:color w:val="auto"/>
              </w:rPr>
            </w:pP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b w:val="1"/>
                <w:bCs w:val="1"/>
                <w:color w:val="auto"/>
              </w:rPr>
              <w:t>Additional</w:t>
            </w:r>
          </w:p>
        </w:tc>
        <w:tc>
          <w:tcPr>
            <w:tcW w:w="320" w:type="dxa"/>
            <w:vAlign w:val="bottom"/>
          </w:tcPr>
          <w:p>
            <w:pPr>
              <w:spacing w:after="0"/>
              <w:rPr>
                <w:sz w:val="12"/>
                <w:szCs w:val="12"/>
                <w:color w:val="auto"/>
              </w:rPr>
            </w:pPr>
          </w:p>
        </w:tc>
        <w:tc>
          <w:tcPr>
            <w:tcW w:w="1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Accumulated</w:t>
            </w:r>
          </w:p>
        </w:tc>
        <w:tc>
          <w:tcPr>
            <w:tcW w:w="340" w:type="dxa"/>
            <w:vAlign w:val="bottom"/>
          </w:tcPr>
          <w:p>
            <w:pPr>
              <w:spacing w:after="0"/>
              <w:rPr>
                <w:sz w:val="12"/>
                <w:szCs w:val="12"/>
                <w:color w:val="auto"/>
              </w:rPr>
            </w:pPr>
          </w:p>
        </w:tc>
        <w:tc>
          <w:tcPr>
            <w:tcW w:w="1220" w:type="dxa"/>
            <w:vAlign w:val="bottom"/>
          </w:tcPr>
          <w:p>
            <w:pPr>
              <w:jc w:val="right"/>
              <w:ind w:right="4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rPr>
              <w:t>Paid-in</w:t>
            </w:r>
          </w:p>
        </w:tc>
        <w:tc>
          <w:tcPr>
            <w:tcW w:w="32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4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3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Balance—December 31, 2020</w:t>
            </w: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82,436,937</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612,879</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(65,160 )</w:t>
            </w:r>
          </w:p>
        </w:tc>
        <w:tc>
          <w:tcPr>
            <w:tcW w:w="3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547,801</w:t>
            </w:r>
          </w:p>
        </w:tc>
        <w:tc>
          <w:tcPr>
            <w:tcW w:w="0" w:type="dxa"/>
            <w:vAlign w:val="bottom"/>
          </w:tcPr>
          <w:p>
            <w:pPr>
              <w:spacing w:after="0"/>
              <w:rPr>
                <w:sz w:val="1"/>
                <w:szCs w:val="1"/>
                <w:color w:val="auto"/>
              </w:rPr>
            </w:pPr>
          </w:p>
        </w:tc>
      </w:tr>
      <w:tr>
        <w:trPr>
          <w:trHeight w:val="139"/>
        </w:trPr>
        <w:tc>
          <w:tcPr>
            <w:tcW w:w="4200" w:type="dxa"/>
            <w:vAlign w:val="bottom"/>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10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300,000</w:t>
            </w:r>
          </w:p>
        </w:tc>
        <w:tc>
          <w:tcPr>
            <w:tcW w:w="260" w:type="dxa"/>
            <w:vAlign w:val="bottom"/>
          </w:tcPr>
          <w:p>
            <w:pPr>
              <w:spacing w:after="0"/>
              <w:rPr>
                <w:sz w:val="12"/>
                <w:szCs w:val="12"/>
                <w:color w:val="auto"/>
              </w:rPr>
            </w:pPr>
          </w:p>
        </w:tc>
        <w:tc>
          <w:tcPr>
            <w:tcW w:w="1200" w:type="dxa"/>
            <w:vAlign w:val="bottom"/>
          </w:tcPr>
          <w:p>
            <w:pPr>
              <w:jc w:val="right"/>
              <w:ind w:right="68"/>
              <w:spacing w:after="0" w:line="13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470</w:t>
            </w:r>
          </w:p>
        </w:tc>
        <w:tc>
          <w:tcPr>
            <w:tcW w:w="320" w:type="dxa"/>
            <w:vAlign w:val="bottom"/>
          </w:tcPr>
          <w:p>
            <w:pPr>
              <w:spacing w:after="0"/>
              <w:rPr>
                <w:sz w:val="12"/>
                <w:szCs w:val="12"/>
                <w:color w:val="auto"/>
              </w:rPr>
            </w:pPr>
          </w:p>
        </w:tc>
        <w:tc>
          <w:tcPr>
            <w:tcW w:w="1280" w:type="dxa"/>
            <w:vAlign w:val="bottom"/>
          </w:tcPr>
          <w:p>
            <w:pPr>
              <w:jc w:val="right"/>
              <w:ind w:right="108"/>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85"/>
        </w:trPr>
        <w:tc>
          <w:tcPr>
            <w:tcW w:w="4200" w:type="dxa"/>
            <w:vAlign w:val="bottom"/>
          </w:tcPr>
          <w:p>
            <w:pPr>
              <w:ind w:left="320"/>
              <w:spacing w:after="0"/>
              <w:rPr>
                <w:sz w:val="20"/>
                <w:szCs w:val="20"/>
                <w:color w:val="auto"/>
              </w:rPr>
            </w:pPr>
            <w:r>
              <w:rPr>
                <w:rFonts w:ascii="Arial" w:cs="Arial" w:eastAsia="Arial" w:hAnsi="Arial"/>
                <w:sz w:val="14"/>
                <w:szCs w:val="14"/>
                <w:color w:val="auto"/>
              </w:rPr>
              <w:t>stock options</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7,273</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7,273</w:t>
            </w:r>
          </w:p>
        </w:tc>
        <w:tc>
          <w:tcPr>
            <w:tcW w:w="0" w:type="dxa"/>
            <w:vAlign w:val="bottom"/>
          </w:tcPr>
          <w:p>
            <w:pPr>
              <w:spacing w:after="0"/>
              <w:rPr>
                <w:sz w:val="1"/>
                <w:szCs w:val="1"/>
                <w:color w:val="auto"/>
              </w:rPr>
            </w:pPr>
          </w:p>
        </w:tc>
      </w:tr>
      <w:tr>
        <w:trPr>
          <w:trHeight w:val="176"/>
        </w:trPr>
        <w:tc>
          <w:tcPr>
            <w:tcW w:w="420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30,713</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30,713</w:t>
            </w: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Balance—March 31, 2021</w:t>
            </w: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82,736,937</w:t>
            </w:r>
          </w:p>
        </w:tc>
        <w:tc>
          <w:tcPr>
            <w:tcW w:w="260" w:type="dxa"/>
            <w:vAlign w:val="bottom"/>
            <w:shd w:val="clear" w:color="auto" w:fill="CFF0FC"/>
          </w:tcPr>
          <w:p>
            <w:pPr>
              <w:spacing w:after="0"/>
              <w:rPr>
                <w:sz w:val="14"/>
                <w:szCs w:val="14"/>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w:t>
            </w:r>
          </w:p>
        </w:tc>
        <w:tc>
          <w:tcPr>
            <w:tcW w:w="3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620,622</w:t>
            </w:r>
          </w:p>
        </w:tc>
        <w:tc>
          <w:tcPr>
            <w:tcW w:w="320" w:type="dxa"/>
            <w:vAlign w:val="bottom"/>
            <w:shd w:val="clear" w:color="auto" w:fill="CFF0FC"/>
          </w:tcPr>
          <w:p>
            <w:pPr>
              <w:spacing w:after="0"/>
              <w:rPr>
                <w:sz w:val="14"/>
                <w:szCs w:val="14"/>
                <w:color w:val="auto"/>
              </w:rPr>
            </w:pPr>
          </w:p>
        </w:tc>
        <w:tc>
          <w:tcPr>
            <w:tcW w:w="1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(34,447 )</w:t>
            </w:r>
          </w:p>
        </w:tc>
        <w:tc>
          <w:tcPr>
            <w:tcW w:w="340" w:type="dxa"/>
            <w:vAlign w:val="bottom"/>
            <w:shd w:val="clear" w:color="auto" w:fill="CFF0FC"/>
          </w:tcPr>
          <w:p>
            <w:pPr>
              <w:spacing w:after="0"/>
              <w:rPr>
                <w:sz w:val="14"/>
                <w:szCs w:val="14"/>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586,258</w:t>
            </w:r>
          </w:p>
        </w:tc>
        <w:tc>
          <w:tcPr>
            <w:tcW w:w="0" w:type="dxa"/>
            <w:vAlign w:val="bottom"/>
          </w:tcPr>
          <w:p>
            <w:pPr>
              <w:spacing w:after="0"/>
              <w:rPr>
                <w:sz w:val="1"/>
                <w:szCs w:val="1"/>
                <w:color w:val="auto"/>
              </w:rPr>
            </w:pPr>
          </w:p>
        </w:tc>
      </w:tr>
      <w:tr>
        <w:trPr>
          <w:trHeight w:val="139"/>
        </w:trPr>
        <w:tc>
          <w:tcPr>
            <w:tcW w:w="4200" w:type="dxa"/>
            <w:vAlign w:val="bottom"/>
          </w:tcPr>
          <w:p>
            <w:pPr>
              <w:ind w:left="200"/>
              <w:spacing w:after="0" w:line="139" w:lineRule="exact"/>
              <w:rPr>
                <w:sz w:val="20"/>
                <w:szCs w:val="20"/>
                <w:color w:val="auto"/>
              </w:rPr>
            </w:pPr>
            <w:r>
              <w:rPr>
                <w:rFonts w:ascii="Arial" w:cs="Arial" w:eastAsia="Arial" w:hAnsi="Arial"/>
                <w:sz w:val="14"/>
                <w:szCs w:val="14"/>
                <w:color w:val="auto"/>
              </w:rPr>
              <w:t>Issuance of common stock upon exercise of</w:t>
            </w:r>
          </w:p>
        </w:tc>
        <w:tc>
          <w:tcPr>
            <w:tcW w:w="10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40,000</w:t>
            </w:r>
          </w:p>
        </w:tc>
        <w:tc>
          <w:tcPr>
            <w:tcW w:w="260" w:type="dxa"/>
            <w:vAlign w:val="bottom"/>
          </w:tcPr>
          <w:p>
            <w:pPr>
              <w:spacing w:after="0"/>
              <w:rPr>
                <w:sz w:val="12"/>
                <w:szCs w:val="12"/>
                <w:color w:val="auto"/>
              </w:rPr>
            </w:pPr>
          </w:p>
        </w:tc>
        <w:tc>
          <w:tcPr>
            <w:tcW w:w="1200" w:type="dxa"/>
            <w:vAlign w:val="bottom"/>
          </w:tcPr>
          <w:p>
            <w:pPr>
              <w:jc w:val="right"/>
              <w:ind w:right="68"/>
              <w:spacing w:after="0" w:line="13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980" w:type="dxa"/>
            <w:vAlign w:val="bottom"/>
          </w:tcPr>
          <w:p>
            <w:pPr>
              <w:jc w:val="right"/>
              <w:ind w:right="68"/>
              <w:spacing w:after="0" w:line="139" w:lineRule="exact"/>
              <w:rPr>
                <w:sz w:val="20"/>
                <w:szCs w:val="20"/>
                <w:color w:val="auto"/>
              </w:rPr>
            </w:pPr>
            <w:r>
              <w:rPr>
                <w:rFonts w:ascii="Arial" w:cs="Arial" w:eastAsia="Arial" w:hAnsi="Arial"/>
                <w:sz w:val="14"/>
                <w:szCs w:val="14"/>
                <w:color w:val="auto"/>
              </w:rPr>
              <w:t>57</w:t>
            </w:r>
          </w:p>
        </w:tc>
        <w:tc>
          <w:tcPr>
            <w:tcW w:w="320" w:type="dxa"/>
            <w:vAlign w:val="bottom"/>
          </w:tcPr>
          <w:p>
            <w:pPr>
              <w:spacing w:after="0"/>
              <w:rPr>
                <w:sz w:val="12"/>
                <w:szCs w:val="12"/>
                <w:color w:val="auto"/>
              </w:rPr>
            </w:pPr>
          </w:p>
        </w:tc>
        <w:tc>
          <w:tcPr>
            <w:tcW w:w="1280" w:type="dxa"/>
            <w:vAlign w:val="bottom"/>
          </w:tcPr>
          <w:p>
            <w:pPr>
              <w:jc w:val="right"/>
              <w:ind w:right="108"/>
              <w:spacing w:after="0" w:line="13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1220" w:type="dxa"/>
            <w:vAlign w:val="bottom"/>
          </w:tcPr>
          <w:p>
            <w:pPr>
              <w:jc w:val="right"/>
              <w:ind w:right="48"/>
              <w:spacing w:after="0" w:line="13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85"/>
        </w:trPr>
        <w:tc>
          <w:tcPr>
            <w:tcW w:w="4200" w:type="dxa"/>
            <w:vAlign w:val="bottom"/>
          </w:tcPr>
          <w:p>
            <w:pPr>
              <w:ind w:left="320"/>
              <w:spacing w:after="0"/>
              <w:rPr>
                <w:sz w:val="20"/>
                <w:szCs w:val="20"/>
                <w:color w:val="auto"/>
              </w:rPr>
            </w:pPr>
            <w:r>
              <w:rPr>
                <w:rFonts w:ascii="Arial" w:cs="Arial" w:eastAsia="Arial" w:hAnsi="Arial"/>
                <w:sz w:val="14"/>
                <w:szCs w:val="14"/>
                <w:color w:val="auto"/>
              </w:rPr>
              <w:t>stock options</w:t>
            </w: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Stock-based compensation expense</w:t>
            </w: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shd w:val="clear" w:color="auto" w:fill="CFF0FC"/>
          </w:tcPr>
          <w:p>
            <w:pPr>
              <w:spacing w:after="0"/>
              <w:rPr>
                <w:sz w:val="15"/>
                <w:szCs w:val="15"/>
                <w:color w:val="auto"/>
              </w:rPr>
            </w:pP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10,007</w:t>
            </w:r>
          </w:p>
        </w:tc>
        <w:tc>
          <w:tcPr>
            <w:tcW w:w="320" w:type="dxa"/>
            <w:vAlign w:val="bottom"/>
            <w:shd w:val="clear" w:color="auto" w:fill="CFF0FC"/>
          </w:tcPr>
          <w:p>
            <w:pPr>
              <w:spacing w:after="0"/>
              <w:rPr>
                <w:sz w:val="15"/>
                <w:szCs w:val="15"/>
                <w:color w:val="auto"/>
              </w:rPr>
            </w:pPr>
          </w:p>
        </w:tc>
        <w:tc>
          <w:tcPr>
            <w:tcW w:w="128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10,007</w:t>
            </w:r>
          </w:p>
        </w:tc>
        <w:tc>
          <w:tcPr>
            <w:tcW w:w="0" w:type="dxa"/>
            <w:vAlign w:val="bottom"/>
          </w:tcPr>
          <w:p>
            <w:pPr>
              <w:spacing w:after="0"/>
              <w:rPr>
                <w:sz w:val="1"/>
                <w:szCs w:val="1"/>
                <w:color w:val="auto"/>
              </w:rPr>
            </w:pPr>
          </w:p>
        </w:tc>
      </w:tr>
      <w:tr>
        <w:trPr>
          <w:trHeight w:val="176"/>
        </w:trPr>
        <w:tc>
          <w:tcPr>
            <w:tcW w:w="4200" w:type="dxa"/>
            <w:vAlign w:val="bottom"/>
          </w:tcPr>
          <w:p>
            <w:pPr>
              <w:ind w:left="200"/>
              <w:spacing w:after="0"/>
              <w:rPr>
                <w:sz w:val="20"/>
                <w:szCs w:val="20"/>
                <w:color w:val="auto"/>
              </w:rPr>
            </w:pPr>
            <w:r>
              <w:rPr>
                <w:rFonts w:ascii="Arial" w:cs="Arial" w:eastAsia="Arial" w:hAnsi="Arial"/>
                <w:sz w:val="14"/>
                <w:szCs w:val="14"/>
                <w:color w:val="auto"/>
              </w:rPr>
              <w:t>Net income (loss)</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1,539</w:t>
            </w:r>
          </w:p>
        </w:tc>
        <w:tc>
          <w:tcPr>
            <w:tcW w:w="3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1,539</w:t>
            </w:r>
          </w:p>
        </w:tc>
        <w:tc>
          <w:tcPr>
            <w:tcW w:w="0" w:type="dxa"/>
            <w:vAlign w:val="bottom"/>
          </w:tcPr>
          <w:p>
            <w:pPr>
              <w:spacing w:after="0"/>
              <w:rPr>
                <w:sz w:val="1"/>
                <w:szCs w:val="1"/>
                <w:color w:val="auto"/>
              </w:rPr>
            </w:pPr>
          </w:p>
        </w:tc>
      </w:tr>
      <w:tr>
        <w:trPr>
          <w:trHeight w:val="169"/>
        </w:trPr>
        <w:tc>
          <w:tcPr>
            <w:tcW w:w="4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Balance—June 30, 2021</w:t>
            </w:r>
          </w:p>
        </w:tc>
        <w:tc>
          <w:tcPr>
            <w:tcW w:w="10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82,776,937</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83</w:t>
            </w:r>
          </w:p>
        </w:tc>
        <w:tc>
          <w:tcPr>
            <w:tcW w:w="3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630,686</w:t>
            </w:r>
          </w:p>
        </w:tc>
        <w:tc>
          <w:tcPr>
            <w:tcW w:w="3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(32,908 )</w:t>
            </w:r>
          </w:p>
        </w:tc>
        <w:tc>
          <w:tcPr>
            <w:tcW w:w="3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597,861</w:t>
            </w:r>
          </w:p>
        </w:tc>
        <w:tc>
          <w:tcPr>
            <w:tcW w:w="0" w:type="dxa"/>
            <w:vAlign w:val="bottom"/>
          </w:tcPr>
          <w:p>
            <w:pPr>
              <w:spacing w:after="0"/>
              <w:rPr>
                <w:sz w:val="1"/>
                <w:szCs w:val="1"/>
                <w:color w:val="auto"/>
              </w:rPr>
            </w:pPr>
          </w:p>
        </w:tc>
      </w:tr>
      <w:tr>
        <w:trPr>
          <w:trHeight w:val="68"/>
        </w:trPr>
        <w:tc>
          <w:tcPr>
            <w:tcW w:w="42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128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ind w:right="3200"/>
        <w:spacing w:after="0" w:line="256" w:lineRule="auto"/>
        <w:rPr>
          <w:sz w:val="20"/>
          <w:szCs w:val="20"/>
          <w:color w:val="auto"/>
        </w:rPr>
      </w:pPr>
      <w:r>
        <w:rPr>
          <w:rFonts w:ascii="Arial" w:cs="Arial" w:eastAsia="Arial" w:hAnsi="Arial"/>
          <w:sz w:val="32"/>
          <w:szCs w:val="32"/>
          <w:b w:val="1"/>
          <w:bCs w:val="1"/>
          <w:color w:val="auto"/>
        </w:rPr>
        <w:t>ATEA PHARMACEUTICALS, INC. and Subsidiary Condensed Consolidated Statements of Cash Flows</w:t>
      </w:r>
    </w:p>
    <w:p>
      <w:pPr>
        <w:spacing w:after="0" w:line="235" w:lineRule="auto"/>
        <w:rPr>
          <w:sz w:val="20"/>
          <w:szCs w:val="20"/>
          <w:color w:val="auto"/>
        </w:rPr>
      </w:pPr>
      <w:r>
        <w:rPr>
          <w:rFonts w:ascii="Arial" w:cs="Arial" w:eastAsia="Arial" w:hAnsi="Arial"/>
          <w:sz w:val="18"/>
          <w:szCs w:val="18"/>
          <w:b w:val="1"/>
          <w:bCs w:val="1"/>
          <w:color w:val="auto"/>
        </w:rPr>
        <w:t>(in thousands)</w:t>
      </w:r>
    </w:p>
    <w:p>
      <w:pP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70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1780" w:type="dxa"/>
            <w:vAlign w:val="bottom"/>
            <w:gridSpan w:val="2"/>
            <w:shd w:val="clear" w:color="auto" w:fill="000000"/>
          </w:tcPr>
          <w:p>
            <w:pPr>
              <w:spacing w:after="0"/>
              <w:rPr>
                <w:sz w:val="5"/>
                <w:szCs w:val="5"/>
                <w:color w:val="auto"/>
              </w:rPr>
            </w:pPr>
          </w:p>
        </w:tc>
      </w:tr>
      <w:tr>
        <w:trPr>
          <w:trHeight w:val="170"/>
        </w:trPr>
        <w:tc>
          <w:tcPr>
            <w:tcW w:w="7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780" w:type="dxa"/>
            <w:vAlign w:val="bottom"/>
            <w:gridSpan w:val="2"/>
          </w:tcPr>
          <w:p>
            <w:pPr>
              <w:ind w:left="100"/>
              <w:spacing w:after="0" w:line="170" w:lineRule="exact"/>
              <w:rPr>
                <w:sz w:val="20"/>
                <w:szCs w:val="20"/>
                <w:color w:val="auto"/>
              </w:rPr>
            </w:pPr>
            <w:r>
              <w:rPr>
                <w:rFonts w:ascii="Arial" w:cs="Arial" w:eastAsia="Arial" w:hAnsi="Arial"/>
                <w:sz w:val="18"/>
                <w:szCs w:val="18"/>
                <w:b w:val="1"/>
                <w:bCs w:val="1"/>
                <w:color w:val="auto"/>
              </w:rPr>
              <w:t>Six Months Ended</w:t>
            </w:r>
          </w:p>
        </w:tc>
      </w:tr>
      <w:tr>
        <w:trPr>
          <w:trHeight w:val="235"/>
        </w:trPr>
        <w:tc>
          <w:tcPr>
            <w:tcW w:w="77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09"/>
        </w:trPr>
        <w:tc>
          <w:tcPr>
            <w:tcW w:w="77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(73,412)</w:t>
            </w:r>
          </w:p>
        </w:tc>
        <w:tc>
          <w:tcPr>
            <w:tcW w:w="58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32,252</w:t>
            </w:r>
          </w:p>
        </w:tc>
      </w:tr>
      <w:tr>
        <w:trPr>
          <w:trHeight w:val="170"/>
        </w:trPr>
        <w:tc>
          <w:tcPr>
            <w:tcW w:w="7700" w:type="dxa"/>
            <w:vAlign w:val="bottom"/>
            <w:shd w:val="clear" w:color="auto" w:fill="CFF0FC"/>
          </w:tcPr>
          <w:p>
            <w:pPr>
              <w:ind w:left="20"/>
              <w:spacing w:after="0" w:line="170" w:lineRule="exact"/>
              <w:rPr>
                <w:sz w:val="20"/>
                <w:szCs w:val="20"/>
                <w:color w:val="auto"/>
              </w:rPr>
            </w:pPr>
            <w:r>
              <w:rPr>
                <w:rFonts w:ascii="Arial" w:cs="Arial" w:eastAsia="Arial" w:hAnsi="Arial"/>
                <w:sz w:val="18"/>
                <w:szCs w:val="18"/>
                <w:color w:val="auto"/>
              </w:rPr>
              <w:t>Adjustments to reconcile net income (loss) to net cash used in</w:t>
            </w:r>
          </w:p>
        </w:tc>
        <w:tc>
          <w:tcPr>
            <w:tcW w:w="52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r>
      <w:tr>
        <w:trPr>
          <w:trHeight w:val="235"/>
        </w:trPr>
        <w:tc>
          <w:tcPr>
            <w:tcW w:w="77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Stock-based compensation expense</w:t>
            </w:r>
          </w:p>
        </w:tc>
        <w:tc>
          <w:tcPr>
            <w:tcW w:w="5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23,569</w:t>
            </w:r>
          </w:p>
        </w:tc>
        <w:tc>
          <w:tcPr>
            <w:tcW w:w="5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17,280</w:t>
            </w: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Depreciation and amortization expense</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50</w:t>
            </w: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16"/>
        </w:trPr>
        <w:tc>
          <w:tcPr>
            <w:tcW w:w="7700" w:type="dxa"/>
            <w:vAlign w:val="bottom"/>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2,991</w:t>
            </w:r>
          </w:p>
        </w:tc>
        <w:tc>
          <w:tcPr>
            <w:tcW w:w="5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2,895</w:t>
            </w: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5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9,351</w:t>
            </w:r>
          </w:p>
        </w:tc>
        <w:tc>
          <w:tcPr>
            <w:tcW w:w="580" w:type="dxa"/>
            <w:vAlign w:val="bottom"/>
          </w:tcPr>
          <w:p>
            <w:pPr>
              <w:spacing w:after="0"/>
              <w:rPr>
                <w:sz w:val="18"/>
                <w:szCs w:val="18"/>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16,456</w:t>
            </w:r>
          </w:p>
        </w:tc>
      </w:tr>
      <w:tr>
        <w:trPr>
          <w:trHeight w:val="216"/>
        </w:trPr>
        <w:tc>
          <w:tcPr>
            <w:tcW w:w="770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expenses and other liabilities</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(41,584)</w:t>
            </w: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23,586</w:t>
            </w: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Deferred revenue</w:t>
            </w:r>
          </w:p>
        </w:tc>
        <w:tc>
          <w:tcPr>
            <w:tcW w:w="520" w:type="dxa"/>
            <w:vAlign w:val="bottom"/>
          </w:tcPr>
          <w:p>
            <w:pPr>
              <w:spacing w:after="0"/>
              <w:rPr>
                <w:sz w:val="18"/>
                <w:szCs w:val="18"/>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(76,376)</w:t>
            </w: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Operating lease liabilities</w:t>
            </w: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840</w:t>
            </w:r>
          </w:p>
        </w:tc>
        <w:tc>
          <w:tcPr>
            <w:tcW w:w="5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Pr>
          <w:p>
            <w:pPr>
              <w:ind w:left="520"/>
              <w:spacing w:after="0"/>
              <w:rPr>
                <w:sz w:val="20"/>
                <w:szCs w:val="20"/>
                <w:color w:val="auto"/>
              </w:rPr>
            </w:pPr>
            <w:r>
              <w:rPr>
                <w:rFonts w:ascii="Arial" w:cs="Arial" w:eastAsia="Arial" w:hAnsi="Arial"/>
                <w:sz w:val="18"/>
                <w:szCs w:val="18"/>
                <w:color w:val="auto"/>
              </w:rPr>
              <w:t>Net cash used in operating activities</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(78,195)</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(34,185)</w:t>
            </w:r>
          </w:p>
        </w:tc>
      </w:tr>
      <w:tr>
        <w:trPr>
          <w:trHeight w:val="209"/>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Additions to property and equipment</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(1,923)</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7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(1,923)</w:t>
            </w:r>
          </w:p>
        </w:tc>
        <w:tc>
          <w:tcPr>
            <w:tcW w:w="5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for exercise of stock options</w:t>
            </w:r>
          </w:p>
        </w:tc>
        <w:tc>
          <w:tcPr>
            <w:tcW w:w="5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223</w:t>
            </w: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r>
      <w:tr>
        <w:trPr>
          <w:trHeight w:val="209"/>
        </w:trPr>
        <w:tc>
          <w:tcPr>
            <w:tcW w:w="770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223</w:t>
            </w:r>
          </w:p>
        </w:tc>
        <w:tc>
          <w:tcPr>
            <w:tcW w:w="5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528</w:t>
            </w:r>
          </w:p>
        </w:tc>
      </w:tr>
      <w:tr>
        <w:trPr>
          <w:trHeight w:val="210"/>
        </w:trPr>
        <w:tc>
          <w:tcPr>
            <w:tcW w:w="770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52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(79,895)</w:t>
            </w:r>
          </w:p>
        </w:tc>
        <w:tc>
          <w:tcPr>
            <w:tcW w:w="5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(33,657)</w:t>
            </w:r>
          </w:p>
        </w:tc>
      </w:tr>
      <w:tr>
        <w:trPr>
          <w:trHeight w:val="216"/>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beginning of period</w:t>
            </w: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764,680</w:t>
            </w:r>
          </w:p>
        </w:tc>
        <w:tc>
          <w:tcPr>
            <w:tcW w:w="5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850,224</w:t>
            </w:r>
          </w:p>
        </w:tc>
      </w:tr>
      <w:tr>
        <w:trPr>
          <w:trHeight w:val="209"/>
        </w:trPr>
        <w:tc>
          <w:tcPr>
            <w:tcW w:w="770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684,785</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816,567</w:t>
            </w:r>
          </w:p>
        </w:tc>
      </w:tr>
      <w:tr>
        <w:trPr>
          <w:trHeight w:val="21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cash equivalents and restricted cash at the end of period:</w:t>
            </w:r>
          </w:p>
        </w:tc>
        <w:tc>
          <w:tcPr>
            <w:tcW w:w="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77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684,480</w:t>
            </w:r>
          </w:p>
        </w:tc>
        <w:tc>
          <w:tcPr>
            <w:tcW w:w="580" w:type="dxa"/>
            <w:vAlign w:val="bottom"/>
          </w:tcPr>
          <w:p>
            <w:pPr>
              <w:ind w:left="1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816,460</w:t>
            </w:r>
          </w:p>
        </w:tc>
      </w:tr>
      <w:tr>
        <w:trPr>
          <w:trHeight w:val="216"/>
        </w:trPr>
        <w:tc>
          <w:tcPr>
            <w:tcW w:w="77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Restricted cash</w:t>
            </w:r>
          </w:p>
        </w:tc>
        <w:tc>
          <w:tcPr>
            <w:tcW w:w="5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rPr>
              <w:t>305</w:t>
            </w:r>
          </w:p>
        </w:tc>
        <w:tc>
          <w:tcPr>
            <w:tcW w:w="5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107</w:t>
            </w:r>
          </w:p>
        </w:tc>
      </w:tr>
      <w:tr>
        <w:trPr>
          <w:trHeight w:val="230"/>
        </w:trPr>
        <w:tc>
          <w:tcPr>
            <w:tcW w:w="7700" w:type="dxa"/>
            <w:vAlign w:val="bottom"/>
          </w:tcPr>
          <w:p>
            <w:pPr>
              <w:ind w:left="520"/>
              <w:spacing w:after="0"/>
              <w:rPr>
                <w:sz w:val="20"/>
                <w:szCs w:val="20"/>
                <w:color w:val="auto"/>
              </w:rPr>
            </w:pPr>
            <w:r>
              <w:rPr>
                <w:rFonts w:ascii="Arial" w:cs="Arial" w:eastAsia="Arial" w:hAnsi="Arial"/>
                <w:sz w:val="18"/>
                <w:szCs w:val="18"/>
                <w:color w:val="auto"/>
              </w:rPr>
              <w:t>Total cash, cash equivalents and restricted cash</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684,785</w:t>
            </w:r>
          </w:p>
        </w:tc>
        <w:tc>
          <w:tcPr>
            <w:tcW w:w="5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816,567</w:t>
            </w:r>
          </w:p>
        </w:tc>
      </w:tr>
    </w:tbl>
    <w:p>
      <w:pPr>
        <w:spacing w:after="0" w:line="192"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Supplemental cash flow information:</w:t>
      </w:r>
    </w:p>
    <w:tbl>
      <w:tblPr>
        <w:tblLayout w:type="fixed"/>
        <w:tblInd w:w="520" w:type="dxa"/>
        <w:tblCellMar>
          <w:top w:w="0" w:type="dxa"/>
          <w:left w:w="0" w:type="dxa"/>
          <w:bottom w:w="0" w:type="dxa"/>
          <w:right w:w="0" w:type="dxa"/>
        </w:tblCellMar>
      </w:tblPr>
      <w:tr>
        <w:trPr>
          <w:trHeight w:val="193"/>
        </w:trPr>
        <w:tc>
          <w:tcPr>
            <w:tcW w:w="5780" w:type="dxa"/>
            <w:vAlign w:val="bottom"/>
          </w:tcPr>
          <w:p>
            <w:pPr>
              <w:spacing w:after="0" w:line="194" w:lineRule="exact"/>
              <w:rPr>
                <w:sz w:val="20"/>
                <w:szCs w:val="20"/>
                <w:color w:val="auto"/>
              </w:rPr>
            </w:pPr>
            <w:r>
              <w:rPr>
                <w:rFonts w:ascii="Arial" w:cs="Arial" w:eastAsia="Arial" w:hAnsi="Arial"/>
                <w:sz w:val="18"/>
                <w:szCs w:val="18"/>
                <w:color w:val="auto"/>
              </w:rPr>
              <w:t>Right of use assets obtained in exchange for operating</w:t>
            </w:r>
          </w:p>
        </w:tc>
        <w:tc>
          <w:tcPr>
            <w:tcW w:w="2020" w:type="dxa"/>
            <w:vAlign w:val="bottom"/>
            <w:vMerge w:val="restart"/>
          </w:tcPr>
          <w:p>
            <w:pPr>
              <w:jc w:val="right"/>
              <w:ind w:right="410"/>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ind w:right="70"/>
              <w:spacing w:after="0"/>
              <w:rPr>
                <w:sz w:val="20"/>
                <w:szCs w:val="20"/>
                <w:color w:val="auto"/>
              </w:rPr>
            </w:pPr>
            <w:r>
              <w:rPr>
                <w:rFonts w:ascii="Arial" w:cs="Arial" w:eastAsia="Arial" w:hAnsi="Arial"/>
                <w:sz w:val="18"/>
                <w:szCs w:val="18"/>
                <w:color w:val="auto"/>
              </w:rPr>
              <w:t>2,938</w:t>
            </w:r>
          </w:p>
        </w:tc>
        <w:tc>
          <w:tcPr>
            <w:tcW w:w="880" w:type="dxa"/>
            <w:vAlign w:val="bottom"/>
            <w:vMerge w:val="restart"/>
          </w:tcPr>
          <w:p>
            <w:pPr>
              <w:jc w:val="right"/>
              <w:ind w:right="53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ind w:left="64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9"/>
        </w:trPr>
        <w:tc>
          <w:tcPr>
            <w:tcW w:w="5780" w:type="dxa"/>
            <w:vAlign w:val="bottom"/>
          </w:tcPr>
          <w:p>
            <w:pPr>
              <w:ind w:left="160"/>
              <w:spacing w:after="0"/>
              <w:rPr>
                <w:sz w:val="20"/>
                <w:szCs w:val="20"/>
                <w:color w:val="auto"/>
              </w:rPr>
            </w:pPr>
            <w:r>
              <w:rPr>
                <w:rFonts w:ascii="Arial" w:cs="Arial" w:eastAsia="Arial" w:hAnsi="Arial"/>
                <w:sz w:val="18"/>
                <w:szCs w:val="18"/>
                <w:color w:val="auto"/>
              </w:rPr>
              <w:t>lease liabilities</w:t>
            </w:r>
          </w:p>
        </w:tc>
        <w:tc>
          <w:tcPr>
            <w:tcW w:w="20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The accompanying notes are an integral part of these unaudited condensed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9" w:name="page10"/>
    <w:bookmarkEnd w:id="9"/>
    <w:p>
      <w:pPr>
        <w:spacing w:after="0"/>
        <w:rPr>
          <w:sz w:val="20"/>
          <w:szCs w:val="20"/>
          <w:color w:val="auto"/>
        </w:rPr>
      </w:pPr>
      <w:r>
        <w:rPr>
          <w:rFonts w:ascii="Arial" w:cs="Arial" w:eastAsia="Arial" w:hAnsi="Arial"/>
          <w:sz w:val="32"/>
          <w:szCs w:val="32"/>
          <w:b w:val="1"/>
          <w:bCs w:val="1"/>
          <w:color w:val="auto"/>
        </w:rPr>
        <w:t>ATEA PHARMACEUTICALS, INC. and Subsidiary</w:t>
      </w:r>
    </w:p>
    <w:p>
      <w:pPr>
        <w:spacing w:after="0" w:line="21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Notes to Condensed Consolidated Financial Statements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10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Atea Pharmaceuticals, Inc., together with its subsidiary, Atea Pharmaceuticals Securities Corporation, is referred to on a consolidated basis as “the Company”.</w:t>
      </w:r>
    </w:p>
    <w:p>
      <w:pPr>
        <w:spacing w:after="0" w:line="4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The Company is a clinical-stage biopharmaceutical company focused on discovering, developing and commercializing antiviral therapeutics to improve the lives of patients suffering from severe viral infections.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02"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The Company is subject to risks and uncertainties common to clinical-stage biopharmaceutical companies. These risks include, but are not limited to, potential failure of preclinical and clinical studies, uncertainties associated with research and development activities generally, competition from technical innovations of others, dependence upon key personnel, compliance with governmental regulations, the need to obtain marketing approval for any product candidate that the Company may discover and develop, the need to gain broad acceptance among patients, payers and health care providers to successfully commercialize any product for which marketing approval is obtained and the need to secure and maintain adequate intellectual property protection for the Company’s proprietary technology and products. Further, the Company is currently dependent on third-party service providers for much of its preclinical research, clinical development and manufacturing activities. Product candidates currently under development will require significant amounts of additional capital, additional research and development efforts, including extensive preclinical and clinical testing and regulatory approval, prior to commercialization. Even if the Company is able to generate revenues from the sale of its product candidates, if approved, it may not become profitable or be able to sustain profitability. If the Company fails to become profitable or is unable to sustain profitability on a continuing basis, then it may be unable to continue its operations at planned levels and be forced to reduce its operations. The Company is also subject to risks associated with the COVID-19 global pandemic, including actual and potential delays associated with certain of its ongoing and anticipated trials, and potential negative impacts on the Company’s business operations and its ability to raise additional capital to finance its operations.</w:t>
      </w:r>
    </w:p>
    <w:p>
      <w:pPr>
        <w:spacing w:after="0" w:line="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 may seek additional capital through one or more of a combination of financing through the sale of additional equity securities, debt financing, or funding in connection with any new collaborative relationships it may enter into or other arrangements. There can be no assurance that the Company will be able to obtain such additional funding, on terms acceptable to the Company, on a timely basis or at all. The terms of any financing may adversely affect the holdings or the rights of the Company’s existing stockholders. The Company believes</w:t>
      </w:r>
    </w:p>
    <w:p>
      <w:pPr>
        <w:ind w:right="340"/>
        <w:spacing w:after="0" w:line="260" w:lineRule="auto"/>
        <w:rPr>
          <w:sz w:val="20"/>
          <w:szCs w:val="20"/>
          <w:color w:val="auto"/>
        </w:rPr>
      </w:pPr>
      <w:r>
        <w:rPr>
          <w:rFonts w:ascii="Arial" w:cs="Arial" w:eastAsia="Arial" w:hAnsi="Arial"/>
          <w:sz w:val="18"/>
          <w:szCs w:val="18"/>
          <w:color w:val="auto"/>
        </w:rPr>
        <w:t>that its cash and cash equivalents of $684,480 as of June 30, 2022 will be sufficient to fund its operations as currently planned through at least twelve months from the issuance of this Quarterly Report on Form 10-Q.</w:t>
      </w:r>
    </w:p>
    <w:p>
      <w:pPr>
        <w:spacing w:after="0" w:line="16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November 2021, the Company entered into an open market sales agreement (the “Sales Agreement”) with Jeffries LLC (“Jeffries”), under which the Company may from time to time offer and sell shares of its common stock for an aggregate offering price of up to $200.0 million, through or to Jeffries, acting as sales agent or principal. The shares will be offered and sold under the Company’s shelf registration statement on Form S-3 and a related prospectus filed with the Securities and Exchange Commission (the “SEC”) on November 24, 2021, as amended. The Company has agreed to pay Jeffries a commission of up to 3.0% of the aggregate gross proceeds from each sale of shares, reimburse legal fees and disbursements and provide Jeffries with customary indemnification and contribution rights. As of June 30, 2022, no shares have been issued under the Sales Agreement.</w:t>
      </w:r>
    </w:p>
    <w:p>
      <w:pPr>
        <w:spacing w:after="0" w:line="16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COVID-19 pandemic, including the evolution of new and existing variants of COVID-19, and geopolitical events, including civil or political unrest (such as the ongoing war between Ukraine and Russia), have resulted in a significant disruption of global financial markets. In addition, market volatility, inflation and interest rate fluctuations may increase our cost of financing or restrict our access to potential sources of future liquidity.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SEC rules and regulations. Accordingly, these unaudited condensed consolidated financial statements should be read in conjunction with the Company’s audited consolidated financial statements and the notes thereto for the year ended December 31, 2021 included in the Company’s Annual Report on Form 10-K filed with the SEC on February 28,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5"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accompanying condensed consolidated balance sheet as of June 30, 2022, the condensed consolidated statements of operations and comprehensive income (loss) for the three and six months ended June 30, 2022 and 2021, the condensed consolidated statements of stockholders’ equity for the three and six months ended June 30, 2022 and 2021, and the condensed consolidated statements of cash flows for the six months ended June 30, 2022 and 2021 are unaudited. The unaudited interim financial statements have been prepared on the same basis as the audited annual financial statements and, in the opinion of management, reflect all adjustments, which include only normal recurring adjustments, necessary for the fair statement of the Company’s financial position as of June 30, 2022, the results of its operations for the three and six months ended June 30, 2022 and 2021 and its cash flows for the six months ended June 30, 2022 and 2021. The results for the six months ended June 30, 2022 are not necessarily indicative of results to be expected for the year ending December 31, 2022, or any other interim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preparation of unaudited financial statements in conformity with GAAP requires management to make estimates and assumptions that affect the amounts reported in the consolidated financial statements and in these accompanying notes. The Company bases its estimates on historical experience, known trends and other market-specific or other relevant factors and assumptions that it believes to be reasonable under the circumstances. On an ongoing basis, management evaluates its estimates, which include but are not limited to estimates of accrued research and development expenses, valuation of stock-based awards, valuation of operating lease right-of-use assets and lease liabilities and income taxes. Changes in estimates are recorded in the period in which they become known.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2"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unaudited condensed consolidated financial statements include the accounts of Atea Pharmaceuticals, Inc. and its wholly owned subsidiary, Atea Pharmaceuticals Securities Corporation. All intercompany amounts have been eliminated in 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There were no changes in the Company’s significant accounting policies as described in the Annual Report on Form 10-K for the year ended December 31, 2021 filed with the SEC on February 28, 2022.</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Certain items in the prior year’s condensed consolidated financial statements have been reclassified to conform to the current presentation.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5" w:lineRule="exact"/>
        <w:rPr>
          <w:sz w:val="20"/>
          <w:szCs w:val="20"/>
          <w:color w:val="auto"/>
        </w:rPr>
      </w:pPr>
    </w:p>
    <w:p>
      <w:pPr>
        <w:jc w:val="both"/>
        <w:ind w:right="420"/>
        <w:spacing w:after="0" w:line="253" w:lineRule="auto"/>
        <w:rPr>
          <w:sz w:val="20"/>
          <w:szCs w:val="20"/>
          <w:color w:val="auto"/>
        </w:rPr>
      </w:pPr>
      <w:r>
        <w:rPr>
          <w:rFonts w:ascii="Arial" w:cs="Arial" w:eastAsia="Arial" w:hAnsi="Arial"/>
          <w:sz w:val="18"/>
          <w:szCs w:val="18"/>
          <w:color w:val="auto"/>
        </w:rPr>
        <w:t>From time to time, new accounting pronouncements are issued by the Financial Accounting Standard Board (“FASB”) or other standard setting bodies that the Company adopts as of the specified effective date. The Company does not believe that the adoption of recently issued standards have or may have a material impact on its consolidated financial statements and disclosures.</w:t>
      </w:r>
    </w:p>
    <w:p>
      <w:pPr>
        <w:spacing w:after="0" w:line="1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39" w:right="3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3. Collaboration Revenue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1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In October 2020, the Company entered into a License Agreement (the “Roche License Agreement”) with F. Hoffmann-LaRoche Ltd. and Genentech, Inc. (together, “Roche”) under which the Company granted an exclusive license for certain development and commercialization rights related to bemnifosbuvir outside of the United States (other than for certain HCV uses) to Roche.</w:t>
      </w:r>
    </w:p>
    <w:p>
      <w:pPr>
        <w:spacing w:after="0" w:line="7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On November 12, 2021, Roche provided the Company with a notice of termination of the Roche License Agreement. Under the terms of the Roche License Agreement, the termination was effective in February 2022. Upon termination, the rights and licenses granted by the Company to Roche under the Roche License Agreement were returned to the Company, resulting in the Company having all rights to continue the clinical development and future commercialization of bemnifosbuvir worldwide. Global development plan activities and related cost sharing between the parties continued through the effective date of the termination.</w:t>
      </w:r>
    </w:p>
    <w:p>
      <w:pPr>
        <w:spacing w:after="0" w:line="69" w:lineRule="exact"/>
        <w:rPr>
          <w:sz w:val="20"/>
          <w:szCs w:val="20"/>
          <w:color w:val="auto"/>
        </w:rPr>
      </w:pPr>
    </w:p>
    <w:p>
      <w:pPr>
        <w:jc w:val="both"/>
        <w:ind w:right="220"/>
        <w:spacing w:after="0" w:line="252" w:lineRule="auto"/>
        <w:rPr>
          <w:sz w:val="20"/>
          <w:szCs w:val="20"/>
          <w:color w:val="auto"/>
        </w:rPr>
      </w:pPr>
      <w:r>
        <w:rPr>
          <w:rFonts w:ascii="Arial" w:cs="Arial" w:eastAsia="Arial" w:hAnsi="Arial"/>
          <w:sz w:val="18"/>
          <w:szCs w:val="18"/>
          <w:color w:val="auto"/>
        </w:rPr>
        <w:t>The Company concluded that the notice of termination represented a contract modification for accounting purposes. The Company further concluded that upon receipt of the notice of termination, all of the Company's performance obligations had been completely satisfied. As a result, the Company recognized all remaining deferred revenue as collaboration revenue within the consolidated statements of operations and comprehensive income (loss) for the year ended December 31, 2021.</w:t>
      </w:r>
    </w:p>
    <w:p>
      <w:pPr>
        <w:spacing w:after="0" w:line="6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Prior to receipt of the termination notice, the Company classified all revenues recognized under the Roche License Agreement as collaboration revenue within the accompanying consolidated statements of operations and comprehensive income (loss). For the three and six months ended June 30, 2021, the Company recognized collaboration revenue of $60,391 and $126,376, respectively, related to the Roche License Agreement.</w:t>
      </w:r>
    </w:p>
    <w:p>
      <w:pPr>
        <w:spacing w:after="0" w:line="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The activities to complete the global development plan were accounted for under ASC 808. Expenses incurred and reimbursements made or received from Roche were accounted for pursuant to ASC 730,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As such, the Company was expensing costs as incurred, including any reimbursements made to Roche, and recognizing reimbursement received from Roche as a reduction of research and development expense through the effective date of the termination.</w:t>
      </w:r>
    </w:p>
    <w:p>
      <w:pPr>
        <w:spacing w:after="0" w:line="62"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For the three and six months ended June 30, 2022, costs reimbursable by Roche, which are reflected as a reduction to operating expenses were $0 and $845, respectively. For the three and six months ended June 30, 2021, costs reimbursable by Roche, which are reflected as a reduction to operating expenses, were $2,478 and $5,897, respectively. The Company recorded research and development expense of $0 and $9,578 during the three and six months ended June 30, 2022, respectively, related to its share of costs incurred by Roche. The Company recorded research and development expense of $23,212 and $37,729 during the three and six months ended June 30, 2021, respectively, related to its share of costs incurred by Roche. As of June 30, 2022 the Company recorded accounts payable of $8,733 and as of December 31, 2021 the Company recorded accrued expenses of $10,417, related to amounts payable to Roche pursuant to the cost share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17" w:lineRule="exact"/>
        <w:rPr>
          <w:sz w:val="20"/>
          <w:szCs w:val="20"/>
          <w:color w:val="auto"/>
        </w:rPr>
      </w:pPr>
    </w:p>
    <w:p>
      <w:pPr>
        <w:ind w:right="240"/>
        <w:spacing w:after="0" w:line="271" w:lineRule="auto"/>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 and indicate the level of the fair value hierarchy utilized to determine such fair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0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Fair Value Measurements as of</w:t>
      </w:r>
    </w:p>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June 30, 2022</w:t>
            </w:r>
          </w:p>
        </w:tc>
      </w:tr>
      <w:tr>
        <w:trPr>
          <w:trHeight w:val="210"/>
        </w:trPr>
        <w:tc>
          <w:tcPr>
            <w:tcW w:w="57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09"/>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578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657,921</w:t>
            </w:r>
          </w:p>
        </w:tc>
        <w:tc>
          <w:tcPr>
            <w:tcW w:w="4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657,921</w:t>
            </w:r>
          </w:p>
        </w:tc>
      </w:tr>
      <w:tr>
        <w:trPr>
          <w:trHeight w:val="210"/>
        </w:trPr>
        <w:tc>
          <w:tcPr>
            <w:tcW w:w="57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cash equivalents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657,921</w:t>
            </w:r>
          </w:p>
        </w:tc>
        <w:tc>
          <w:tcPr>
            <w:tcW w:w="48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657,921</w:t>
            </w:r>
          </w:p>
        </w:tc>
      </w:tr>
      <w:tr>
        <w:trPr>
          <w:trHeight w:val="68"/>
        </w:trPr>
        <w:tc>
          <w:tcPr>
            <w:tcW w:w="578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431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pacing w:after="0" w:line="231"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Fair Value Measurements as of</w:t>
      </w: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December 31, 2021</w:t>
            </w:r>
          </w:p>
        </w:tc>
      </w:tr>
      <w:tr>
        <w:trPr>
          <w:trHeight w:val="210"/>
        </w:trPr>
        <w:tc>
          <w:tcPr>
            <w:tcW w:w="39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4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Level 3</w:t>
            </w: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equivalents</w:t>
            </w: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r>
      <w:tr>
        <w:trPr>
          <w:trHeight w:val="216"/>
        </w:trPr>
        <w:tc>
          <w:tcPr>
            <w:tcW w:w="3940" w:type="dxa"/>
            <w:vAlign w:val="bottom"/>
          </w:tcPr>
          <w:p>
            <w:pPr>
              <w:ind w:left="280"/>
              <w:spacing w:after="0"/>
              <w:rPr>
                <w:sz w:val="20"/>
                <w:szCs w:val="20"/>
                <w:color w:val="auto"/>
              </w:rPr>
            </w:pPr>
            <w:r>
              <w:rPr>
                <w:rFonts w:ascii="Arial" w:cs="Arial" w:eastAsia="Arial" w:hAnsi="Arial"/>
                <w:sz w:val="18"/>
                <w:szCs w:val="18"/>
                <w:color w:val="auto"/>
              </w:rPr>
              <w:t>Money market funds</w:t>
            </w:r>
          </w:p>
        </w:tc>
        <w:tc>
          <w:tcPr>
            <w:tcW w:w="21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731,767</w:t>
            </w:r>
          </w:p>
        </w:tc>
        <w:tc>
          <w:tcPr>
            <w:tcW w:w="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731,767</w:t>
            </w:r>
          </w:p>
        </w:tc>
      </w:tr>
      <w:tr>
        <w:trPr>
          <w:trHeight w:val="210"/>
        </w:trPr>
        <w:tc>
          <w:tcPr>
            <w:tcW w:w="39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cash equivalents</w:t>
            </w:r>
          </w:p>
        </w:tc>
        <w:tc>
          <w:tcPr>
            <w:tcW w:w="18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731,767</w:t>
            </w:r>
          </w:p>
        </w:tc>
        <w:tc>
          <w:tcPr>
            <w:tcW w:w="48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731,767</w:t>
            </w:r>
          </w:p>
        </w:tc>
      </w:tr>
      <w:tr>
        <w:trPr>
          <w:trHeight w:val="68"/>
        </w:trPr>
        <w:tc>
          <w:tcPr>
            <w:tcW w:w="3940" w:type="dxa"/>
            <w:vAlign w:val="bottom"/>
            <w:shd w:val="clear" w:color="auto" w:fill="000000"/>
          </w:tcPr>
          <w:p>
            <w:pPr>
              <w:spacing w:after="0"/>
              <w:rPr>
                <w:sz w:val="5"/>
                <w:szCs w:val="5"/>
                <w:color w:val="auto"/>
              </w:rPr>
            </w:pPr>
          </w:p>
        </w:tc>
        <w:tc>
          <w:tcPr>
            <w:tcW w:w="18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98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960" w:type="dxa"/>
            <w:vAlign w:val="bottom"/>
            <w:shd w:val="clear" w:color="auto" w:fill="000000"/>
          </w:tcPr>
          <w:p>
            <w:pPr>
              <w:spacing w:after="0"/>
              <w:rPr>
                <w:sz w:val="5"/>
                <w:szCs w:val="5"/>
                <w:color w:val="auto"/>
              </w:rPr>
            </w:pPr>
          </w:p>
        </w:tc>
      </w:tr>
      <w:tr>
        <w:trPr>
          <w:trHeight w:val="638"/>
        </w:trPr>
        <w:tc>
          <w:tcPr>
            <w:tcW w:w="3940" w:type="dxa"/>
            <w:vAlign w:val="bottom"/>
          </w:tcPr>
          <w:p>
            <w:pPr>
              <w:spacing w:after="0"/>
              <w:rPr>
                <w:sz w:val="24"/>
                <w:szCs w:val="24"/>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84"/>
        </w:trPr>
        <w:tc>
          <w:tcPr>
            <w:tcW w:w="3940" w:type="dxa"/>
            <w:vAlign w:val="bottom"/>
            <w:tcBorders>
              <w:bottom w:val="single" w:sz="8" w:color="9A9A9A"/>
            </w:tcBorders>
          </w:tcPr>
          <w:p>
            <w:pPr>
              <w:spacing w:after="0"/>
              <w:rPr>
                <w:sz w:val="7"/>
                <w:szCs w:val="7"/>
                <w:color w:val="auto"/>
              </w:rPr>
            </w:pPr>
          </w:p>
        </w:tc>
        <w:tc>
          <w:tcPr>
            <w:tcW w:w="18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bookmarkStart w:id="12" w:name="page13"/>
    <w:bookmarkEnd w:id="12"/>
    <w:p>
      <w:pPr>
        <w:ind w:right="160"/>
        <w:spacing w:after="0" w:line="261" w:lineRule="auto"/>
        <w:rPr>
          <w:sz w:val="20"/>
          <w:szCs w:val="20"/>
          <w:color w:val="auto"/>
        </w:rPr>
      </w:pPr>
      <w:r>
        <w:rPr>
          <w:rFonts w:ascii="Arial" w:cs="Arial" w:eastAsia="Arial" w:hAnsi="Arial"/>
          <w:sz w:val="18"/>
          <w:szCs w:val="18"/>
          <w:color w:val="auto"/>
        </w:rPr>
        <w:t>The Company’s assets with fair value categorized as Level 1 within the fair value hierarchy include money market funds. Money market funds are publicly traded mutual funds and are presented as cash equivalents on the unaudited condensed consolidated balance sheets as of June 30, 2022 and December 31, 2021.</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Level 1, Level 2 or Level 3 categories in the three and six months ended June 30,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 and Other Current Liabilities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r>
      <w:tr>
        <w:trPr>
          <w:trHeight w:val="162"/>
        </w:trPr>
        <w:tc>
          <w:tcPr>
            <w:tcW w:w="7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40" w:type="dxa"/>
            <w:vAlign w:val="bottom"/>
          </w:tcPr>
          <w:p>
            <w:pPr>
              <w:jc w:val="right"/>
              <w:ind w:right="70"/>
              <w:spacing w:after="0" w:line="162" w:lineRule="exact"/>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14"/>
                <w:szCs w:val="14"/>
                <w:color w:val="auto"/>
              </w:rPr>
            </w:pPr>
          </w:p>
        </w:tc>
        <w:tc>
          <w:tcPr>
            <w:tcW w:w="1480" w:type="dxa"/>
            <w:vAlign w:val="bottom"/>
          </w:tcPr>
          <w:p>
            <w:pPr>
              <w:jc w:val="right"/>
              <w:ind w:right="30"/>
              <w:spacing w:after="0" w:line="162" w:lineRule="exact"/>
              <w:rPr>
                <w:sz w:val="20"/>
                <w:szCs w:val="20"/>
                <w:color w:val="auto"/>
              </w:rPr>
            </w:pPr>
            <w:r>
              <w:rPr>
                <w:rFonts w:ascii="Arial" w:cs="Arial" w:eastAsia="Arial" w:hAnsi="Arial"/>
                <w:sz w:val="18"/>
                <w:szCs w:val="18"/>
                <w:b w:val="1"/>
                <w:bCs w:val="1"/>
                <w:color w:val="auto"/>
              </w:rPr>
              <w:t>December 31,</w:t>
            </w:r>
          </w:p>
        </w:tc>
      </w:tr>
      <w:tr>
        <w:trPr>
          <w:trHeight w:val="243"/>
        </w:trPr>
        <w:tc>
          <w:tcPr>
            <w:tcW w:w="76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0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including manufacturing and clinical expenditures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5,735</w:t>
            </w:r>
          </w:p>
        </w:tc>
        <w:tc>
          <w:tcPr>
            <w:tcW w:w="4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18,080</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License fee</w:t>
            </w:r>
          </w:p>
        </w:tc>
        <w:tc>
          <w:tcPr>
            <w:tcW w:w="48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25,000</w:t>
            </w:r>
          </w:p>
        </w:tc>
      </w:tr>
      <w:tr>
        <w:trPr>
          <w:trHeight w:val="21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taxes</w:t>
            </w:r>
          </w:p>
        </w:tc>
        <w:tc>
          <w:tcPr>
            <w:tcW w:w="48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15</w:t>
            </w:r>
          </w:p>
        </w:tc>
        <w:tc>
          <w:tcPr>
            <w:tcW w:w="4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2,572</w:t>
            </w:r>
          </w:p>
        </w:tc>
      </w:tr>
      <w:tr>
        <w:trPr>
          <w:trHeight w:val="216"/>
        </w:trPr>
        <w:tc>
          <w:tcPr>
            <w:tcW w:w="7600" w:type="dxa"/>
            <w:vAlign w:val="bottom"/>
          </w:tcPr>
          <w:p>
            <w:pPr>
              <w:ind w:left="20"/>
              <w:spacing w:after="0"/>
              <w:rPr>
                <w:sz w:val="20"/>
                <w:szCs w:val="20"/>
                <w:color w:val="auto"/>
              </w:rPr>
            </w:pPr>
            <w:r>
              <w:rPr>
                <w:rFonts w:ascii="Arial" w:cs="Arial" w:eastAsia="Arial" w:hAnsi="Arial"/>
                <w:sz w:val="18"/>
                <w:szCs w:val="18"/>
                <w:color w:val="auto"/>
              </w:rPr>
              <w:t>Payroll and payroll related</w:t>
            </w:r>
          </w:p>
        </w:tc>
        <w:tc>
          <w:tcPr>
            <w:tcW w:w="48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3,216</w:t>
            </w:r>
          </w:p>
        </w:tc>
        <w:tc>
          <w:tcPr>
            <w:tcW w:w="440" w:type="dxa"/>
            <w:vAlign w:val="bottom"/>
          </w:tcPr>
          <w:p>
            <w:pPr>
              <w:spacing w:after="0"/>
              <w:rPr>
                <w:sz w:val="18"/>
                <w:szCs w:val="18"/>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4,209</w:t>
            </w:r>
          </w:p>
        </w:tc>
      </w:tr>
      <w:tr>
        <w:trPr>
          <w:trHeight w:val="216"/>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Professional fees and other</w:t>
            </w:r>
          </w:p>
        </w:tc>
        <w:tc>
          <w:tcPr>
            <w:tcW w:w="4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rPr>
              <w:t>1,526</w:t>
            </w:r>
          </w:p>
        </w:tc>
        <w:tc>
          <w:tcPr>
            <w:tcW w:w="44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2,291</w:t>
            </w:r>
          </w:p>
        </w:tc>
      </w:tr>
      <w:tr>
        <w:trPr>
          <w:trHeight w:val="209"/>
        </w:trPr>
        <w:tc>
          <w:tcPr>
            <w:tcW w:w="7600" w:type="dxa"/>
            <w:vAlign w:val="bottom"/>
          </w:tcPr>
          <w:p>
            <w:pPr>
              <w:ind w:left="280"/>
              <w:spacing w:after="0"/>
              <w:rPr>
                <w:sz w:val="20"/>
                <w:szCs w:val="20"/>
                <w:color w:val="auto"/>
              </w:rPr>
            </w:pPr>
            <w:r>
              <w:rPr>
                <w:rFonts w:ascii="Arial" w:cs="Arial" w:eastAsia="Arial" w:hAnsi="Arial"/>
                <w:sz w:val="18"/>
                <w:szCs w:val="18"/>
                <w:color w:val="auto"/>
              </w:rPr>
              <w:t>Total accrued expenses and other current liabilities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10,492</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52,152</w:t>
            </w:r>
          </w:p>
        </w:tc>
      </w:tr>
      <w:tr>
        <w:trPr>
          <w:trHeight w:val="68"/>
        </w:trPr>
        <w:tc>
          <w:tcPr>
            <w:tcW w:w="76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124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480" w:type="dxa"/>
            <w:vAlign w:val="bottom"/>
            <w:shd w:val="clear" w:color="auto" w:fill="000000"/>
          </w:tcPr>
          <w:p>
            <w:pPr>
              <w:spacing w:after="0"/>
              <w:rPr>
                <w:sz w:val="5"/>
                <w:szCs w:val="5"/>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Common Stock</w:t>
      </w:r>
    </w:p>
    <w:p>
      <w:pPr>
        <w:spacing w:after="0" w:line="10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At June 30, 2022, the authorized capital of the Company included 300,000,000 shares of common stock, of which 83,257,591 shares of common stock were issued and outstanding. On all matters to be voted upon by the holders of common stock, holders of common stock are entitled to one vote per share. The holders of common stock have no preemptive, redemption or conversion rights.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104"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In October 2020, the Company’s stockholders approved the Company’s 2020 Incentive Award Plan (the “2020 Plan”). The 2020 Plan provided for the initial issuance of up to 7,924,000 shares of common stock and for grant of incentive stock options or other incentive awards to employees, officers, directors and consultants of the Company. The number of shares of common stock that may be issued under the</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2020 Plan is also subject to increase on the first day of each calendar year equal to the lesser of i) 5% of the aggregate number of shares of common stock outstanding on the final day of the immediately preceding calendar year or ii) such smaller number of shares of common stock as is determined by the board of directors. In January 2022 and 2021, the shares of common stock available for issuance under the 2020 Plan were increased by 4,155,136 and 4,130,847 shares, respectively.</w:t>
      </w:r>
    </w:p>
    <w:p>
      <w:pPr>
        <w:spacing w:after="0" w:line="6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2020 Plan replaced and is the successor of the 2013 Equity Incentive Plan, as amended (the “2013 Plan”). Any cancellation of outstanding option awards to purchase up to 5,982,266 shares of common stock under the 2013 Plan will be made available for grant under 2020 Plan.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2022, there were 8,333,341 shares of common stock remaining available for future issuance under the 2020 Plan.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During the three and six months ended June 30, 2022, the Company granted 481,584 and 3,382,417 options, respectively, to employees with an aggregate grant date fair market value of $2,218 and $17,029, respectively.</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During the three and six months ended June 30, 2021, the Company granted 1,022,045 and 3,234,295 options, respectively, to employees with an aggregate grant date fair market value of $19,812 and $132,283,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0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During the three and six months ended June 30, 2022, the Company granted 0 and 182,350 restricted stock units, respectively, to employees with an aggregate grant date fair market value of $0 and $1,302, respectively. The restricted stock unit awards vest in three annual installments, the first of which will occur on January 31, 2023. No restricted stock units were granted during the three and six months ended June 30, 2021. During the three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six months ended June 30, 2022, 20,000 and 20,000 restricted stock units, respectively, were cancelled due to terminations.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Performance-based Restricted Stock Units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During the three and six months ended June 30, 2022, the Company granted 0 and 742,070 performance-based restricted stock units, respectively, to employees with an aggregate grant date fair market value of $0 and $5,298, respectively. No performance-based restricted stock units were granted during the three and six months ended June 30, 2021. The performance stock unit awards provide for a performance period from February 1, 2022 through January 31, 2025 to complete up to six defined performance metrics. The percentage of awards eligible to vest will be determined based on the number of metrics achieved during the performance period and may range from 0% to 200%. The Company has not recognized any compensation expense through June 30, 2022, as the minimum performance criteria had not been achieved. The vesting of any eligible awards will occur in equal installments on January 31, 2025 and January 31, 2026. During the three and six months ended June 30, 2022, 17,000 and 17,000 restricted stock units, respectively, were cancelled due to terminations.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98"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In October 2020, the Company’s shareholders approved the 2020 Employee Stock Purchase Plan (the "ESPP"), which became effective upon the closing of the Company’s initial public offering in November 2020. The Company initially reserved a total of 1,187,000 shares of common stock for issuance under the ESPP. The ESPP provides that the number of shares reserved and available for issuance under the ESPP will be increased on January 1 of each calendar year by 1% of the number of shares of common stock issued and outstanding on the immediately preceding December 31 or such lesser amount as specified by the compensation committee of the board of directors. To date, there has been no increase in the number of shares reserved for issuance under the ESPP.</w:t>
      </w:r>
    </w:p>
    <w:p>
      <w:pPr>
        <w:spacing w:after="0" w:line="175"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April 2022, the Company initiated its first offering period under the ESPP. Each offering period is six months in duration with the purchase date being the last day of the offering period.</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5"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Stock-based compensation expense by award type included within the unaudited condensed consolidated statements of operations and comprehensive income (loss) was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1060" w:type="dxa"/>
            <w:vAlign w:val="bottom"/>
            <w:gridSpan w:val="2"/>
            <w:shd w:val="clear" w:color="auto" w:fill="000000"/>
          </w:tcPr>
          <w:p>
            <w:pPr>
              <w:spacing w:after="0"/>
              <w:rPr>
                <w:sz w:val="5"/>
                <w:szCs w:val="5"/>
                <w:color w:val="auto"/>
              </w:rPr>
            </w:pPr>
          </w:p>
        </w:tc>
        <w:tc>
          <w:tcPr>
            <w:tcW w:w="1280" w:type="dxa"/>
            <w:vAlign w:val="bottom"/>
            <w:gridSpan w:val="2"/>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1040" w:type="dxa"/>
            <w:vAlign w:val="bottom"/>
            <w:gridSpan w:val="2"/>
            <w:shd w:val="clear" w:color="auto" w:fill="000000"/>
          </w:tcPr>
          <w:p>
            <w:pPr>
              <w:spacing w:after="0"/>
              <w:rPr>
                <w:sz w:val="5"/>
                <w:szCs w:val="5"/>
                <w:color w:val="auto"/>
              </w:rPr>
            </w:pPr>
          </w:p>
        </w:tc>
        <w:tc>
          <w:tcPr>
            <w:tcW w:w="1260" w:type="dxa"/>
            <w:vAlign w:val="bottom"/>
            <w:gridSpan w:val="2"/>
            <w:shd w:val="clear" w:color="auto" w:fill="000000"/>
          </w:tcPr>
          <w:p>
            <w:pPr>
              <w:spacing w:after="0"/>
              <w:rPr>
                <w:sz w:val="5"/>
                <w:szCs w:val="5"/>
                <w:color w:val="auto"/>
              </w:rPr>
            </w:pPr>
          </w:p>
        </w:tc>
      </w:tr>
      <w:tr>
        <w:trPr>
          <w:trHeight w:val="170"/>
        </w:trPr>
        <w:tc>
          <w:tcPr>
            <w:tcW w:w="5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4"/>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4"/>
          </w:tcPr>
          <w:p>
            <w:pPr>
              <w:jc w:val="right"/>
              <w:ind w:right="30"/>
              <w:spacing w:after="0" w:line="170" w:lineRule="exact"/>
              <w:rPr>
                <w:sz w:val="20"/>
                <w:szCs w:val="20"/>
                <w:color w:val="auto"/>
              </w:rPr>
            </w:pPr>
            <w:r>
              <w:rPr>
                <w:rFonts w:ascii="Arial" w:cs="Arial" w:eastAsia="Arial" w:hAnsi="Arial"/>
                <w:sz w:val="18"/>
                <w:szCs w:val="18"/>
                <w:b w:val="1"/>
                <w:bCs w:val="1"/>
                <w:color w:val="auto"/>
              </w:rPr>
              <w:t>Six Months Ended</w:t>
            </w:r>
          </w:p>
        </w:tc>
      </w:tr>
      <w:tr>
        <w:trPr>
          <w:trHeight w:val="235"/>
        </w:trPr>
        <w:tc>
          <w:tcPr>
            <w:tcW w:w="57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57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11,774</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10,007</w:t>
            </w:r>
          </w:p>
        </w:tc>
        <w:tc>
          <w:tcPr>
            <w:tcW w:w="46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23,365</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17,280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360" w:type="dxa"/>
            <w:vAlign w:val="bottom"/>
          </w:tcPr>
          <w:p>
            <w:pPr>
              <w:spacing w:after="0"/>
              <w:rPr>
                <w:sz w:val="18"/>
                <w:szCs w:val="18"/>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Performance-based stock units</w:t>
            </w:r>
          </w:p>
        </w:tc>
        <w:tc>
          <w:tcPr>
            <w:tcW w:w="36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11,908</w:t>
            </w:r>
          </w:p>
        </w:tc>
        <w:tc>
          <w:tcPr>
            <w:tcW w:w="14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10,007</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23,569</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17,280</w:t>
            </w:r>
          </w:p>
        </w:tc>
      </w:tr>
      <w:tr>
        <w:trPr>
          <w:trHeight w:val="68"/>
        </w:trPr>
        <w:tc>
          <w:tcPr>
            <w:tcW w:w="578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8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r>
      <w:tr>
        <w:trPr>
          <w:trHeight w:val="328"/>
        </w:trPr>
        <w:tc>
          <w:tcPr>
            <w:tcW w:w="5780" w:type="dxa"/>
            <w:vAlign w:val="bottom"/>
          </w:tcPr>
          <w:p>
            <w:pPr>
              <w:spacing w:after="0"/>
              <w:rPr>
                <w:sz w:val="20"/>
                <w:szCs w:val="20"/>
                <w:color w:val="auto"/>
              </w:rPr>
            </w:pPr>
            <w:r>
              <w:rPr>
                <w:rFonts w:ascii="Arial" w:cs="Arial" w:eastAsia="Arial" w:hAnsi="Arial"/>
                <w:sz w:val="18"/>
                <w:szCs w:val="18"/>
                <w:color w:val="auto"/>
              </w:rPr>
              <w:t>Stock-based compensation expense is classified as follows: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44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2360" w:type="dxa"/>
            <w:vAlign w:val="bottom"/>
            <w:gridSpan w:val="3"/>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2300" w:type="dxa"/>
            <w:vAlign w:val="bottom"/>
            <w:gridSpan w:val="3"/>
            <w:shd w:val="clear" w:color="auto" w:fill="000000"/>
          </w:tcPr>
          <w:p>
            <w:pPr>
              <w:spacing w:after="0"/>
              <w:rPr>
                <w:sz w:val="5"/>
                <w:szCs w:val="5"/>
                <w:color w:val="auto"/>
              </w:rPr>
            </w:pPr>
          </w:p>
        </w:tc>
      </w:tr>
      <w:tr>
        <w:trPr>
          <w:trHeight w:val="170"/>
        </w:trPr>
        <w:tc>
          <w:tcPr>
            <w:tcW w:w="44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6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0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Six Months Ended</w:t>
            </w:r>
          </w:p>
        </w:tc>
      </w:tr>
      <w:tr>
        <w:trPr>
          <w:trHeight w:val="235"/>
        </w:trPr>
        <w:tc>
          <w:tcPr>
            <w:tcW w:w="4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4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 expense</w:t>
            </w:r>
          </w:p>
        </w:tc>
        <w:tc>
          <w:tcPr>
            <w:tcW w:w="166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5,591</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4,573</w:t>
            </w:r>
          </w:p>
        </w:tc>
        <w:tc>
          <w:tcPr>
            <w:tcW w:w="4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11,020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7,771</w:t>
            </w:r>
          </w:p>
        </w:tc>
      </w:tr>
      <w:tr>
        <w:trPr>
          <w:trHeight w:val="216"/>
        </w:trPr>
        <w:tc>
          <w:tcPr>
            <w:tcW w:w="444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6,317</w:t>
            </w: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5,434</w:t>
            </w:r>
          </w:p>
        </w:tc>
        <w:tc>
          <w:tcPr>
            <w:tcW w:w="1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12,549</w:t>
            </w: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9,509</w:t>
            </w:r>
          </w:p>
        </w:tc>
      </w:tr>
      <w:tr>
        <w:trPr>
          <w:trHeight w:val="210"/>
        </w:trPr>
        <w:tc>
          <w:tcPr>
            <w:tcW w:w="44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13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11,908</w:t>
            </w:r>
          </w:p>
        </w:tc>
        <w:tc>
          <w:tcPr>
            <w:tcW w:w="4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10,007</w:t>
            </w:r>
          </w:p>
        </w:tc>
        <w:tc>
          <w:tcPr>
            <w:tcW w:w="14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23,569</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17,280</w:t>
            </w:r>
          </w:p>
        </w:tc>
      </w:tr>
      <w:tr>
        <w:trPr>
          <w:trHeight w:val="68"/>
        </w:trPr>
        <w:tc>
          <w:tcPr>
            <w:tcW w:w="4440" w:type="dxa"/>
            <w:vAlign w:val="bottom"/>
            <w:shd w:val="clear" w:color="auto" w:fill="000000"/>
          </w:tcPr>
          <w:p>
            <w:pPr>
              <w:spacing w:after="0"/>
              <w:rPr>
                <w:sz w:val="5"/>
                <w:szCs w:val="5"/>
                <w:color w:val="auto"/>
              </w:rPr>
            </w:pPr>
          </w:p>
        </w:tc>
        <w:tc>
          <w:tcPr>
            <w:tcW w:w="1300" w:type="dxa"/>
            <w:vAlign w:val="bottom"/>
            <w:shd w:val="clear" w:color="auto" w:fill="000000"/>
          </w:tcPr>
          <w:p>
            <w:pPr>
              <w:spacing w:after="0"/>
              <w:rPr>
                <w:sz w:val="5"/>
                <w:szCs w:val="5"/>
                <w:color w:val="auto"/>
              </w:rPr>
            </w:pPr>
          </w:p>
        </w:tc>
        <w:tc>
          <w:tcPr>
            <w:tcW w:w="360" w:type="dxa"/>
            <w:vAlign w:val="bottom"/>
            <w:shd w:val="clear" w:color="auto" w:fill="000000"/>
          </w:tcPr>
          <w:p>
            <w:pPr>
              <w:spacing w:after="0"/>
              <w:rPr>
                <w:sz w:val="5"/>
                <w:szCs w:val="5"/>
                <w:color w:val="auto"/>
              </w:rPr>
            </w:pPr>
          </w:p>
        </w:tc>
        <w:tc>
          <w:tcPr>
            <w:tcW w:w="9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34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00" w:type="dxa"/>
            <w:vAlign w:val="bottom"/>
            <w:shd w:val="clear" w:color="auto" w:fill="000000"/>
          </w:tcPr>
          <w:p>
            <w:pPr>
              <w:spacing w:after="0"/>
              <w:rPr>
                <w:sz w:val="5"/>
                <w:szCs w:val="5"/>
                <w:color w:val="auto"/>
              </w:rPr>
            </w:pPr>
          </w:p>
        </w:tc>
      </w:tr>
      <w:tr>
        <w:trPr>
          <w:trHeight w:val="638"/>
        </w:trPr>
        <w:tc>
          <w:tcPr>
            <w:tcW w:w="44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1"/>
        </w:trPr>
        <w:tc>
          <w:tcPr>
            <w:tcW w:w="444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4" w:name="page15"/>
    <w:bookmarkEnd w:id="14"/>
    <w:p>
      <w:pPr>
        <w:ind w:right="5280" w:firstLine="8"/>
        <w:spacing w:after="0" w:line="412" w:lineRule="auto"/>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Income (Loss) Per Share Attributable to Common Stockholders </w:t>
      </w:r>
      <w:r>
        <w:rPr>
          <w:rFonts w:ascii="Arial" w:cs="Arial" w:eastAsia="Arial" w:hAnsi="Arial"/>
          <w:sz w:val="18"/>
          <w:szCs w:val="18"/>
          <w:color w:val="auto"/>
        </w:rPr>
        <w:t>Basic and diluted earnings per share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sectPr>
      </w:pPr>
    </w:p>
    <w:p>
      <w:pPr>
        <w:spacing w:after="0" w:line="86"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Three Months Ended</w:t>
      </w:r>
    </w:p>
    <w:p>
      <w:pPr>
        <w:jc w:val="right"/>
        <w:ind w:right="44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6350</wp:posOffset>
            </wp:positionV>
            <wp:extent cx="193738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37385" cy="8890"/>
                    </a:xfrm>
                    <a:prstGeom prst="rect">
                      <a:avLst/>
                    </a:prstGeom>
                    <a:noFill/>
                  </pic:spPr>
                </pic:pic>
              </a:graphicData>
            </a:graphic>
          </wp:anchor>
        </w:drawing>
      </w:r>
    </w:p>
    <w:p>
      <w:pPr>
        <w:spacing w:after="0" w:line="2" w:lineRule="exact"/>
        <w:rPr>
          <w:sz w:val="20"/>
          <w:szCs w:val="20"/>
          <w:color w:val="auto"/>
        </w:rPr>
      </w:pPr>
    </w:p>
    <w:p>
      <w:pPr>
        <w:ind w:left="5980"/>
        <w:spacing w:after="0"/>
        <w:tabs>
          <w:tab w:leader="none" w:pos="758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right"/>
        <w:ind w:right="120"/>
        <w:spacing w:after="0"/>
        <w:rPr>
          <w:sz w:val="20"/>
          <w:szCs w:val="20"/>
          <w:color w:val="auto"/>
        </w:rPr>
      </w:pPr>
      <w:r>
        <w:rPr>
          <w:rFonts w:ascii="Arial" w:cs="Arial" w:eastAsia="Arial" w:hAnsi="Arial"/>
          <w:sz w:val="18"/>
          <w:szCs w:val="18"/>
          <w:b w:val="1"/>
          <w:bCs w:val="1"/>
          <w:color w:val="auto"/>
        </w:rPr>
        <w:t>Six Months Ended</w:t>
      </w:r>
    </w:p>
    <w:p>
      <w:pPr>
        <w:jc w:val="right"/>
        <w:ind w:right="120"/>
        <w:spacing w:after="0"/>
        <w:rPr>
          <w:sz w:val="20"/>
          <w:szCs w:val="20"/>
          <w:color w:val="auto"/>
        </w:rPr>
      </w:pPr>
      <w:r>
        <w:rPr>
          <w:rFonts w:ascii="Arial" w:cs="Arial" w:eastAsia="Arial" w:hAnsi="Arial"/>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-564515</wp:posOffset>
            </wp:positionH>
            <wp:positionV relativeFrom="paragraph">
              <wp:posOffset>6350</wp:posOffset>
            </wp:positionV>
            <wp:extent cx="18859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 w:lineRule="exact"/>
        <w:rPr>
          <w:sz w:val="20"/>
          <w:szCs w:val="20"/>
          <w:color w:val="auto"/>
        </w:rPr>
      </w:pPr>
    </w:p>
    <w:p>
      <w:pPr>
        <w:spacing w:after="0"/>
        <w:tabs>
          <w:tab w:leader="none" w:pos="1540" w:val="left"/>
        </w:tabs>
        <w:rPr>
          <w:sz w:val="20"/>
          <w:szCs w:val="20"/>
          <w:color w:val="auto"/>
        </w:rPr>
      </w:pPr>
      <w:r>
        <w:rPr>
          <w:rFonts w:ascii="Arial" w:cs="Arial" w:eastAsia="Arial" w:hAnsi="Arial"/>
          <w:sz w:val="17"/>
          <w:szCs w:val="17"/>
          <w:b w:val="1"/>
          <w:bCs w:val="1"/>
          <w:color w:val="auto"/>
        </w:rPr>
        <w:t>2022</w:t>
      </w:r>
      <w:r>
        <w:rPr>
          <w:sz w:val="20"/>
          <w:szCs w:val="20"/>
          <w:color w:val="auto"/>
        </w:rPr>
        <w:tab/>
      </w:r>
      <w:r>
        <w:rPr>
          <w:rFonts w:ascii="Arial" w:cs="Arial" w:eastAsia="Arial" w:hAnsi="Arial"/>
          <w:sz w:val="17"/>
          <w:szCs w:val="17"/>
          <w:b w:val="1"/>
          <w:bCs w:val="1"/>
          <w:color w:val="auto"/>
        </w:rPr>
        <w:t>2021</w:t>
      </w:r>
    </w:p>
    <w:p>
      <w:pPr>
        <w:spacing w:after="0" w:line="22" w:lineRule="exact"/>
        <w:rPr>
          <w:sz w:val="20"/>
          <w:szCs w:val="20"/>
          <w:color w:val="auto"/>
        </w:rPr>
      </w:pPr>
    </w:p>
    <w:p>
      <w:pPr>
        <w:sectPr>
          <w:pgSz w:w="11900" w:h="16838" w:orient="portrait"/>
          <w:cols w:equalWidth="0" w:num="2">
            <w:col w:w="8440" w:space="720"/>
            <w:col w:w="2080"/>
          </w:cols>
          <w:pgMar w:left="320" w:top="539"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(31,335)</w:t>
            </w:r>
          </w:p>
        </w:tc>
        <w:tc>
          <w:tcPr>
            <w:tcW w:w="42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1,539</w:t>
            </w: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(73,412)</w:t>
            </w:r>
          </w:p>
        </w:tc>
        <w:tc>
          <w:tcPr>
            <w:tcW w:w="400" w:type="dxa"/>
            <w:vAlign w:val="bottom"/>
            <w:tcBorders>
              <w:top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32,252</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83,257,591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82,743,530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83,217,223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82,662,019</w:t>
            </w:r>
          </w:p>
        </w:tc>
      </w:tr>
      <w:tr>
        <w:trPr>
          <w:trHeight w:val="216"/>
        </w:trPr>
        <w:tc>
          <w:tcPr>
            <w:tcW w:w="5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Dilutive effect of outstanding stock options</w:t>
            </w: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5,347,854</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6,021,748</w:t>
            </w:r>
          </w:p>
        </w:tc>
      </w:tr>
      <w:tr>
        <w:trPr>
          <w:trHeight w:val="210"/>
        </w:trPr>
        <w:tc>
          <w:tcPr>
            <w:tcW w:w="508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6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83,257,591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88,091,384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83,217,223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88,683,767</w:t>
            </w:r>
          </w:p>
        </w:tc>
      </w:tr>
      <w:tr>
        <w:trPr>
          <w:trHeight w:val="216"/>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per share, basic</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(0.38)</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0.02</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0.39</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Net income (loss) per share, diluted</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(0.38)</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(0.88)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0.36</w:t>
            </w:r>
          </w:p>
        </w:tc>
      </w:tr>
      <w:tr>
        <w:trPr>
          <w:trHeight w:val="68"/>
        </w:trPr>
        <w:tc>
          <w:tcPr>
            <w:tcW w:w="508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8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-462280</wp:posOffset>
            </wp:positionV>
            <wp:extent cx="1028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-462280</wp:posOffset>
            </wp:positionV>
            <wp:extent cx="93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-462280</wp:posOffset>
            </wp:positionV>
            <wp:extent cx="93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77"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Stock options for the purchase of 13,260,415 shares, restricted stock awards of 162,350 and performance-based awards of 724,970 were excluded from the computation of the net loss per share attributable to common stockholders for the three and six months ended June 30, 2022, respectively, due to net loss during the periods. Stock options for the purchase of 3,548,713 and 2,308,070 weighted average shares were excluded from the computation of diluted net income per share attributable to common stockholders for the three and six months ended June 30, 2021, respectively, because those options had an anti-dilutive impact due to the assumed proceeds per share using the treasury stock method being greater than the average fair value of the Company’s common shares for the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1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Company’s building leases are comprised of office space under non-cancelable operating leases. In July 2021, the Company entered into a lease agreement pursuant to which the Company leased office space in Boston, Massachusetts at 225 Franklin Street (the "225 Lease"). The 225 Lease commencement date was January 1, 2022 and the 225 Lease runs through December 31, 2026. The lease does not contain any options for renewal or extension. The Company began to occupy the space during the three months ended June 30, 2022. Previously, the Company’s principal office was located at 125 Summer Street in Boston, Massachusetts pursuant to a lease that expired in July 2022.</w:t>
      </w:r>
    </w:p>
    <w:p>
      <w:pPr>
        <w:spacing w:after="0" w:line="8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In connection with the 225 Lease commencement, the Company recorded a right-of-use asset and operating lease liability of $2,938 and $2,873 as of January 1, 2022.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payments under the Company’s operating leases as of June 30, 2022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92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r>
      <w:tr>
        <w:trPr>
          <w:trHeight w:val="197"/>
        </w:trPr>
        <w:tc>
          <w:tcPr>
            <w:tcW w:w="9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20" w:type="dxa"/>
            <w:vAlign w:val="bottom"/>
          </w:tcPr>
          <w:p>
            <w:pPr>
              <w:jc w:val="right"/>
              <w:ind w:right="30"/>
              <w:spacing w:after="0" w:line="197" w:lineRule="exact"/>
              <w:rPr>
                <w:sz w:val="20"/>
                <w:szCs w:val="20"/>
                <w:color w:val="auto"/>
              </w:rPr>
            </w:pPr>
            <w:r>
              <w:rPr>
                <w:rFonts w:ascii="Arial" w:cs="Arial" w:eastAsia="Arial" w:hAnsi="Arial"/>
                <w:sz w:val="18"/>
                <w:szCs w:val="18"/>
                <w:b w:val="1"/>
                <w:bCs w:val="1"/>
                <w:color w:val="auto"/>
              </w:rPr>
              <w:t>As of June 30,</w:t>
            </w:r>
          </w:p>
        </w:tc>
      </w:tr>
      <w:tr>
        <w:trPr>
          <w:trHeight w:val="235"/>
        </w:trPr>
        <w:tc>
          <w:tcPr>
            <w:tcW w:w="9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r>
      <w:tr>
        <w:trPr>
          <w:trHeight w:val="21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2022</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423</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2023</w:t>
            </w:r>
          </w:p>
        </w:tc>
        <w:tc>
          <w:tcPr>
            <w:tcW w:w="4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805</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4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821</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4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838</w:t>
            </w: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4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855</w:t>
            </w:r>
          </w:p>
        </w:tc>
      </w:tr>
      <w:tr>
        <w:trPr>
          <w:trHeight w:val="210"/>
        </w:trPr>
        <w:tc>
          <w:tcPr>
            <w:tcW w:w="9220" w:type="dxa"/>
            <w:vAlign w:val="bottom"/>
          </w:tcPr>
          <w:p>
            <w:pPr>
              <w:ind w:left="20"/>
              <w:spacing w:after="0"/>
              <w:rPr>
                <w:sz w:val="20"/>
                <w:szCs w:val="20"/>
                <w:color w:val="auto"/>
              </w:rPr>
            </w:pPr>
            <w:r>
              <w:rPr>
                <w:rFonts w:ascii="Arial" w:cs="Arial" w:eastAsia="Arial" w:hAnsi="Arial"/>
                <w:sz w:val="18"/>
                <w:szCs w:val="18"/>
                <w:color w:val="auto"/>
              </w:rPr>
              <w:t>Total lease payments</w:t>
            </w:r>
          </w:p>
        </w:tc>
        <w:tc>
          <w:tcPr>
            <w:tcW w:w="400" w:type="dxa"/>
            <w:vAlign w:val="bottom"/>
          </w:tcPr>
          <w:p>
            <w:pPr>
              <w:spacing w:after="0"/>
              <w:rPr>
                <w:sz w:val="18"/>
                <w:szCs w:val="18"/>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3,742</w:t>
            </w:r>
          </w:p>
        </w:tc>
      </w:tr>
      <w:tr>
        <w:trPr>
          <w:trHeight w:val="216"/>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amount representing implied interest</w:t>
            </w:r>
          </w:p>
        </w:tc>
        <w:tc>
          <w:tcPr>
            <w:tcW w:w="40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r>
      <w:tr>
        <w:trPr>
          <w:trHeight w:val="210"/>
        </w:trPr>
        <w:tc>
          <w:tcPr>
            <w:tcW w:w="9220" w:type="dxa"/>
            <w:vAlign w:val="bottom"/>
          </w:tcPr>
          <w:p>
            <w:pPr>
              <w:ind w:left="20"/>
              <w:spacing w:after="0"/>
              <w:rPr>
                <w:sz w:val="20"/>
                <w:szCs w:val="20"/>
                <w:color w:val="auto"/>
              </w:rPr>
            </w:pPr>
            <w:r>
              <w:rPr>
                <w:rFonts w:ascii="Arial" w:cs="Arial" w:eastAsia="Arial" w:hAnsi="Arial"/>
                <w:sz w:val="18"/>
                <w:szCs w:val="18"/>
                <w:color w:val="auto"/>
              </w:rPr>
              <w:t>Total lease liability</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3,496</w:t>
            </w:r>
          </w:p>
        </w:tc>
      </w:tr>
      <w:tr>
        <w:trPr>
          <w:trHeight w:val="21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portion of operating lease liabilities</w:t>
            </w:r>
          </w:p>
        </w:tc>
        <w:tc>
          <w:tcPr>
            <w:tcW w:w="400" w:type="dxa"/>
            <w:vAlign w:val="bottom"/>
            <w:shd w:val="clear" w:color="auto" w:fill="CFF0FC"/>
          </w:tcPr>
          <w:p>
            <w:pPr>
              <w:spacing w:after="0"/>
              <w:rPr>
                <w:sz w:val="18"/>
                <w:szCs w:val="18"/>
                <w:color w:val="auto"/>
              </w:rPr>
            </w:pPr>
          </w:p>
        </w:tc>
        <w:tc>
          <w:tcPr>
            <w:tcW w:w="16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730</w:t>
            </w:r>
          </w:p>
        </w:tc>
      </w:tr>
      <w:tr>
        <w:trPr>
          <w:trHeight w:val="216"/>
        </w:trPr>
        <w:tc>
          <w:tcPr>
            <w:tcW w:w="9220" w:type="dxa"/>
            <w:vAlign w:val="bottom"/>
          </w:tcPr>
          <w:p>
            <w:pPr>
              <w:ind w:left="20"/>
              <w:spacing w:after="0"/>
              <w:rPr>
                <w:sz w:val="20"/>
                <w:szCs w:val="20"/>
                <w:color w:val="auto"/>
              </w:rPr>
            </w:pPr>
            <w:r>
              <w:rPr>
                <w:rFonts w:ascii="Arial" w:cs="Arial" w:eastAsia="Arial" w:hAnsi="Arial"/>
                <w:sz w:val="18"/>
                <w:szCs w:val="18"/>
                <w:color w:val="auto"/>
              </w:rPr>
              <w:t>Noncurrent portion of operating lease liabilities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2,766</w:t>
            </w:r>
          </w:p>
        </w:tc>
      </w:tr>
      <w:tr>
        <w:trPr>
          <w:trHeight w:val="68"/>
        </w:trPr>
        <w:tc>
          <w:tcPr>
            <w:tcW w:w="92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r>
    </w:tbl>
    <w:p>
      <w:pPr>
        <w:spacing w:after="0" w:line="8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For the three and six months ended June 30, 2022, the Company recorded operating lease costs of $232 and $464, respectively relating to its operating lease agreements. For the three and six months ended June 30, 2021, the Company recorded operating lease costs of $71 and $141, respectively relating to its operating lease agreements.</w:t>
      </w:r>
    </w:p>
    <w:p>
      <w:pPr>
        <w:spacing w:after="0" w:line="54"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The 225 Lease includes a leasehold improvement allowance of $877. As of June 30, 2022, all amounts related to the improvement allowance have been received.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9"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10. Income Taxes</w:t>
      </w:r>
    </w:p>
    <w:p>
      <w:pPr>
        <w:spacing w:after="0" w:line="117" w:lineRule="exact"/>
        <w:rPr>
          <w:sz w:val="20"/>
          <w:szCs w:val="20"/>
          <w:color w:val="auto"/>
        </w:rPr>
      </w:pPr>
    </w:p>
    <w:p>
      <w:pPr>
        <w:jc w:val="both"/>
        <w:ind w:right="660"/>
        <w:spacing w:after="0" w:line="271" w:lineRule="auto"/>
        <w:rPr>
          <w:sz w:val="20"/>
          <w:szCs w:val="20"/>
          <w:color w:val="auto"/>
        </w:rPr>
      </w:pPr>
      <w:r>
        <w:rPr>
          <w:rFonts w:ascii="Arial" w:cs="Arial" w:eastAsia="Arial" w:hAnsi="Arial"/>
          <w:sz w:val="18"/>
          <w:szCs w:val="18"/>
          <w:color w:val="auto"/>
        </w:rPr>
        <w:t>The Company recorded a provision of $120 for federal or state income taxes for the three and six months ended June 30, 2022. The Company maintained a full valuation allowance as of June 30, 2022 due to uncertainty regarding ability to utilize deferred tax assets.</w:t>
      </w:r>
    </w:p>
    <w:p>
      <w:pPr>
        <w:spacing w:after="0" w:line="154"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The Company recorded a provision for income taxes of $7,200 for the three and six months ended June 30, 2021. The tax expense recorded in the three months ended June 30, 2021 was due to the application of a year-to-date effective tax rate rather than an annual effective rate estimated for the entire year as the Company determined that using a year-to-date approach resulted in a better estimate of its income tax expense/benefit. The Company used a year-to-date effective tax rate during the quarter ended June 30, 2021 due to a change in forecast resulting in the Company anticipating a federal and state taxable income for the year, while maintaining a full valuation allowance on its net deferred tax assets.</w:t>
      </w:r>
    </w:p>
    <w:p>
      <w:pPr>
        <w:spacing w:after="0" w:line="177"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For the three and six months ended June 30, 2021, the Company utilized deferred tax assets, consisting of net operating loss carryforwards and research and development credits, in the amount of $17,100 to offset taxable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has an agreement with a consultant that requires payment of a success fee calculated as a percentage of certain product sales, subject to a cumulative maximum payout of $5.0 million. This success payment is contingent upon the occurrence of future events and the timing and likelihood of such payment is neither probable nor estimable.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02"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The Company enters into certain types of contracts that contingently require the Company to indemnify various parties against claims from third parties. These contracts primarily relate to (i) the Company’s bylaws, under which the Company must indemnify directors and executive officers, and may indemnify other officers and employees, for liabilities arising out of their relationship, (ii) contracts under which the Company must indemnify directors and certain officers and consultants for liabilities arising out of their relationship, and (iii) procurement, service or license agreements under which the Company may be required to indemnify vendors, service providers or licensees for certain claims, including claims that may be brought against them arising from the Company’s acts or omissions with respect to the Company’s products, technology, intellectual property or services.</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From time to time, the Company may receive indemnification claims under these contracts in the normal course of business. In the event that one or more of these matters were to result in a claim against the Company, an adverse outcome, including a judgment or settlement, may cause a material adverse effect on the Company’s future business, operating results or financial condition. It is not possible to determine the maximum potential amount potentially payable under these contracts since the Company has no history of prior indemnification claims and the unique facts and circumstances involved in each particular claim will be determinative.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Benefit Plan</w:t>
      </w:r>
    </w:p>
    <w:p>
      <w:pPr>
        <w:spacing w:after="0" w:line="104" w:lineRule="exact"/>
        <w:rPr>
          <w:sz w:val="20"/>
          <w:szCs w:val="20"/>
          <w:color w:val="auto"/>
        </w:rPr>
      </w:pPr>
    </w:p>
    <w:p>
      <w:pPr>
        <w:ind w:right="280"/>
        <w:spacing w:after="0" w:line="247" w:lineRule="auto"/>
        <w:rPr>
          <w:sz w:val="20"/>
          <w:szCs w:val="20"/>
          <w:color w:val="auto"/>
        </w:rPr>
      </w:pPr>
      <w:r>
        <w:rPr>
          <w:rFonts w:ascii="Arial" w:cs="Arial" w:eastAsia="Arial" w:hAnsi="Arial"/>
          <w:sz w:val="18"/>
          <w:szCs w:val="18"/>
          <w:color w:val="auto"/>
        </w:rPr>
        <w:t>During the year ended December 31, 2021, the Company implemented a defined contribution plan under Section 401(k) of the Internal Revenue Code (the “401(k) Plan”). The 401(k) Plan covers substantially all employees who meet minimum age and service requirements. Under the terms of the 401(k) Plan, the Company records matching contributions up to 4% of each participant’s eligible compensation. During the three and six months ended June 30, 2022, the Company recognized expense of $126 and $366 relating to matching contributions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9" w:right="359" w:bottom="1440" w:gutter="0" w:footer="0" w:header="0"/>
        </w:sectPr>
      </w:pPr>
    </w:p>
    <w:bookmarkStart w:id="16" w:name="page17"/>
    <w:bookmarkEnd w:id="16"/>
    <w:p>
      <w:pPr>
        <w:ind w:right="60"/>
        <w:spacing w:after="0" w:line="287" w:lineRule="auto"/>
        <w:rPr>
          <w:sz w:val="20"/>
          <w:szCs w:val="20"/>
          <w:color w:val="auto"/>
        </w:rPr>
      </w:pPr>
      <w:r>
        <w:rPr>
          <w:rFonts w:ascii="Arial" w:cs="Arial" w:eastAsia="Arial" w:hAnsi="Arial"/>
          <w:sz w:val="18"/>
          <w:szCs w:val="18"/>
          <w:color w:val="auto"/>
        </w:rPr>
        <w:t>under the 401(k) Plan. During the three and six months ended June 30, 2021 the Company recognized expense of $76 relating to matching contributions to the 401(k) Plan.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04"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During the year ended December 31, 2021, the Company entered into a consulting agreement with an entity controlled by one of its directors. The agreement provides for an annual retainer of $110; the Company recognized expense in connection with the consulting agreement in the amount of $27 and $54, respectively, for the three and six months ended June 30, 2022.</w:t>
      </w:r>
    </w:p>
    <w:p>
      <w:pPr>
        <w:spacing w:after="0" w:line="5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Company recognized expense in connection with the consulting agreement in the amount of $14 and $14, respectively, for the three and six months ended June 30, 2021.</w:t>
      </w:r>
    </w:p>
    <w:p>
      <w:pPr>
        <w:spacing w:after="0" w:line="31"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During the three months ended June 30, 2022, the Company entered into a consulting agreement with one of its directors. The Company recognized expense of $1 in connection with this consulting agreement.</w:t>
      </w:r>
    </w:p>
    <w:p>
      <w:pPr>
        <w:spacing w:after="0" w:line="200" w:lineRule="exact"/>
        <w:rPr>
          <w:sz w:val="20"/>
          <w:szCs w:val="20"/>
          <w:color w:val="auto"/>
        </w:rPr>
      </w:pP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Quarterly Report on Form 10-Q, as well as our audited consolidated financial statements and related notes as disclosed in our Annual Report on Form 10-K, dated December 31, 2021, filed with the Securities and Exchange Commission (“SEC”) on February 28, 2022.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II, Item 1A, “Risk Factors” and other factors set forth in other parts of this Quarterly Report on Form 10-Q.</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04"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We are a clinical stage biopharmaceutical company focused on discovering, developing and commercializing antiviral therapeutics to improve the lives of patients suffering from severe viral infections. Leveraging our deep understanding of antiviral drug development, nucleos(t)ide biology, and medicinal chemistry, we have built a proprietary purine nucleos(t)ide prodrug platform to develop novel product candidates to treat single stranded ribonucleic acid viruses, which are a prevalent cause of severe viral diseases. Currently, we are focused on the development of orally available, potent, and selective nucleos(t)ide prodrugs for difficult to treat, life-threatening viral infections, including SARS-CoV-2, the virus that causes COVID-19, dengue virus, chronic hepatitis C infection (“HCV”), and respiratory syncytial virus (“RSV”).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 Bemnifosbuvir</w:t>
      </w:r>
    </w:p>
    <w:p>
      <w:pPr>
        <w:spacing w:after="0" w:line="117"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Our most advanced product candidate for the treatment of COVID-19 is an investigational, novel, orally administered guanosine nucleotide analog polymerase inhibitor. Bemnifosbuvir has a unique dual mechanism of action at both the RNA-dependent RNA polymerase (RdRp) and NiRAN active sites on the highly conserved SARS-CoV-2 RNA polymerase.</w:t>
      </w:r>
    </w:p>
    <w:p>
      <w:pPr>
        <w:spacing w:after="0" w:line="182"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color w:val="auto"/>
        </w:rPr>
        <w:t xml:space="preserve">Topline Efficacy Results from the MORNINGSKY Trial: </w:t>
      </w:r>
      <w:r>
        <w:rPr>
          <w:rFonts w:ascii="Arial" w:cs="Arial" w:eastAsia="Arial" w:hAnsi="Arial"/>
          <w:sz w:val="18"/>
          <w:szCs w:val="18"/>
          <w:color w:val="auto"/>
        </w:rPr>
        <w:t>In a topline analysis of data from the MORNINGSKY trial, the primary endpoint,</w:t>
      </w:r>
      <w:r>
        <w:rPr>
          <w:rFonts w:ascii="Arial" w:cs="Arial" w:eastAsia="Arial" w:hAnsi="Arial"/>
          <w:sz w:val="18"/>
          <w:szCs w:val="18"/>
          <w:b w:val="1"/>
          <w:bCs w:val="1"/>
          <w:color w:val="auto"/>
        </w:rPr>
        <w:t xml:space="preserve"> </w:t>
      </w:r>
      <w:r>
        <w:rPr>
          <w:rFonts w:ascii="Arial" w:cs="Arial" w:eastAsia="Arial" w:hAnsi="Arial"/>
          <w:sz w:val="18"/>
          <w:szCs w:val="18"/>
          <w:color w:val="auto"/>
        </w:rPr>
        <w:t>time to symptom alleviation, was not achieved. However, a 71% reduction in hospitalization (2.9% versus 10%) was observed (p=0.047, unadjusted, exploratory) in the bemnifosbuvir arm (n=137) versus placebo (n=70). There were no deaths in the trial.</w:t>
      </w:r>
    </w:p>
    <w:p>
      <w:pPr>
        <w:spacing w:after="0" w:line="74"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The study enrolled a broad patient population of whom approximately 50% were high risk; 50% were standard risk; 28% of patients were vaccinated; and 56% were seropositive at baseline. Consistent with previous studies, bemnifosbuvir was generally well tolerated. Adverse events leading to treatment discontinuation were 3% for bemnifosbuvir versus 7% for placebo and there were no gastrointestinal-related events leading to treatment discontinuation.</w:t>
      </w:r>
    </w:p>
    <w:p>
      <w:pPr>
        <w:spacing w:after="0" w:line="79"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MORNINGSKY was a randomized, double-blind, multi-center, placebo-controlled Phase 3 trial designed to evaluate the antiviral activity, safety and pharmacokinetics of bemnifosbuvir in up to 1,400 patients randomized 2:1 to receive bemnifosbuvir 550 mg twice-daily (BID) or placebo in an outpatient setting. The study was closed out early in December 2021 having enrolled and treated 216 patients of which 207 were evaluable for efficacy. Atea plans to present the full results of this study at an upcoming scientific meeting.</w:t>
      </w:r>
    </w:p>
    <w:p>
      <w:pPr>
        <w:spacing w:after="0" w:line="170"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color w:val="auto"/>
        </w:rPr>
        <w:t xml:space="preserve">Final Analysis from Phase 2 Hospitalized Study in High-Risk Patients with COVID-19: </w:t>
      </w:r>
      <w:r>
        <w:rPr>
          <w:rFonts w:ascii="Arial" w:cs="Arial" w:eastAsia="Arial" w:hAnsi="Arial"/>
          <w:sz w:val="18"/>
          <w:szCs w:val="18"/>
          <w:color w:val="auto"/>
        </w:rPr>
        <w:t>Final clinical efficacy results from the Phase 2</w:t>
      </w:r>
      <w:r>
        <w:rPr>
          <w:rFonts w:ascii="Arial" w:cs="Arial" w:eastAsia="Arial" w:hAnsi="Arial"/>
          <w:sz w:val="18"/>
          <w:szCs w:val="18"/>
          <w:b w:val="1"/>
          <w:bCs w:val="1"/>
          <w:color w:val="auto"/>
        </w:rPr>
        <w:t xml:space="preserve"> </w:t>
      </w:r>
      <w:r>
        <w:rPr>
          <w:rFonts w:ascii="Arial" w:cs="Arial" w:eastAsia="Arial" w:hAnsi="Arial"/>
          <w:sz w:val="18"/>
          <w:szCs w:val="18"/>
          <w:color w:val="auto"/>
        </w:rPr>
        <w:t>hospitalized study in high -risk patients with COVID-19 (n=83) suggest potential clinical benefits. The overall rate of disease progression was low, which had an impact on the ability to assess the primary endpoint of progression of respiratory insufficiency (PRI) rate, showing a 7.5% PRI rate for bemnifosbuvir versus a 10% PRI rate for placebo (primary endpoint). There were three deaths in the study, no deaths reported with patients treated with bemnifosbuvir versus three deaths with placebo (secondary endpoint).</w:t>
      </w:r>
    </w:p>
    <w:p>
      <w:pPr>
        <w:spacing w:after="0" w:line="8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Final virology results in 83 patients (secondary endpoint) were consistent with previously reported interim data of 62 evaluable patients from this study. Bemnifosbuvir was generally well tolerated with no drug related serious adverse events and no adverse events leading to treatment discontinuation were observed. The sample size evaluated was insufficient for statistical comparisons.</w:t>
      </w:r>
    </w:p>
    <w:p>
      <w:pPr>
        <w:spacing w:after="0" w:line="74"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The global Phase 2 trial was a randomized, double-blind, placebo-controlled, multi-center study to evaluate bemnifosbuvir in patients with moderate COVID-19 in the hospital setting. The key inclusion criteria for this study were adult patients over 18 years and older with risk factors such as obesity, diabetes and hypertension. Study objectives were to assess safety, tolerability, and clinical and antiviral efficacy. Patients in Cohort A were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39" w:right="459" w:bottom="1440" w:gutter="0" w:footer="0" w:header="0"/>
        </w:sectPr>
      </w:pPr>
    </w:p>
    <w:bookmarkStart w:id="18" w:name="page19"/>
    <w:bookmarkEnd w:id="18"/>
    <w:p>
      <w:pPr>
        <w:ind w:right="320"/>
        <w:spacing w:after="0" w:line="261" w:lineRule="auto"/>
        <w:rPr>
          <w:sz w:val="20"/>
          <w:szCs w:val="20"/>
          <w:color w:val="auto"/>
        </w:rPr>
      </w:pPr>
      <w:r>
        <w:rPr>
          <w:rFonts w:ascii="Arial" w:cs="Arial" w:eastAsia="Arial" w:hAnsi="Arial"/>
          <w:sz w:val="18"/>
          <w:szCs w:val="18"/>
          <w:color w:val="auto"/>
        </w:rPr>
        <w:t>randomized within five days of symptom onset to receive either bemnifosbuvir 550 mg BID or placebo and were dosed for five days. An additional cohort evaluating bemnifosbuvir 1100 mg BID versus placebo enrolled a very small number of patients prior to closing out early due to the evolving nature of the standard of care in the hospital setting.</w:t>
      </w:r>
    </w:p>
    <w:p>
      <w:pPr>
        <w:spacing w:after="0" w:line="162"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b w:val="1"/>
          <w:bCs w:val="1"/>
          <w:color w:val="auto"/>
        </w:rPr>
        <w:t>Next Steps for Bemnifosbuvir Clinical Development for COVID-19</w:t>
      </w:r>
      <w:r>
        <w:rPr>
          <w:rFonts w:ascii="Arial" w:cs="Arial" w:eastAsia="Arial" w:hAnsi="Arial"/>
          <w:sz w:val="18"/>
          <w:szCs w:val="18"/>
          <w:color w:val="auto"/>
        </w:rPr>
        <w:t>: In July 2022, we participated in an End-of-Phase 2 meeting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FDA and met with the EMA Emergency Task force to review the current bemnifosbuvir data package, including the data from the MORNINGSKY trial. We expect to finalize a global late-stage clinical trial protocol for bemnifosbuvir for the treatment of mild-to-moderate COVID-19 in the near-term. We expect that the trial will evaluate bemnifosbuvir 550 mg BID for five days and will focus on high-risk patients, including those who are immunocompromised. We anticipate to enroll patients without regard to their vaccination status. Operational planning for this trial is currently underway with the goal of initiation during the fourth quarter of 2022.</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As part of a multipronged approach against COVID-19, we are advancing an internal program focused on the discovery of second-generation protease inhibitors that have clinical profiles well suited for combination therapy with bemnifosbuvir. As part of this effort, our target profile is a protease inhibitor that is highly potent, has a good safety profile with limited drug-drug interactions and does not require a booster (e.g., ritonavir). The optimization of lead compounds is ongoing with a target of late 2022 for selection of a clinical candidate.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HCV – Bemnifosbuvir in combination with ruzasvir</w:t>
      </w:r>
    </w:p>
    <w:p>
      <w:pPr>
        <w:spacing w:after="0" w:line="11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For the treatment of chronic HCV infection, we are advancing a novel combination of bemnifosbuvir and ruzasvir, an investigational nonstructural protein 5A (“NS5A”) inhibitor that we exclusively in-licensed from Merck in December 2021. As single agents, both bemnifosbuvir and ruzasvir have demonstrated potent pan-genotypic antiviral activity against HCV. We have recently completed a required preclinical toxicology study. We are currently manufacturing clinical trial supplies of ruzasvir and are finalizing a clinical trial design for a Phase 2 combination study of bemnifosbuvir and ruzasvir.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Dengue – AT-752</w:t>
      </w:r>
    </w:p>
    <w:p>
      <w:pPr>
        <w:spacing w:after="0" w:line="117" w:lineRule="exact"/>
        <w:rPr>
          <w:sz w:val="20"/>
          <w:szCs w:val="20"/>
          <w:color w:val="auto"/>
        </w:rPr>
      </w:pPr>
    </w:p>
    <w:p>
      <w:pPr>
        <w:ind w:right="480"/>
        <w:spacing w:after="0" w:line="245" w:lineRule="auto"/>
        <w:rPr>
          <w:sz w:val="20"/>
          <w:szCs w:val="20"/>
          <w:color w:val="auto"/>
        </w:rPr>
      </w:pPr>
      <w:r>
        <w:rPr>
          <w:rFonts w:ascii="Arial" w:cs="Arial" w:eastAsia="Arial" w:hAnsi="Arial"/>
          <w:sz w:val="18"/>
          <w:szCs w:val="18"/>
          <w:color w:val="auto"/>
        </w:rPr>
        <w:t xml:space="preserve">Dengue is a mosquito-borne viral infection that infects up to 400 million people worldwide a year, causing substantial public health and economic burden. Currently there are no antiviral therapies approved by either the U.S. Food and Drug Administration (“FDA”) or the European Commission. To address this unmet medical need, we are developing AT-752, an oral, purine nucleotide prodrug product candidate for the treatment of dengue. AT-752 targets the inhibition of the dengue viral polymerase and, in preclinical studies, the drug candidate showed potent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activity against all dengue serotypes tested, as well as potent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antiviral activity in small animal models.</w:t>
      </w:r>
    </w:p>
    <w:p>
      <w:pPr>
        <w:spacing w:after="0" w:line="69" w:lineRule="exact"/>
        <w:rPr>
          <w:sz w:val="20"/>
          <w:szCs w:val="20"/>
          <w:color w:val="auto"/>
        </w:rPr>
      </w:pPr>
    </w:p>
    <w:p>
      <w:pPr>
        <w:ind w:right="380"/>
        <w:spacing w:after="0" w:line="252" w:lineRule="auto"/>
        <w:rPr>
          <w:sz w:val="20"/>
          <w:szCs w:val="20"/>
          <w:color w:val="auto"/>
        </w:rPr>
      </w:pPr>
      <w:r>
        <w:rPr>
          <w:rFonts w:ascii="Arial" w:cs="Arial" w:eastAsia="Arial" w:hAnsi="Arial"/>
          <w:sz w:val="18"/>
          <w:szCs w:val="18"/>
          <w:color w:val="auto"/>
        </w:rPr>
        <w:t>We have initiated the global Phase 2 DEFEND-2 (</w:t>
      </w:r>
      <w:r>
        <w:rPr>
          <w:rFonts w:ascii="Arial" w:cs="Arial" w:eastAsia="Arial" w:hAnsi="Arial"/>
          <w:sz w:val="18"/>
          <w:szCs w:val="18"/>
          <w:b w:val="1"/>
          <w:bCs w:val="1"/>
          <w:u w:val="single" w:color="auto"/>
          <w:color w:val="auto"/>
        </w:rPr>
        <w:t>DE</w:t>
      </w:r>
      <w:r>
        <w:rPr>
          <w:rFonts w:ascii="Arial" w:cs="Arial" w:eastAsia="Arial" w:hAnsi="Arial"/>
          <w:sz w:val="18"/>
          <w:szCs w:val="18"/>
          <w:color w:val="auto"/>
        </w:rPr>
        <w:t xml:space="preserve">ngue </w:t>
      </w:r>
      <w:r>
        <w:rPr>
          <w:rFonts w:ascii="Arial" w:cs="Arial" w:eastAsia="Arial" w:hAnsi="Arial"/>
          <w:sz w:val="18"/>
          <w:szCs w:val="18"/>
          <w:b w:val="1"/>
          <w:bCs w:val="1"/>
          <w:u w:val="single" w:color="auto"/>
          <w:color w:val="auto"/>
        </w:rPr>
        <w:t>F</w:t>
      </w:r>
      <w:r>
        <w:rPr>
          <w:rFonts w:ascii="Arial" w:cs="Arial" w:eastAsia="Arial" w:hAnsi="Arial"/>
          <w:sz w:val="18"/>
          <w:szCs w:val="18"/>
          <w:color w:val="auto"/>
        </w:rPr>
        <w:t xml:space="preserve">ever </w:t>
      </w:r>
      <w:r>
        <w:rPr>
          <w:rFonts w:ascii="Arial" w:cs="Arial" w:eastAsia="Arial" w:hAnsi="Arial"/>
          <w:sz w:val="18"/>
          <w:szCs w:val="18"/>
          <w:b w:val="1"/>
          <w:bCs w:val="1"/>
          <w:u w:val="single" w:color="auto"/>
          <w:color w:val="auto"/>
        </w:rPr>
        <w:t>END</w:t>
      </w:r>
      <w:r>
        <w:rPr>
          <w:rFonts w:ascii="Arial" w:cs="Arial" w:eastAsia="Arial" w:hAnsi="Arial"/>
          <w:sz w:val="18"/>
          <w:szCs w:val="18"/>
          <w:color w:val="auto"/>
        </w:rPr>
        <w:t>) study of AT-752 for the treatment of dengue. The randomized, double-blind, placebo-controlled study will evaluate multiple doses of AT-752 and enroll up to 60 adult patients infected with dengue. The primary objective of the study is to evaluate antiviral activity, with change from baseline in dengue virus (DENV) viral load as the primary endpoint [DENV RNA by reverse transcription-polymerase chain reaction (RT-PCR)].</w:t>
      </w:r>
    </w:p>
    <w:p>
      <w:pPr>
        <w:spacing w:after="0" w:line="76"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In addition to the DEFEND-2 study, we have initiated a dengue human challenge trial. This trial, which is being conducted exclusively in the United States, is designed to evaluate the effect of AT-752 in healthy volunteers who are challenged with an attenuated DENV-1 virus strain after receiving AT-752 or placebo.</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Roche collaboration</w:t>
      </w:r>
    </w:p>
    <w:p>
      <w:pPr>
        <w:spacing w:after="0" w:line="104"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In October 2020, we entered into a License Agreement (the “Roche License Agreement”) with F. Hoffmann-LaRoche Ltd. and Genentech, Inc. (together, “Roche”) under which we granted an exclusive license for certain development and commercialization rights related to bemnifosbuvir outside of the United States (other than for certain HCV uses) to Roche. As partial consideration, Roche paid us an upfront payment of $350.0 million which was received in November 2020. Additionally, upon realization of a development milestone in June 2021, we received an additional $50.0 million from Roche.</w:t>
      </w:r>
    </w:p>
    <w:p>
      <w:pPr>
        <w:spacing w:after="0" w:line="82"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November 2021, we received notice from Roche that they had elected to terminate the Roche License Agreement in its entirety on a worldwide basis including Japan, with an effective date of February 10, 2022. In December 2021, we delivered to Roche notice that we intended to continue the development of bemnifosbuvir and we have been working with Roche to effect an orderly wind down of activities in accordance with the terms of</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19" w:name="page20"/>
    <w:bookmarkEnd w:id="19"/>
    <w:p>
      <w:pPr>
        <w:ind w:right="260"/>
        <w:spacing w:after="0" w:line="252" w:lineRule="auto"/>
        <w:rPr>
          <w:sz w:val="20"/>
          <w:szCs w:val="20"/>
          <w:color w:val="auto"/>
        </w:rPr>
      </w:pPr>
      <w:r>
        <w:rPr>
          <w:rFonts w:ascii="Arial" w:cs="Arial" w:eastAsia="Arial" w:hAnsi="Arial"/>
          <w:sz w:val="18"/>
          <w:szCs w:val="18"/>
          <w:color w:val="auto"/>
        </w:rPr>
        <w:t>the Roche License Agreement. The obligations of Roche to equally share the costs associated with development activities terminated on February 10, 2022. We are now responsible for, and alone will bear the costs associated with the development of bemnifosbuvir. Additionally, we remain liable to Roche for certain expenses associated with transition related activities occurring after the effective date of the termination of the Roche License Agreement.</w:t>
      </w:r>
    </w:p>
    <w:p>
      <w:pPr>
        <w:spacing w:after="0" w:line="76"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As a result of the termination of the Roche License Agreement, we have regained worldwide exclusive rights from Roche to research, develop, manufacture and commercialize bemnifosbuvir in all fields of 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As of June 30, 2022, we had cash and cash equivalents of $684.5 million. Net cash used in operating activities was $78.2 million for the six months ended June 30, 2022.</w:t>
      </w:r>
    </w:p>
    <w:p>
      <w:pPr>
        <w:spacing w:after="0" w:line="46"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expect that our net cash used in operating activities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we may incur additional costs as we continue to operate as a public company. We believe that our available cash and cash equivalents will be sufficient to fund our planned operations through at least 2025.</w:t>
      </w:r>
    </w:p>
    <w:p>
      <w:pPr>
        <w:spacing w:after="0" w:line="82"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We do not have any products approved for sale and have not generated any product revenue since inception. We do not anticipate generating any revenue from product sales for the foreseeable future. 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67"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We plan to continue to use third-party service providers, including contract research organizations (“CROs”) and contract manufacturing organizations (“CMOs”), to carry out our preclinical and clinical development and to manufacture and supply the materials to be used during the development and commercialization of our product candidates.</w:t>
      </w:r>
    </w:p>
    <w:p>
      <w:pPr>
        <w:spacing w:after="0" w:line="5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As we continue to advance our programs, we expect to incur significantly higher expenses over the next several years. We anticipate that our expenses will increase significantly in connection with our ongoing activities, as we:</w:t>
      </w:r>
    </w:p>
    <w:p>
      <w:pPr>
        <w:spacing w:after="0" w:line="46"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clinical development of bemnifosbuvir for the treatment of COVID-19;</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clinical development of AT-752 for the treatment of dengue;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initiate clinical development of bemnifosbuvir and ruzasvir for the treatment of HCV;</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continue discovery and IND-enabling activities in anticipation of a nominating a product candidate for the treatment of RSV;</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research, development and administrative personnel;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commercialization capabilities if we are successful in developing our product candidates.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To date, we have not generated any revenue from product sales. Our revenue has been collaboration revenue solely derived from the Roche License Agreement, which was terminated in February 2022. If our development efforts for our product candidates are successful and result in commercialization, we may generate additional revenue in the future from a combination of product sales or payments from collaboration or license agreements that we may enter into with third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Substantially all of our research and development expenses consist of expenses incurred in connection with the development of our product candidates. These expenses include fees paid to third parties, including CROs and CMOs, to conduct certain research and development activities on our behalf, consulting costs, certain payroll and personnel-related expenses, including salaries and bonuses, employee benefit costs and stock-based compensation expenses for our research and product development employees and allocated overhead, including rent, equipment, depreciation, information technology costs and utilities attributable to research and development personnel. We expense both internal and external research and development expenses as they are incurred. In circumstances where amounts have been paid in advance or in excess of costs incurred, we record a prepaid expense, which is expensed as services are performed or goods are delivered.</w:t>
      </w:r>
    </w:p>
    <w:p>
      <w:pPr>
        <w:spacing w:after="0" w:line="6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A significant portion of our research and development costs have been external costs, which we track by therapeutic area. Our internal research and development costs are primarily personnel-related costs, including stock-based compensation, facility costs, including depreciation and lab consumables. We have not historically tracked our internal research and development expenses by therapeutic area as they are deployed across multiple programs.</w:t>
      </w:r>
    </w:p>
    <w:p>
      <w:pPr>
        <w:spacing w:after="0" w:line="62"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As discussed in Note 3 to our unaudited condensed consolidated financial statements, during the term of the Roche License Agreement which terminated in February 2022, we and Roche shared certain manufacturing and clinical development costs on a 50/50 basis. Billings to us by Roche for our percentage share of such expenses were recorded in research and development expenses. These costs represented a material portion of our total expenses through March 31, 2022.</w:t>
      </w:r>
    </w:p>
    <w:p>
      <w:pPr>
        <w:spacing w:after="0" w:line="76" w:lineRule="exact"/>
        <w:rPr>
          <w:sz w:val="20"/>
          <w:szCs w:val="20"/>
          <w:color w:val="auto"/>
        </w:rPr>
      </w:pPr>
    </w:p>
    <w:p>
      <w:pPr>
        <w:ind w:right="480"/>
        <w:spacing w:after="0" w:line="271" w:lineRule="auto"/>
        <w:rPr>
          <w:sz w:val="20"/>
          <w:szCs w:val="20"/>
          <w:color w:val="auto"/>
        </w:rPr>
      </w:pPr>
      <w:r>
        <w:rPr>
          <w:rFonts w:ascii="Arial" w:cs="Arial" w:eastAsia="Arial" w:hAnsi="Arial"/>
          <w:sz w:val="18"/>
          <w:szCs w:val="18"/>
          <w:color w:val="auto"/>
        </w:rPr>
        <w:t>The following table summarizes our external research and development expenses by indication and internal research and development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57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420" w:type="dxa"/>
            <w:vAlign w:val="bottom"/>
            <w:gridSpan w:val="3"/>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2360" w:type="dxa"/>
            <w:vAlign w:val="bottom"/>
            <w:gridSpan w:val="3"/>
            <w:shd w:val="clear" w:color="auto" w:fill="000000"/>
          </w:tcPr>
          <w:p>
            <w:pPr>
              <w:spacing w:after="0"/>
              <w:rPr>
                <w:sz w:val="5"/>
                <w:szCs w:val="5"/>
                <w:color w:val="auto"/>
              </w:rPr>
            </w:pPr>
          </w:p>
        </w:tc>
      </w:tr>
      <w:tr>
        <w:trPr>
          <w:trHeight w:val="170"/>
        </w:trPr>
        <w:tc>
          <w:tcPr>
            <w:tcW w:w="5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2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Six Months Ended</w:t>
            </w:r>
          </w:p>
        </w:tc>
      </w:tr>
      <w:tr>
        <w:trPr>
          <w:trHeight w:val="235"/>
        </w:trPr>
        <w:tc>
          <w:tcPr>
            <w:tcW w:w="57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5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09"/>
        </w:trPr>
        <w:tc>
          <w:tcPr>
            <w:tcW w:w="5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20" w:type="dxa"/>
            <w:vAlign w:val="bottom"/>
            <w:gridSpan w:val="3"/>
          </w:tcPr>
          <w:p>
            <w:pPr>
              <w:jc w:val="right"/>
              <w:ind w:right="7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COVID-19 external costs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3,636</w:t>
            </w:r>
          </w:p>
        </w:tc>
        <w:tc>
          <w:tcPr>
            <w:tcW w:w="46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28,841</w:t>
            </w:r>
          </w:p>
        </w:tc>
        <w:tc>
          <w:tcPr>
            <w:tcW w:w="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16,967</w:t>
            </w:r>
          </w:p>
        </w:tc>
        <w:tc>
          <w:tcPr>
            <w:tcW w:w="4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46,954</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Dengue external costs</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2,636</w:t>
            </w:r>
          </w:p>
        </w:tc>
        <w:tc>
          <w:tcPr>
            <w:tcW w:w="4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5,863</w:t>
            </w: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3,592</w:t>
            </w:r>
          </w:p>
        </w:tc>
      </w:tr>
      <w:tr>
        <w:trPr>
          <w:trHeight w:val="216"/>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HCV external costs</w:t>
            </w:r>
          </w:p>
        </w:tc>
        <w:tc>
          <w:tcPr>
            <w:tcW w:w="3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2,313</w:t>
            </w:r>
          </w:p>
        </w:tc>
        <w:tc>
          <w:tcPr>
            <w:tcW w:w="46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3,737</w:t>
            </w:r>
          </w:p>
        </w:tc>
        <w:tc>
          <w:tcPr>
            <w:tcW w:w="4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40</w:t>
            </w:r>
          </w:p>
        </w:tc>
      </w:tr>
      <w:tr>
        <w:trPr>
          <w:trHeight w:val="216"/>
        </w:trPr>
        <w:tc>
          <w:tcPr>
            <w:tcW w:w="5700" w:type="dxa"/>
            <w:vAlign w:val="bottom"/>
          </w:tcPr>
          <w:p>
            <w:pPr>
              <w:ind w:left="20"/>
              <w:spacing w:after="0"/>
              <w:rPr>
                <w:sz w:val="20"/>
                <w:szCs w:val="20"/>
                <w:color w:val="auto"/>
              </w:rPr>
            </w:pPr>
            <w:r>
              <w:rPr>
                <w:rFonts w:ascii="Arial" w:cs="Arial" w:eastAsia="Arial" w:hAnsi="Arial"/>
                <w:sz w:val="18"/>
                <w:szCs w:val="18"/>
                <w:color w:val="auto"/>
              </w:rPr>
              <w:t>RSV external costs</w:t>
            </w:r>
          </w:p>
        </w:tc>
        <w:tc>
          <w:tcPr>
            <w:tcW w:w="32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529</w:t>
            </w:r>
          </w:p>
        </w:tc>
        <w:tc>
          <w:tcPr>
            <w:tcW w:w="4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1,066</w:t>
            </w:r>
          </w:p>
        </w:tc>
        <w:tc>
          <w:tcPr>
            <w:tcW w:w="4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943</w:t>
            </w:r>
          </w:p>
        </w:tc>
      </w:tr>
      <w:tr>
        <w:trPr>
          <w:trHeight w:val="216"/>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Internal research and development costs</w:t>
            </w:r>
          </w:p>
        </w:tc>
        <w:tc>
          <w:tcPr>
            <w:tcW w:w="3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10,744</w:t>
            </w:r>
          </w:p>
        </w:tc>
        <w:tc>
          <w:tcPr>
            <w:tcW w:w="4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8,077</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21,858</w:t>
            </w:r>
          </w:p>
        </w:tc>
        <w:tc>
          <w:tcPr>
            <w:tcW w:w="4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14,846</w:t>
            </w:r>
          </w:p>
        </w:tc>
      </w:tr>
      <w:tr>
        <w:trPr>
          <w:trHeight w:val="210"/>
        </w:trPr>
        <w:tc>
          <w:tcPr>
            <w:tcW w:w="5700" w:type="dxa"/>
            <w:vAlign w:val="bottom"/>
          </w:tcPr>
          <w:p>
            <w:pPr>
              <w:ind w:left="20"/>
              <w:spacing w:after="0"/>
              <w:rPr>
                <w:sz w:val="20"/>
                <w:szCs w:val="20"/>
                <w:color w:val="auto"/>
              </w:rPr>
            </w:pPr>
            <w:r>
              <w:rPr>
                <w:rFonts w:ascii="Arial" w:cs="Arial" w:eastAsia="Arial" w:hAnsi="Arial"/>
                <w:sz w:val="18"/>
                <w:szCs w:val="18"/>
                <w:color w:val="auto"/>
              </w:rPr>
              <w:t>Total research and development costs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19,858</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39,803</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49,491</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66,375</w:t>
            </w:r>
          </w:p>
        </w:tc>
      </w:tr>
      <w:tr>
        <w:trPr>
          <w:trHeight w:val="68"/>
        </w:trPr>
        <w:tc>
          <w:tcPr>
            <w:tcW w:w="570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900" w:type="dxa"/>
            <w:vAlign w:val="bottom"/>
            <w:shd w:val="clear" w:color="auto" w:fill="000000"/>
          </w:tcPr>
          <w:p>
            <w:pPr>
              <w:spacing w:after="0"/>
              <w:rPr>
                <w:sz w:val="5"/>
                <w:szCs w:val="5"/>
                <w:color w:val="auto"/>
              </w:rPr>
            </w:pPr>
          </w:p>
        </w:tc>
        <w:tc>
          <w:tcPr>
            <w:tcW w:w="4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12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88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-187960</wp:posOffset>
            </wp:positionV>
            <wp:extent cx="857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7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are focusing substantially all of our resources on the development of our product candidates, particularly bemnifosbuvir. We expect our research and development expenses to increase substantially for at least the next few years, as we seek to initiate additional clinical trials for our product candidates, complete our clinical programs, pursue regulatory approval of our product candidates and prepare for the possible commercialization of these product candidates. Predicting the timing or cost to complete our clinical programs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we could be required to expend significant additional financial resources and time on the completion of clinical development. Furthermore, we are unable to predict when or if our product candidates will receive regulatory approval with any certainty.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 and administrative expenses consist principally of payroll and personnel expenses, including salaries and bonuses, benefits and stock-based compensation expenses, professional fees for legal, consulting, accounting and tax services, allocated overhead, including rent, equipment, depreciation, information technology costs and utilities, and other general operating expenses not otherwise classified as research and development expenses.</w:t>
      </w:r>
    </w:p>
    <w:p>
      <w:pPr>
        <w:spacing w:after="0" w:line="62"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We anticipate that our general and administrative expenses may increase as a result of increased personnel costs, expanded infrastructure and higher consulting, legal and accounting services costs associated with</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1" w:name="page22"/>
    <w:bookmarkEnd w:id="21"/>
    <w:p>
      <w:pPr>
        <w:ind w:right="100"/>
        <w:spacing w:after="0" w:line="287" w:lineRule="auto"/>
        <w:rPr>
          <w:sz w:val="20"/>
          <w:szCs w:val="20"/>
          <w:color w:val="auto"/>
        </w:rPr>
      </w:pPr>
      <w:r>
        <w:rPr>
          <w:rFonts w:ascii="Arial" w:cs="Arial" w:eastAsia="Arial" w:hAnsi="Arial"/>
          <w:sz w:val="18"/>
          <w:szCs w:val="18"/>
          <w:color w:val="auto"/>
        </w:rPr>
        <w:t>complying with Nasdaq and SEC requirements, investor relations costs and director and officer insurance premiums associated with being a public company.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and other, net, consists primarily of interest income earned on our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66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2620" w:type="dxa"/>
            <w:vAlign w:val="bottom"/>
            <w:gridSpan w:val="3"/>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20" w:type="dxa"/>
            <w:vAlign w:val="bottom"/>
            <w:gridSpan w:val="3"/>
          </w:tcPr>
          <w:p>
            <w:pPr>
              <w:jc w:val="right"/>
              <w:ind w:right="30"/>
              <w:spacing w:after="0" w:line="170" w:lineRule="exact"/>
              <w:rPr>
                <w:sz w:val="20"/>
                <w:szCs w:val="20"/>
                <w:color w:val="auto"/>
              </w:rPr>
            </w:pPr>
            <w:r>
              <w:rPr>
                <w:rFonts w:ascii="Arial" w:cs="Arial" w:eastAsia="Arial" w:hAnsi="Arial"/>
                <w:sz w:val="18"/>
                <w:szCs w:val="18"/>
                <w:b w:val="1"/>
                <w:bCs w:val="1"/>
                <w:color w:val="auto"/>
              </w:rPr>
              <w:t>Three Months Ended</w:t>
            </w: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6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540" w:type="dxa"/>
            <w:vAlign w:val="bottom"/>
          </w:tcPr>
          <w:p>
            <w:pPr>
              <w:spacing w:after="0"/>
              <w:rPr>
                <w:sz w:val="20"/>
                <w:szCs w:val="20"/>
                <w:color w:val="auto"/>
              </w:rPr>
            </w:pP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0"/>
        </w:trPr>
        <w:tc>
          <w:tcPr>
            <w:tcW w:w="6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8"/>
                <w:szCs w:val="18"/>
                <w:b w:val="1"/>
                <w:bCs w:val="1"/>
                <w:color w:val="auto"/>
              </w:rPr>
              <w:t>(in thousands)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60,391</w:t>
            </w:r>
          </w:p>
        </w:tc>
        <w:tc>
          <w:tcPr>
            <w:tcW w:w="54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(60,391)</w:t>
            </w:r>
          </w:p>
        </w:tc>
        <w:tc>
          <w:tcPr>
            <w:tcW w:w="0" w:type="dxa"/>
            <w:vAlign w:val="bottom"/>
          </w:tcPr>
          <w:p>
            <w:pPr>
              <w:spacing w:after="0"/>
              <w:rPr>
                <w:sz w:val="1"/>
                <w:szCs w:val="1"/>
                <w:color w:val="auto"/>
              </w:rPr>
            </w:pPr>
          </w:p>
        </w:tc>
      </w:tr>
      <w:tr>
        <w:trPr>
          <w:trHeight w:val="216"/>
        </w:trPr>
        <w:tc>
          <w:tcPr>
            <w:tcW w:w="6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19,858</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39,803</w:t>
            </w:r>
          </w:p>
        </w:tc>
        <w:tc>
          <w:tcPr>
            <w:tcW w:w="5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16"/>
        </w:trPr>
        <w:tc>
          <w:tcPr>
            <w:tcW w:w="66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12,437</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11,901</w:t>
            </w: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9"/>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operating expenses</w:t>
            </w: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32,295</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51,704</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(19,409)</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(32,295)</w:t>
            </w:r>
          </w:p>
        </w:tc>
        <w:tc>
          <w:tcPr>
            <w:tcW w:w="4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8,687</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(40,982)</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rPr>
              <w:t>1,080</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52</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09"/>
        </w:trPr>
        <w:tc>
          <w:tcPr>
            <w:tcW w:w="66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(31,215)</w:t>
            </w:r>
          </w:p>
        </w:tc>
        <w:tc>
          <w:tcPr>
            <w:tcW w:w="4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8,739</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(39,954)</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(120)</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10"/>
        </w:trPr>
        <w:tc>
          <w:tcPr>
            <w:tcW w:w="662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(31,335)</w:t>
            </w:r>
          </w:p>
        </w:tc>
        <w:tc>
          <w:tcPr>
            <w:tcW w:w="440" w:type="dxa"/>
            <w:vAlign w:val="bottom"/>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1,539</w:t>
            </w:r>
          </w:p>
        </w:tc>
        <w:tc>
          <w:tcPr>
            <w:tcW w:w="5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(39,954)</w:t>
            </w:r>
          </w:p>
        </w:tc>
        <w:tc>
          <w:tcPr>
            <w:tcW w:w="0" w:type="dxa"/>
            <w:vAlign w:val="bottom"/>
          </w:tcPr>
          <w:p>
            <w:pPr>
              <w:spacing w:after="0"/>
              <w:rPr>
                <w:sz w:val="1"/>
                <w:szCs w:val="1"/>
                <w:color w:val="auto"/>
              </w:rPr>
            </w:pPr>
          </w:p>
        </w:tc>
      </w:tr>
      <w:tr>
        <w:trPr>
          <w:trHeight w:val="68"/>
        </w:trPr>
        <w:tc>
          <w:tcPr>
            <w:tcW w:w="6620" w:type="dxa"/>
            <w:vAlign w:val="bottom"/>
            <w:shd w:val="clear" w:color="auto" w:fill="000000"/>
          </w:tcPr>
          <w:p>
            <w:pPr>
              <w:spacing w:after="0"/>
              <w:rPr>
                <w:sz w:val="5"/>
                <w:szCs w:val="5"/>
                <w:color w:val="auto"/>
              </w:rPr>
            </w:pPr>
          </w:p>
        </w:tc>
        <w:tc>
          <w:tcPr>
            <w:tcW w:w="420" w:type="dxa"/>
            <w:vAlign w:val="bottom"/>
            <w:shd w:val="clear" w:color="auto" w:fill="000000"/>
          </w:tcPr>
          <w:p>
            <w:pPr>
              <w:spacing w:after="0"/>
              <w:rPr>
                <w:sz w:val="5"/>
                <w:szCs w:val="5"/>
                <w:color w:val="auto"/>
              </w:rPr>
            </w:pPr>
          </w:p>
        </w:tc>
        <w:tc>
          <w:tcPr>
            <w:tcW w:w="1100" w:type="dxa"/>
            <w:vAlign w:val="bottom"/>
            <w:shd w:val="clear" w:color="auto" w:fill="000000"/>
          </w:tcPr>
          <w:p>
            <w:pPr>
              <w:spacing w:after="0"/>
              <w:rPr>
                <w:sz w:val="5"/>
                <w:szCs w:val="5"/>
                <w:color w:val="auto"/>
              </w:rPr>
            </w:pPr>
          </w:p>
        </w:tc>
        <w:tc>
          <w:tcPr>
            <w:tcW w:w="44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40" w:type="dxa"/>
            <w:vAlign w:val="bottom"/>
            <w:shd w:val="clear" w:color="auto" w:fill="000000"/>
          </w:tcPr>
          <w:p>
            <w:pPr>
              <w:spacing w:after="0"/>
              <w:rPr>
                <w:sz w:val="5"/>
                <w:szCs w:val="5"/>
                <w:color w:val="auto"/>
              </w:rPr>
            </w:pPr>
          </w:p>
        </w:tc>
        <w:tc>
          <w:tcPr>
            <w:tcW w:w="104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02" w:lineRule="exact"/>
        <w:rPr>
          <w:sz w:val="20"/>
          <w:szCs w:val="20"/>
          <w:color w:val="auto"/>
        </w:rPr>
      </w:pPr>
    </w:p>
    <w:p>
      <w:pPr>
        <w:jc w:val="both"/>
        <w:ind w:right="460"/>
        <w:spacing w:after="0" w:line="252" w:lineRule="auto"/>
        <w:rPr>
          <w:sz w:val="20"/>
          <w:szCs w:val="20"/>
          <w:color w:val="auto"/>
        </w:rPr>
      </w:pPr>
      <w:r>
        <w:rPr>
          <w:rFonts w:ascii="Arial" w:cs="Arial" w:eastAsia="Arial" w:hAnsi="Arial"/>
          <w:sz w:val="18"/>
          <w:szCs w:val="18"/>
          <w:color w:val="auto"/>
        </w:rPr>
        <w:t>Collaboration revenue for the three months ended June 30, 2021 was derived from the Roche License Agreement that was executed in October 2020 and terminated in February 2022. As discussed in Note 3 to our unaudited condensed consolidated financial statements included elsewhere in this Quarterly Report on Form 10-Q, following receipt in November 2021 of the notice from Roche terminating the agreement, we recognized all remaining revenue in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02" w:lineRule="exact"/>
        <w:rPr>
          <w:sz w:val="20"/>
          <w:szCs w:val="20"/>
          <w:color w:val="auto"/>
        </w:rPr>
      </w:pPr>
    </w:p>
    <w:p>
      <w:pPr>
        <w:ind w:right="20"/>
        <w:spacing w:after="0" w:line="227" w:lineRule="auto"/>
        <w:rPr>
          <w:sz w:val="20"/>
          <w:szCs w:val="20"/>
          <w:color w:val="auto"/>
        </w:rPr>
      </w:pPr>
      <w:r>
        <w:rPr>
          <w:rFonts w:ascii="Arial" w:cs="Arial" w:eastAsia="Arial" w:hAnsi="Arial"/>
          <w:sz w:val="18"/>
          <w:szCs w:val="18"/>
          <w:color w:val="auto"/>
        </w:rPr>
        <w:t>Research and development expenses decreased by $19.9 million from $39.8 million for the three months ended June 30, 2021 to $19.9 million for the three months ended June 30, 2022. Research and development expenses primarily consists of external expenses incurred related to services provided by the CROs and CMOs in conjunction with the advancement of product candidates. Research and development expenses decreased from the three months ended June 30, 2021 to the three months ended June 30, 2022 primarily due to a $23.2 million reduction related to our share of costs incurred by Roche. Partially offsetting the decrease in research and development expenses was an increase of $2.7 million related to salaries and bonuses, benefits and stock-based compensation expense for our research and development employees and consulting fees and other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General and administrative expenses increased by $0.5 million from $11.9 million for the three months ended June 30, 2021 to $12.4 million for the three months ended June 30, 2022. The increase in general and administrative expenses was primarily due to the expansion of our organization resulting in an increase of $0.8 in payroll and personnel-related expenses, including salaries, benefits and stock-based compensation expense, partially offset by a decrease in professional fees and other general and administrative expenses of $0.3 million.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10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Interest income and other, net, increased by $1.0 million from $0.1 million during the three months ended June 30, 2021 to $1.1 million during the three months ended June 30, 2022. The increase was primarily a result of higher interest rates.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Income Tax Expense</w:t>
      </w:r>
    </w:p>
    <w:p>
      <w:pPr>
        <w:spacing w:after="0" w:line="115" w:lineRule="exact"/>
        <w:rPr>
          <w:sz w:val="20"/>
          <w:szCs w:val="20"/>
          <w:color w:val="auto"/>
        </w:rPr>
      </w:pPr>
    </w:p>
    <w:p>
      <w:pPr>
        <w:ind w:right="620"/>
        <w:spacing w:after="0" w:line="301" w:lineRule="auto"/>
        <w:rPr>
          <w:sz w:val="20"/>
          <w:szCs w:val="20"/>
          <w:color w:val="auto"/>
        </w:rPr>
      </w:pPr>
      <w:r>
        <w:rPr>
          <w:rFonts w:ascii="Arial" w:cs="Arial" w:eastAsia="Arial" w:hAnsi="Arial"/>
          <w:sz w:val="17"/>
          <w:szCs w:val="17"/>
          <w:color w:val="auto"/>
        </w:rPr>
        <w:t>Income tax expense was $0.1 million and $7.2 million for the three months ended June 30, 2022 and 2021, respectively. For the three months ended June 30, 2021 we recorded income tax expense related to amounts received from the Roche License Agreement.</w:t>
      </w:r>
    </w:p>
    <w:p>
      <w:pPr>
        <w:spacing w:after="0" w:line="133"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65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700" w:type="dxa"/>
            <w:vAlign w:val="bottom"/>
            <w:gridSpan w:val="2"/>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6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700" w:type="dxa"/>
            <w:vAlign w:val="bottom"/>
            <w:gridSpan w:val="2"/>
          </w:tcPr>
          <w:p>
            <w:pPr>
              <w:jc w:val="right"/>
              <w:ind w:right="30"/>
              <w:spacing w:after="0" w:line="170" w:lineRule="exact"/>
              <w:rPr>
                <w:sz w:val="20"/>
                <w:szCs w:val="20"/>
                <w:color w:val="auto"/>
              </w:rPr>
            </w:pPr>
            <w:r>
              <w:rPr>
                <w:rFonts w:ascii="Arial" w:cs="Arial" w:eastAsia="Arial" w:hAnsi="Arial"/>
                <w:sz w:val="18"/>
                <w:szCs w:val="18"/>
                <w:b w:val="1"/>
                <w:bCs w:val="1"/>
                <w:color w:val="auto"/>
                <w:w w:val="99"/>
              </w:rPr>
              <w:t>Six Months Ended</w:t>
            </w: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65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520" w:type="dxa"/>
            <w:vAlign w:val="bottom"/>
          </w:tcPr>
          <w:p>
            <w:pPr>
              <w:spacing w:after="0"/>
              <w:rPr>
                <w:sz w:val="20"/>
                <w:szCs w:val="20"/>
                <w:color w:val="auto"/>
              </w:rPr>
            </w:pPr>
          </w:p>
        </w:tc>
        <w:tc>
          <w:tcPr>
            <w:tcW w:w="108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0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(in thousands)</w:t>
            </w: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Collaboration revenue</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126,376</w:t>
            </w:r>
          </w:p>
        </w:tc>
        <w:tc>
          <w:tcPr>
            <w:tcW w:w="5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(126,376)</w:t>
            </w:r>
          </w:p>
        </w:tc>
        <w:tc>
          <w:tcPr>
            <w:tcW w:w="0" w:type="dxa"/>
            <w:vAlign w:val="bottom"/>
          </w:tcPr>
          <w:p>
            <w:pPr>
              <w:spacing w:after="0"/>
              <w:rPr>
                <w:sz w:val="1"/>
                <w:szCs w:val="1"/>
                <w:color w:val="auto"/>
              </w:rPr>
            </w:pPr>
          </w:p>
        </w:tc>
      </w:tr>
      <w:tr>
        <w:trPr>
          <w:trHeight w:val="216"/>
        </w:trPr>
        <w:tc>
          <w:tcPr>
            <w:tcW w:w="65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Research and development</w:t>
            </w:r>
          </w:p>
        </w:tc>
        <w:tc>
          <w:tcPr>
            <w:tcW w:w="4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49,491</w:t>
            </w:r>
          </w:p>
        </w:tc>
        <w:tc>
          <w:tcPr>
            <w:tcW w:w="58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66,375</w:t>
            </w:r>
          </w:p>
        </w:tc>
        <w:tc>
          <w:tcPr>
            <w:tcW w:w="5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(16,884)</w:t>
            </w:r>
          </w:p>
        </w:tc>
        <w:tc>
          <w:tcPr>
            <w:tcW w:w="0" w:type="dxa"/>
            <w:vAlign w:val="bottom"/>
          </w:tcPr>
          <w:p>
            <w:pPr>
              <w:spacing w:after="0"/>
              <w:rPr>
                <w:sz w:val="1"/>
                <w:szCs w:val="1"/>
                <w:color w:val="auto"/>
              </w:rPr>
            </w:pPr>
          </w:p>
        </w:tc>
      </w:tr>
      <w:tr>
        <w:trPr>
          <w:trHeight w:val="216"/>
        </w:trPr>
        <w:tc>
          <w:tcPr>
            <w:tcW w:w="6520" w:type="dxa"/>
            <w:vAlign w:val="bottom"/>
          </w:tcPr>
          <w:p>
            <w:pPr>
              <w:ind w:left="280"/>
              <w:spacing w:after="0"/>
              <w:rPr>
                <w:sz w:val="20"/>
                <w:szCs w:val="20"/>
                <w:color w:val="auto"/>
              </w:rPr>
            </w:pPr>
            <w:r>
              <w:rPr>
                <w:rFonts w:ascii="Arial" w:cs="Arial" w:eastAsia="Arial" w:hAnsi="Arial"/>
                <w:sz w:val="18"/>
                <w:szCs w:val="18"/>
                <w:color w:val="auto"/>
              </w:rPr>
              <w:t>General and administrative</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24,979</w:t>
            </w:r>
          </w:p>
        </w:tc>
        <w:tc>
          <w:tcPr>
            <w:tcW w:w="5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20,658</w:t>
            </w: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9"/>
        </w:trPr>
        <w:tc>
          <w:tcPr>
            <w:tcW w:w="65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operating expenses</w:t>
            </w: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74,470</w:t>
            </w: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87,033</w:t>
            </w: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(12,563)</w:t>
            </w:r>
          </w:p>
        </w:tc>
        <w:tc>
          <w:tcPr>
            <w:tcW w:w="0" w:type="dxa"/>
            <w:vAlign w:val="bottom"/>
          </w:tcPr>
          <w:p>
            <w:pPr>
              <w:spacing w:after="0"/>
              <w:rPr>
                <w:sz w:val="1"/>
                <w:szCs w:val="1"/>
                <w:color w:val="auto"/>
              </w:rPr>
            </w:pPr>
          </w:p>
        </w:tc>
      </w:tr>
      <w:tr>
        <w:trPr>
          <w:trHeight w:val="210"/>
        </w:trPr>
        <w:tc>
          <w:tcPr>
            <w:tcW w:w="65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(74,470)</w:t>
            </w:r>
          </w:p>
        </w:tc>
        <w:tc>
          <w:tcPr>
            <w:tcW w:w="5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39,343</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(113,813)</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income and other, net</w:t>
            </w: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1,178</w:t>
            </w: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109</w:t>
            </w: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(73,292)</w:t>
            </w:r>
          </w:p>
        </w:tc>
        <w:tc>
          <w:tcPr>
            <w:tcW w:w="58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39,452</w:t>
            </w:r>
          </w:p>
        </w:tc>
        <w:tc>
          <w:tcPr>
            <w:tcW w:w="5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(112,744)</w:t>
            </w:r>
          </w:p>
        </w:tc>
        <w:tc>
          <w:tcPr>
            <w:tcW w:w="0" w:type="dxa"/>
            <w:vAlign w:val="bottom"/>
          </w:tcPr>
          <w:p>
            <w:pPr>
              <w:spacing w:after="0"/>
              <w:rPr>
                <w:sz w:val="1"/>
                <w:szCs w:val="1"/>
                <w:color w:val="auto"/>
              </w:rPr>
            </w:pPr>
          </w:p>
        </w:tc>
      </w:tr>
      <w:tr>
        <w:trPr>
          <w:trHeight w:val="216"/>
        </w:trPr>
        <w:tc>
          <w:tcPr>
            <w:tcW w:w="65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5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(7,200)</w:t>
            </w:r>
          </w:p>
        </w:tc>
        <w:tc>
          <w:tcPr>
            <w:tcW w:w="5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7,080</w:t>
            </w:r>
          </w:p>
        </w:tc>
        <w:tc>
          <w:tcPr>
            <w:tcW w:w="0" w:type="dxa"/>
            <w:vAlign w:val="bottom"/>
          </w:tcPr>
          <w:p>
            <w:pPr>
              <w:spacing w:after="0"/>
              <w:rPr>
                <w:sz w:val="1"/>
                <w:szCs w:val="1"/>
                <w:color w:val="auto"/>
              </w:rPr>
            </w:pPr>
          </w:p>
        </w:tc>
      </w:tr>
      <w:tr>
        <w:trPr>
          <w:trHeight w:val="209"/>
        </w:trPr>
        <w:tc>
          <w:tcPr>
            <w:tcW w:w="6520" w:type="dxa"/>
            <w:vAlign w:val="bottom"/>
          </w:tcPr>
          <w:p>
            <w:pPr>
              <w:ind w:left="20"/>
              <w:spacing w:after="0"/>
              <w:rPr>
                <w:sz w:val="20"/>
                <w:szCs w:val="20"/>
                <w:color w:val="auto"/>
              </w:rPr>
            </w:pPr>
            <w:r>
              <w:rPr>
                <w:rFonts w:ascii="Arial" w:cs="Arial" w:eastAsia="Arial" w:hAnsi="Arial"/>
                <w:sz w:val="18"/>
                <w:szCs w:val="18"/>
                <w:color w:val="auto"/>
              </w:rPr>
              <w:t>Net income (loss) and comprehensive income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(73,412)</w:t>
            </w:r>
          </w:p>
        </w:tc>
        <w:tc>
          <w:tcPr>
            <w:tcW w:w="5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32,252</w:t>
            </w:r>
          </w:p>
        </w:tc>
        <w:tc>
          <w:tcPr>
            <w:tcW w:w="5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(105,664)</w:t>
            </w:r>
          </w:p>
        </w:tc>
        <w:tc>
          <w:tcPr>
            <w:tcW w:w="0" w:type="dxa"/>
            <w:vAlign w:val="bottom"/>
          </w:tcPr>
          <w:p>
            <w:pPr>
              <w:spacing w:after="0"/>
              <w:rPr>
                <w:sz w:val="1"/>
                <w:szCs w:val="1"/>
                <w:color w:val="auto"/>
              </w:rPr>
            </w:pPr>
          </w:p>
        </w:tc>
      </w:tr>
      <w:tr>
        <w:trPr>
          <w:trHeight w:val="68"/>
        </w:trPr>
        <w:tc>
          <w:tcPr>
            <w:tcW w:w="6520" w:type="dxa"/>
            <w:vAlign w:val="bottom"/>
            <w:shd w:val="clear" w:color="auto" w:fill="000000"/>
          </w:tcPr>
          <w:p>
            <w:pPr>
              <w:spacing w:after="0"/>
              <w:rPr>
                <w:sz w:val="5"/>
                <w:szCs w:val="5"/>
                <w:color w:val="auto"/>
              </w:rPr>
            </w:pPr>
          </w:p>
        </w:tc>
        <w:tc>
          <w:tcPr>
            <w:tcW w:w="40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580" w:type="dxa"/>
            <w:vAlign w:val="bottom"/>
            <w:shd w:val="clear" w:color="auto" w:fill="000000"/>
          </w:tcPr>
          <w:p>
            <w:pPr>
              <w:spacing w:after="0"/>
              <w:rPr>
                <w:sz w:val="5"/>
                <w:szCs w:val="5"/>
                <w:color w:val="auto"/>
              </w:rPr>
            </w:pPr>
          </w:p>
        </w:tc>
        <w:tc>
          <w:tcPr>
            <w:tcW w:w="1120" w:type="dxa"/>
            <w:vAlign w:val="bottom"/>
            <w:shd w:val="clear" w:color="auto" w:fill="000000"/>
          </w:tcPr>
          <w:p>
            <w:pPr>
              <w:spacing w:after="0"/>
              <w:rPr>
                <w:sz w:val="5"/>
                <w:szCs w:val="5"/>
                <w:color w:val="auto"/>
              </w:rPr>
            </w:pPr>
          </w:p>
        </w:tc>
        <w:tc>
          <w:tcPr>
            <w:tcW w:w="52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5" w:lineRule="exact"/>
        <w:rPr>
          <w:sz w:val="20"/>
          <w:szCs w:val="20"/>
          <w:color w:val="auto"/>
        </w:rPr>
      </w:pPr>
    </w:p>
    <w:p>
      <w:pPr>
        <w:ind w:right="460" w:firstLine="27"/>
        <w:spacing w:after="0" w:line="247" w:lineRule="auto"/>
        <w:rPr>
          <w:sz w:val="20"/>
          <w:szCs w:val="20"/>
          <w:color w:val="auto"/>
        </w:rPr>
      </w:pPr>
      <w:r>
        <w:rPr>
          <w:rFonts w:ascii="Arial" w:cs="Arial" w:eastAsia="Arial" w:hAnsi="Arial"/>
          <w:sz w:val="18"/>
          <w:szCs w:val="18"/>
          <w:color w:val="auto"/>
        </w:rPr>
        <w:t>Collaboration revenue for the six months ended June 30, 2021 was derived from the Roche License Agreement that was executed in October 2020 and terminated in February 2022. As discussed in Note 3 to our unaudited condensed consolidated financial statements included elsewhere in this Quarterly Report on Form 10-Q, following receipt in November 2021 of the notice from Roche terminating the agreement, the Company recognized all remaining revenue in 2021.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88"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Research and development expenses decreased by $16.9 million from $66.4 million for the six months ended June 30, 2021 to $49.5 million for the six months ended June 30, 2022. Research and development expense primarily consists of external expenses incurred related to services provided by the CROs and CMOs in conjunction with the advancement of product candidates. External research and development expenses decreased from the six months ended June 30, 2021 to the six months ended June 30, 2022 primarily due to a $28.1 million</w:t>
      </w:r>
    </w:p>
    <w:p>
      <w:pPr>
        <w:spacing w:after="0" w:line="1"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reduction related to our share of costs incurred by Roche offset by a $5.7 million increase related to costs associated with dengue and HCV development activities. Partially offsetting the decrease in external research and development expenses was an increase of $7.0 million related to internal expenses, including $2.8 million related to salaries, bonuses, benefits, $ 3.2 million related to stock-based compensation expense for our research and product development employees and $1.0 million related to consulting fees and other research and development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0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General and administrative expenses increased by $4.3 million from $20.7 million for the six months ended June 30, 2021 to $25.0 million for the six months ended June 30, 2022. The increase in general and administrative expenses was primarily due to an increase in payroll and personnel-related expenses of $3.5 million, including salaries, bonuses, benefits and stock-based compensation expense. In addition, there was an increase of $0.8 million for other general and administrative expenses.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and Other, Net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1" w:right="339" w:bottom="1440" w:gutter="0" w:footer="0" w:header="0"/>
        </w:sectPr>
      </w:pPr>
    </w:p>
    <w:bookmarkStart w:id="23" w:name="page24"/>
    <w:bookmarkEnd w:id="23"/>
    <w:p>
      <w:pPr>
        <w:ind w:right="100"/>
        <w:spacing w:after="0" w:line="287" w:lineRule="auto"/>
        <w:rPr>
          <w:sz w:val="20"/>
          <w:szCs w:val="20"/>
          <w:color w:val="auto"/>
        </w:rPr>
      </w:pPr>
      <w:r>
        <w:rPr>
          <w:rFonts w:ascii="Arial" w:cs="Arial" w:eastAsia="Arial" w:hAnsi="Arial"/>
          <w:sz w:val="18"/>
          <w:szCs w:val="18"/>
          <w:color w:val="auto"/>
        </w:rPr>
        <w:t>Interest income and other, net, increased by $1.1 million from $0.1 million during the six months ended June 30, 2021 to $1.2 million for the six months ended June 30, 2022 primarily as a result of higher interest rates.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0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Income tax expense was $0.1 million and $7.2 million for the six months ended June 30, 2022 and 2021, respectively. For the six months ended June 30, 2021 we recorded income tax expense related to amounts received from the Roche License Agreement.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5" w:lineRule="exact"/>
        <w:rPr>
          <w:sz w:val="20"/>
          <w:szCs w:val="20"/>
          <w:color w:val="auto"/>
        </w:rPr>
      </w:pPr>
    </w:p>
    <w:p>
      <w:pPr>
        <w:ind w:right="500"/>
        <w:spacing w:after="0" w:line="271" w:lineRule="auto"/>
        <w:rPr>
          <w:sz w:val="20"/>
          <w:szCs w:val="20"/>
          <w:color w:val="auto"/>
        </w:rPr>
      </w:pPr>
      <w:r>
        <w:rPr>
          <w:rFonts w:ascii="Arial" w:cs="Arial" w:eastAsia="Arial" w:hAnsi="Arial"/>
          <w:sz w:val="18"/>
          <w:szCs w:val="18"/>
          <w:color w:val="auto"/>
        </w:rPr>
        <w:t>As of June 30, 2022, we had cash and cash equivalents of $ 684.5 million. Based upon our current operating plan, we believe that our available cash and cash equivalents will be sufficient to fund our planned operations through at least 2025.</w:t>
      </w:r>
    </w:p>
    <w:p>
      <w:pPr>
        <w:spacing w:after="0" w:line="46"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entered into an open market sales agreement, or the Sales Agreement, with Jeffries, LLC, or Jeffries, in 2021 pursuant to which we may from time to time offer and sell shares of our common stock for an aggregate offering price of up to $ 200.0 million, through or to Jeffries, acting as sales agent or principal. We have agreed to pay Jeffries a commission of up to 3.0% of the aggregate gross proceeds from each sale of shares, reimburse legal fees and disbursements and provide Jeffries with customary indemnification and contribution rights. As of June 30, 2022, no shares have been issued under the Sales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02"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To date, we have not generated any product revenue. We do not expect to generate any product revenue unless and until we obtain regulatory approval of and commercialize any of our product candidates and we do not know when, or if, this will occur. We expect to continue to incur increased expenditures for the foreseeable future, and we expect our expenses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 Moreover, we may incur additional general and administrative costs as we continue to operate as a public company.</w:t>
      </w:r>
    </w:p>
    <w:p>
      <w:pPr>
        <w:spacing w:after="0" w:line="6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will continue to require additional capital to develop our product candidates and fund operations for the foreseeable future. We may seek to raise capital through public or private equity or debt financings, collaborative or other arrangements with corporate sources, or through other sources of financing. We anticipate that we may need to raise substantial additional capital, the requirements for which will depend on many factors, including:</w:t>
      </w:r>
    </w:p>
    <w:p>
      <w:pPr>
        <w:spacing w:after="0" w:line="62" w:lineRule="exact"/>
        <w:rPr>
          <w:sz w:val="20"/>
          <w:szCs w:val="20"/>
          <w:color w:val="auto"/>
        </w:rPr>
      </w:pPr>
    </w:p>
    <w:p>
      <w:pPr>
        <w:ind w:left="1260" w:right="460" w:hanging="368"/>
        <w:spacing w:after="0" w:line="286"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rate of progress and costs of our drug discovery efforts, preclinical development activities, laboratory testing and clinical trials for our product candidates;</w:t>
      </w:r>
    </w:p>
    <w:p>
      <w:pPr>
        <w:spacing w:after="0" w:line="3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and scope of clinical programs we decide to pursue;</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timing and outcome of preparing for and undergoing regulatory review of our product candidates;</w:t>
      </w:r>
    </w:p>
    <w:p>
      <w:pPr>
        <w:spacing w:after="0" w:line="11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and costs of development and commercial manufacturing activities;</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and timing associated with commercializing our product candidates, if they receive marketing approval;</w:t>
      </w:r>
    </w:p>
    <w:p>
      <w:pPr>
        <w:spacing w:after="0" w:line="102"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16" w:lineRule="exact"/>
        <w:rPr>
          <w:rFonts w:ascii="Times New Roman" w:cs="Times New Roman" w:eastAsia="Times New Roman" w:hAnsi="Times New Roman"/>
          <w:sz w:val="18"/>
          <w:szCs w:val="18"/>
          <w:color w:val="auto"/>
        </w:rPr>
      </w:pPr>
    </w:p>
    <w:p>
      <w:pPr>
        <w:ind w:left="1260" w:right="240" w:hanging="368"/>
        <w:spacing w:after="0" w:line="270" w:lineRule="auto"/>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46"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and maintain collaborations on favorable terms, if at all;</w:t>
      </w:r>
    </w:p>
    <w:p>
      <w:pPr>
        <w:spacing w:after="0" w:line="116" w:lineRule="exact"/>
        <w:rPr>
          <w:rFonts w:ascii="Times New Roman" w:cs="Times New Roman" w:eastAsia="Times New Roman" w:hAnsi="Times New Roman"/>
          <w:sz w:val="18"/>
          <w:szCs w:val="18"/>
          <w:color w:val="auto"/>
        </w:rPr>
      </w:pPr>
    </w:p>
    <w:p>
      <w:pPr>
        <w:ind w:left="1260" w:right="20" w:hanging="368"/>
        <w:spacing w:after="0" w:line="300" w:lineRule="auto"/>
        <w:tabs>
          <w:tab w:leader="none" w:pos="1260" w:val="left"/>
        </w:tabs>
        <w:numPr>
          <w:ilvl w:val="0"/>
          <w:numId w:val="8"/>
        </w:numPr>
        <w:rPr>
          <w:rFonts w:ascii="Times New Roman" w:cs="Times New Roman" w:eastAsia="Times New Roman" w:hAnsi="Times New Roman"/>
          <w:sz w:val="17"/>
          <w:szCs w:val="17"/>
          <w:color w:val="auto"/>
        </w:rPr>
      </w:pPr>
      <w:r>
        <w:rPr>
          <w:rFonts w:ascii="Arial" w:cs="Arial" w:eastAsia="Arial" w:hAnsi="Arial"/>
          <w:sz w:val="17"/>
          <w:szCs w:val="17"/>
          <w:color w:val="auto"/>
        </w:rPr>
        <w:t>our efforts to enhance operational systems and our ability to attract, hire and retain qualified personnel, including personnel to support the development of our product candidates and, ultimately, the sale of our products, following regulatory approval;</w:t>
      </w:r>
    </w:p>
    <w:p>
      <w:pPr>
        <w:spacing w:after="0" w:line="23" w:lineRule="exact"/>
        <w:rPr>
          <w:rFonts w:ascii="Times New Roman" w:cs="Times New Roman" w:eastAsia="Times New Roman" w:hAnsi="Times New Roman"/>
          <w:sz w:val="17"/>
          <w:szCs w:val="17"/>
          <w:color w:val="auto"/>
        </w:rPr>
      </w:pPr>
    </w:p>
    <w:p>
      <w:pPr>
        <w:ind w:left="1260" w:hanging="368"/>
        <w:spacing w:after="0"/>
        <w:tabs>
          <w:tab w:leader="none" w:pos="12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implementation of operational, financial and management systems; and</w:t>
      </w: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1" w:right="419" w:bottom="1440" w:gutter="0" w:footer="0" w:header="0"/>
        </w:sectPr>
      </w:pPr>
    </w:p>
    <w:bookmarkStart w:id="24" w:name="page25"/>
    <w:bookmarkEnd w:id="24"/>
    <w:p>
      <w:pPr>
        <w:ind w:left="1260" w:hanging="368"/>
        <w:spacing w:after="0"/>
        <w:tabs>
          <w:tab w:leader="none" w:pos="12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associated with being a public company.</w:t>
      </w:r>
    </w:p>
    <w:p>
      <w:pPr>
        <w:spacing w:after="0" w:line="116"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7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Adequate funding may not be available to us on acceptable terms or at all. Our failure to raise capital as and when needed could have a negative impact on our financial condition and our ability to pursue our business strategies. If we are unable to raise additional funds when needed, we may be required to delay, reduce, or terminate some or all of our development programs and clinical trials or we may also be required to sell or license to others rights to our product candidates in certain territories or indications that we would prefer to develop and commercialize ourselves. If we are required to enter into collaborations and other arrangements to supplement our funds, we may have to give up certain rights that limit our ability to develop and commercialize our product candidates or may have other terms that are not favorable to us or our stockholders, which could materially affect our business and financial condition.</w:t>
      </w:r>
    </w:p>
    <w:p>
      <w:pPr>
        <w:spacing w:after="0" w:line="18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Market volatility, inflation, interest rate fluctuations and concerns related to the COVID-19 pandemic and geopolitical events, including civil or political unrest (such as the ongoing conflict between Ukraine and Russia), may have a significant impact on the availability of funding sources and the terms on which any funding may be available.</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See Part II, Item 1A,“Risk Factors” for additional risks associated with our substantial capital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Statement of Cash Flows</w:t>
      </w:r>
    </w:p>
    <w:p>
      <w:pPr>
        <w:spacing w:after="0" w:line="115"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The following table sets forth the primary sources and uses of cash, cash equivalents, and restricted cash for each of the periods presented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68"/>
        </w:trPr>
        <w:tc>
          <w:tcPr>
            <w:tcW w:w="76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1860" w:type="dxa"/>
            <w:vAlign w:val="bottom"/>
            <w:gridSpan w:val="2"/>
            <w:shd w:val="clear" w:color="auto" w:fill="000000"/>
          </w:tcPr>
          <w:p>
            <w:pPr>
              <w:spacing w:after="0"/>
              <w:rPr>
                <w:sz w:val="5"/>
                <w:szCs w:val="5"/>
                <w:color w:val="auto"/>
              </w:rPr>
            </w:pPr>
          </w:p>
        </w:tc>
      </w:tr>
      <w:tr>
        <w:trPr>
          <w:trHeight w:val="162"/>
        </w:trPr>
        <w:tc>
          <w:tcPr>
            <w:tcW w:w="76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60" w:type="dxa"/>
            <w:vAlign w:val="bottom"/>
            <w:gridSpan w:val="2"/>
          </w:tcPr>
          <w:p>
            <w:pPr>
              <w:jc w:val="right"/>
              <w:ind w:right="30"/>
              <w:spacing w:after="0" w:line="162" w:lineRule="exact"/>
              <w:rPr>
                <w:sz w:val="20"/>
                <w:szCs w:val="20"/>
                <w:color w:val="auto"/>
              </w:rPr>
            </w:pPr>
            <w:r>
              <w:rPr>
                <w:rFonts w:ascii="Arial" w:cs="Arial" w:eastAsia="Arial" w:hAnsi="Arial"/>
                <w:sz w:val="18"/>
                <w:szCs w:val="18"/>
                <w:b w:val="1"/>
                <w:bCs w:val="1"/>
                <w:color w:val="auto"/>
              </w:rPr>
              <w:t>Six Months Ended</w:t>
            </w:r>
          </w:p>
        </w:tc>
      </w:tr>
      <w:tr>
        <w:trPr>
          <w:trHeight w:val="243"/>
        </w:trPr>
        <w:tc>
          <w:tcPr>
            <w:tcW w:w="768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June 30,</w:t>
            </w:r>
          </w:p>
        </w:tc>
      </w:tr>
      <w:tr>
        <w:trPr>
          <w:trHeight w:val="210"/>
        </w:trPr>
        <w:tc>
          <w:tcPr>
            <w:tcW w:w="7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r>
      <w:tr>
        <w:trPr>
          <w:trHeight w:val="210"/>
        </w:trPr>
        <w:tc>
          <w:tcPr>
            <w:tcW w:w="7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40" w:type="dxa"/>
            <w:vAlign w:val="bottom"/>
            <w:gridSpan w:val="2"/>
          </w:tcPr>
          <w:p>
            <w:pPr>
              <w:jc w:val="right"/>
              <w:ind w:right="110"/>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8"/>
                <w:szCs w:val="18"/>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7680" w:type="dxa"/>
            <w:vAlign w:val="bottom"/>
          </w:tcPr>
          <w:p>
            <w:pPr>
              <w:ind w:left="280"/>
              <w:spacing w:after="0"/>
              <w:rPr>
                <w:sz w:val="20"/>
                <w:szCs w:val="20"/>
                <w:color w:val="auto"/>
              </w:rPr>
            </w:pPr>
            <w:r>
              <w:rPr>
                <w:rFonts w:ascii="Arial" w:cs="Arial" w:eastAsia="Arial" w:hAnsi="Arial"/>
                <w:sz w:val="18"/>
                <w:szCs w:val="18"/>
                <w:color w:val="auto"/>
              </w:rPr>
              <w:t>Operating activities</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(78,195)</w:t>
            </w:r>
          </w:p>
        </w:tc>
        <w:tc>
          <w:tcPr>
            <w:tcW w:w="84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(34,185)</w:t>
            </w:r>
          </w:p>
        </w:tc>
      </w:tr>
      <w:tr>
        <w:trPr>
          <w:trHeight w:val="216"/>
        </w:trPr>
        <w:tc>
          <w:tcPr>
            <w:tcW w:w="76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Investing activities</w:t>
            </w:r>
          </w:p>
        </w:tc>
        <w:tc>
          <w:tcPr>
            <w:tcW w:w="5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(1,923)</w:t>
            </w:r>
          </w:p>
        </w:tc>
        <w:tc>
          <w:tcPr>
            <w:tcW w:w="8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r>
      <w:tr>
        <w:trPr>
          <w:trHeight w:val="216"/>
        </w:trPr>
        <w:tc>
          <w:tcPr>
            <w:tcW w:w="7680" w:type="dxa"/>
            <w:vAlign w:val="bottom"/>
          </w:tcPr>
          <w:p>
            <w:pPr>
              <w:ind w:left="280"/>
              <w:spacing w:after="0"/>
              <w:rPr>
                <w:sz w:val="20"/>
                <w:szCs w:val="20"/>
                <w:color w:val="auto"/>
              </w:rPr>
            </w:pPr>
            <w:r>
              <w:rPr>
                <w:rFonts w:ascii="Arial" w:cs="Arial" w:eastAsia="Arial" w:hAnsi="Arial"/>
                <w:sz w:val="18"/>
                <w:szCs w:val="18"/>
                <w:color w:val="auto"/>
              </w:rPr>
              <w:t>Financing activities</w:t>
            </w:r>
          </w:p>
        </w:tc>
        <w:tc>
          <w:tcPr>
            <w:tcW w:w="5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223</w:t>
            </w:r>
          </w:p>
        </w:tc>
        <w:tc>
          <w:tcPr>
            <w:tcW w:w="8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528</w:t>
            </w: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(79,895)</w:t>
            </w:r>
          </w:p>
        </w:tc>
        <w:tc>
          <w:tcPr>
            <w:tcW w:w="840" w:type="dxa"/>
            <w:vAlign w:val="bottom"/>
            <w:shd w:val="clear" w:color="auto" w:fill="CFF0FC"/>
          </w:tcPr>
          <w:p>
            <w:pPr>
              <w:jc w:val="right"/>
              <w:ind w:right="5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(33,657)</w:t>
            </w:r>
          </w:p>
        </w:tc>
      </w:tr>
      <w:tr>
        <w:trPr>
          <w:trHeight w:val="68"/>
        </w:trPr>
        <w:tc>
          <w:tcPr>
            <w:tcW w:w="768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200" w:type="dxa"/>
            <w:vAlign w:val="bottom"/>
            <w:shd w:val="clear" w:color="auto" w:fill="000000"/>
          </w:tcPr>
          <w:p>
            <w:pPr>
              <w:spacing w:after="0"/>
              <w:rPr>
                <w:sz w:val="5"/>
                <w:szCs w:val="5"/>
                <w:color w:val="auto"/>
              </w:rPr>
            </w:pPr>
          </w:p>
        </w:tc>
        <w:tc>
          <w:tcPr>
            <w:tcW w:w="84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0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Net cash used in operating activities for the six months ended June 30, 2022 was $78.2 million. Cash used in operating activities was primarily due to net loss of $73.4 million and a net decrease in accounts payable and accrued expenses of $32.2 million, partially offset by stock-based compensation of $23.6 million and a decrease in prepaid and other current assets of $3.0 million.</w:t>
      </w:r>
    </w:p>
    <w:p>
      <w:pPr>
        <w:spacing w:after="0" w:line="7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Net cash used in operating activities for the six months ended June 30, 2021 was $34.2 million. Cash used in operating activities was primarily due to net income of $32.3 million, stock-based compensation of $17.3 million, an increase in accounts payable and accrued expenses of $40.0 million and a decrease in prepaid expenses of $2.9 million, offset by an increase in accounts receivable of $50.0 million and a decrease in deferred revenue of $76.4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5"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Cash used in investing activities for the six months ended June 30, 2022 was $1.9 million and consisted of purchases of fixed assets. There were no cash flows from investing activities for the six months ended June 30, 2021.</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5"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Net cash provided by financing activities was $0.2 million and $0.5 million for the six months ended June 30, 2022 and 2021, respectively, and consisted of proceeds from the exercise of stock options.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17"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There have been no material changes to our contractual obligations during the six months ended June 30, 2022 from those previously disclosed in our Annual Report on Form 10-K for the year ended December 31, 2021.</w:t>
      </w:r>
    </w:p>
    <w:p>
      <w:pPr>
        <w:spacing w:after="0" w:line="46"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enter into contracts in the normal course of business with third-party contract organizations including CROs and CMOs for preclinical and clinical studies and testing, manufacture and supply of our preclinical materials and other services and products used for operating purposes. These contracts do not contain any minimum purchase commitments and generally provide for termination following a certain period after notice, and therefore we believe that our non-cancelable obligations under these agreements are not material. Payments due upon cancelation consist only of payments for services provided and expenses incurred up to the date of cancelation.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4"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Our financial statements have been prepared in accordance with GAAP. The preparation of these financial statements requires us to make estimates and assumptions that affect the reported amounts of assets and liabilities, the disclosure of contingent assets and liabilities at the date of the financial statements and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Our critical accounting policies and estimates are described under the heading “Management’s Discussion and Analysis of Financial Condition and Results of Operations—Critical Accounting Policies and Estimates” in our Annual Report on Form 10-K for the year ended December 31, 2021. We believe that these accounting policies are critical to understanding our historical and future performance, as these policies relate to significant areas involving management’s judgments and estimates. During the six months ended June 30, 2022, there were no material changes to our critical accounting policies from those discussed in our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17"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including in connection with any trade secret, copyright, patent or other intellectual property infringement claim by any third-party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70"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We have also agreed to indemnify our directors and officers for certain events or occurrences while the director or officer is, or was serving, at our request in such capacity. The indemnification period covers all pertinent events and occurrences during the director’s or officer’s service. The maximum potential amount of future payments we could be required to make under these indemnification agreements is not specified in the agreements; however, we have director and officer insurance coverage that reduces our exposure and enables us to recover a portion of any future amounts paid. We believe the estimated fair value of these indemnification agreements in excess of applicable insurance coverage is minimal.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See the section titled “Summary of Significant Accounting Policies—Recent Accounting Pronouncements” in Note 2 to our unaudited condensed consolidated financial statements included in this Quarterly Report on Form 10-Q for additional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0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market risk inherent in our financial instruments and in our financial position represents the potential loss arising from adverse changes in interest rates or exchange rates. As of June 30, 2022, we had cash and cash equivalents of $684.5 million, consisting of interest-bearing money market funds for which the fair value would be affected by changes in the general level of U.S. interest rates. However, due to the short-term maturities and the low-risk profile of our cash equivalents, an immediate 10% relative change in interest rates would not have a material effect on the fair value of our cash equivalents or on our future interest income.</w:t>
      </w:r>
    </w:p>
    <w:p>
      <w:pPr>
        <w:spacing w:after="0" w:line="69"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We do not believe that inflation, interest rate changes or foreign currency exchange rate fluctuations have had a material impact on our results of operations for any periods presented herein.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0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June 30, 2022, our disclosure controls and procedures were effective at the reasonable assurance level.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June 30, 2022 that have materially affected, or are reasonably likely to materially affect, our internal control over financial reporting.</w:t>
      </w:r>
    </w:p>
    <w:p>
      <w:pPr>
        <w:spacing w:after="0" w:line="18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539" w:right="4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not subject to any material legal proceedings.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i w:val="1"/>
          <w:iCs w:val="1"/>
          <w:color w:val="auto"/>
        </w:rPr>
        <w:t>You should carefully consider the risks and uncertainties described below, as well as the other information in this Quarterly Report on Form 10-Q, including our unaudited condensed consolidated financial statements and the related notes and “Management’s Discussion and Analysis of Results of Operations and Financial Condition.” Our business, financial condition, results of operations or prospects could be materially and adversely affected if any of these risks occurs, and as a result, the market price of our common stock could decline and you could lose all or part of your investment.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significant uncertainty around our development of bemnifosbuvir as a potential treatment for COVID-19.</w:t>
      </w:r>
    </w:p>
    <w:p>
      <w:pPr>
        <w:spacing w:after="0" w:line="115"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development of bemnifosbuvir for the treatment of COVID-19 is in its early stages, and we may not be successful in our development of bemnifosbuvir as a potential treatment for COVID-19. In October 2020, we entered into a license agreement (as amended, the “Roche License Agreement”) with F. Hoffmann-LaRoche Ltd. and Genentech, Inc. (together, “Roche”) under which we granted to Roche an exclusive license to development and commercialization rights related to certain of our compounds, including bemnifosbuvir, outside of the United States (other than for certain HCV uses). Together with Roche, in April 2021, we initiated a randomized, double blind, multi -center, placebo-controlled Phase 3 clinical trial to study bemnifosbuvir in adult and adolescent patients with mild or moderate COVID-19 in the outpatient setting (“MORNINGSKY”) and we subsequently initiated a Phase 3 six month follow-up study (“MEADOWSPRING”) to assess the impact of bemnifosbuvir treatment on long-term sequelae of COVID-19 in the patients previously enrolled in MORNINGSKY. The Phase 3 clinical trials were begun while two Phase 2 clinical trials evaluating bemnifosbuvir in patients with COVID1-19 were ongoing. One of these Phase 2 clinical trials enrolled hospitalized patients and the other Phase 2 clinical trial (MOONSONG) enrolled outpatients. In October 2021, we, together with Roche, completed MOONSONG, and we announced that we did not meet the primary endpoint of reduction from baseline in the amount of SARS-CoV-2 virus in patients with mild or moderate COVID-19 compared to placebo in the overall study population, of which approximately two-thirds of enrolled patients were low-risk with mild symptoms. In November 2021, Roche notified us that it was terminating the Roche License Agreement effective February 10, 2022. In December 2021 due to the changing COVID -19 treatment landscape, including the availability of new oral antiviral treatment regimens, we determined to discontinue each of the phase 3 MORNINGSKY and MEADOWSPRING clinical trials. We did not enroll a sufficient number of patients in either study to conduct prespecified statistical analyses. In January 2022 we determined to close out the Phase 2 clinical trial in hospitalized patients.</w:t>
      </w:r>
    </w:p>
    <w:p>
      <w:pPr>
        <w:spacing w:after="0" w:line="70"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In May 2022, we reported topline results from the MORNINGSKY trial and the final analysis of data from the Phase 2 clinical trial in high-risk hospitalized patients.</w:t>
      </w:r>
    </w:p>
    <w:p>
      <w:pPr>
        <w:spacing w:after="0" w:line="5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topline analysis of data from the MORNINGSKY trial, the primary endpoint, time to symptom alleviation, was not achieved. However, a 71% reduction in hospitalization (2.9% versus 10%) was observed (p=0.047, unadjusted, exploratory) in the bemnifosbuvir arm (n=137) versus placebo (n=70). There were no deaths in the MORNINGSKY trial.</w:t>
      </w:r>
    </w:p>
    <w:p>
      <w:pPr>
        <w:spacing w:after="0" w:line="74"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Final clinical results from the Phase 2 study in high-risk hospitalized patients (n=83) suggest potential clinical benefits. The overall rate of disease progression was low, which had an impact on the ability to assess the primary endpoint of progression of respiratory insufficiency (PRI) rate, showing a 7.5% PRI rate for bemnifosbuvir 550 mg BID versus a 10% PRI rate for placebo (primary endpoint). There were three deaths in the study, no deaths were reported with patients treated with bemnifosbuvir versus three deaths reported with placebo. Final virology results (secondary endpoint) were consistent with previously reported interim data from this study. Bemnifosbuvir was generally well tolerated with no drug related serious adverse events and no adverse events leading to treatment discontinuation.</w:t>
      </w:r>
    </w:p>
    <w:p>
      <w:pPr>
        <w:spacing w:after="0" w:line="8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Given these results, we are currently evaluating the pathway for development of bemnifosbuvir for the treatment of COVID-19 and may determine to pursue either or both of a mono- and combination therapy strategy. We do not know if either of these approaches will be successful. In addition, clinical trials evaluating combination regimens will be subject to additional risks, including the potential requirement to sufficiently demonstrate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28" w:name="page29"/>
    <w:bookmarkEnd w:id="28"/>
    <w:p>
      <w:pPr>
        <w:ind w:right="1180"/>
        <w:spacing w:after="0" w:line="287" w:lineRule="auto"/>
        <w:rPr>
          <w:sz w:val="20"/>
          <w:szCs w:val="20"/>
          <w:color w:val="auto"/>
        </w:rPr>
      </w:pPr>
      <w:r>
        <w:rPr>
          <w:rFonts w:ascii="Arial" w:cs="Arial" w:eastAsia="Arial" w:hAnsi="Arial"/>
          <w:sz w:val="18"/>
          <w:szCs w:val="18"/>
          <w:color w:val="auto"/>
        </w:rPr>
        <w:t>effect, if any, of each constituent component of the combination regimen to the satisfaction of the United States Food and Drug Administration (“FDA”) or other regulatory authorities.</w:t>
      </w:r>
    </w:p>
    <w:p>
      <w:pPr>
        <w:spacing w:after="0" w:line="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have not acquired or developed any agents that may be combined with bemnifosbuvir in a combination therapy. We have begun to internally develop a potential protease inhibitor to evaluate in combination with bemnifosbuvir. These efforts are at a very early stage and we do not know if such efforts will be successful, or if successful, when a protease inhibitor product candidate generated from our discovery efforts may be permitted to enter clinical development. Alternatively, we may in-license or acquire the rights to develop and commercialize a protease inhibitor drug candidate from a third-party. Proposing, negotiating and implementing acquisition or in-license of a protease inhibitor or any other product candidate that may be combined with bemnifosbuvir may be a lengthy and complex process. Other companies, including those with substantially greater financial, marketing and sales resources, may compete with us for the acquisition of such product candidates. We may not be able to acquire the rights to additional product candidates on terms that we find acceptable, if at all.</w:t>
      </w:r>
    </w:p>
    <w:p>
      <w:pPr>
        <w:spacing w:after="0" w:line="72"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have committed and plan to continue to commit significant financial and personnel resources to the development of bemnifosbuvir as either or both of a mono- and combination therapy (a “bemnifosbuvir COV19 product candidate”) as a potential treatment for COVID-19. If we are unable to successfully develop a bemnifosbuvir COV19 product candidate for the treatment of COVID-19, we will have taken resources away from other development programs and will not be able to recuperate the resources dedicated to developing a bemnifosbuvir COV19 product candidate as a potential treatment for COVID-19, which could have a material adverse impact on our business. If we are able to initiate clinical development of the bemnifosbuvir COV19 product and the data from our clinical trials are not supportive of further development or commercialization of such bemnifosbuvir COV19 product candidate as a treatment for COVID-19, or the investor community otherwise has a negative reaction to the data, the demand for our common stock could decrease significantly, and the price of our common stock could decline substantially, which could result in significant losses for our stockholders.</w:t>
      </w:r>
    </w:p>
    <w:p>
      <w:pPr>
        <w:spacing w:after="0" w:line="69"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Further, while we believe there is currently an urgent need for treatments for COVID-19, the longevity and extent of the ongoing COVID-19 pandemic is uncertain and it is unclear whether SARS-CoV-2 will become an endemic human coronavirus that may circulate in the human population after the current pandemic has subsided. If the pandemic were to dissipate, whether due to a significant decrease in the number or severity of new infections, the effectiveness of vaccines, the effectiveness of other treatment options, or otherwise, the need for treatments could decrease significantly. If the need for a treatment decreases before or soon after commercialization of a bemnifosbuvir COV19 product candidate, if successfully developed and approved, our business could be adversely impacted.</w:t>
      </w:r>
    </w:p>
    <w:p>
      <w:pPr>
        <w:spacing w:after="0" w:line="69"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A bemnifosbuvir COV19 product candidate, even if successfully developed and approved, may face significant competition from other treatments and vaccines for COVID-19 which have been authorized or approved for use or are in development.</w:t>
      </w:r>
    </w:p>
    <w:p>
      <w:pPr>
        <w:spacing w:after="0" w:line="4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Many biotechnology and pharmaceutical companies are developing treatments for COVID-19 or vaccines against SARS-CoV-2, the virus that causes COVID-19. Many of these companies, which include large pharmaceutical companies, have greater resources for development and established commercialization capabilities. For example, in November 2021, molnupiravir, an orally administered direct-acting antiviral, being developed by Merck and Ridgeback Biotherapeutics (“Ridgeback”) for the treatment of adults with mild to moderate COVID-19 in the outpatient setting received conditional marketing authorization for use from the health authorities in the United Kingdom. In December 2021, the FDA issued an emergency use authorization for molnupiravir for the treatment of mild-to-moderate COVID-19 in certain adults who are at high-risk for progression to severe COVID-19, including hospitalization or death. Merck and Ridgeback are currently seeking similar authorizations from numerous other global health authorities. In December 2021, the FDA issued an emergency use authorization for Paxlovid, an orally administered direct-acting antiviral being developed by Pfizer Inc. (“Pfizer”) consisting of nirmatrelvir, a protease inhibitor, and ritonavir, for the treatment of adults with mild to moderate COVID-19 in the outpatient setting. In January 2022, the European Medicines Agency recommended conditional marketing authorization for Paxlovid. Other products for the treatment of COVID-19 are currently authorized for use or approved by health regulatory authorities in numerous countries throughout the world. These products include the antiviral drug Veklury (remdesivir), a direct acting antiviral marketed by Gilead Sciences for the treatment of COVID-19 for certain patients requiring hospitalization and sotrovimab, a monoclonal antibody for the treatment of high risk adults and adolescents with mild to moderate COVID-19 for which VIR Biotechnology, Inc. and GlaxoSmithKline have received emergency use authorization from the FDA. In addition to therapeutics, vaccines indicated for active immunization to prevent COVID-19 have been approved or authorized for emergency use by the FDA. In August 2021, the FDA approved vaccines from Pfizer and BioNTech and Moderna, Inc. (“Moderna”), each of which were found to be more than 90% effective in preventing COVID-19 during clinical trials. In addition,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29" w:name="page30"/>
    <w:bookmarkEnd w:id="29"/>
    <w:p>
      <w:pPr>
        <w:spacing w:after="0" w:line="244" w:lineRule="auto"/>
        <w:rPr>
          <w:sz w:val="20"/>
          <w:szCs w:val="20"/>
          <w:color w:val="auto"/>
        </w:rPr>
      </w:pPr>
      <w:r>
        <w:rPr>
          <w:rFonts w:ascii="Arial" w:cs="Arial" w:eastAsia="Arial" w:hAnsi="Arial"/>
          <w:sz w:val="18"/>
          <w:szCs w:val="18"/>
          <w:color w:val="auto"/>
        </w:rPr>
        <w:t>in February 2021 and July 2022, the FDA has granted emergency use authorization for vaccines developed by each of Janssen Pharmaceutical Company (“Janssen”) and Novavax, Inc., respectively. Each of Pfizer and BioNTech, Moderna and Janssen have also created, developed and received regulatory authorization in a number of jurisdictions for the use of vaccine “boosters,” which are intended to extend the immunizing effect initiated with the administration of the initial vaccine regimen. Additional vaccines and therapeutics are in development by other pharmaceutical and biopharmaceutical companies. Given the products currently approved or authorized for use as well as those in development by others, any treatment we may develop could face significant competition. If we are unable to develop a treatment that can be distinguished based on efficacy, safety, cost or other factors from the growing number of treatments for COVID-19 or if any treatment becomes the standard of care, can be administered at a lower cost, or is more successful at commercializing an approved treatment, even if a bemnifosbuvir COV19 product candidate is approved, we may not be able to successfully commercialize such a product for the treatment of COVID-19, or compete with other treatments or vaccines, which would adversely impact our business and operations.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business and financial results.</w:t>
      </w:r>
    </w:p>
    <w:p>
      <w:pPr>
        <w:spacing w:after="0" w:line="115"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The global emergence of variants and subvariants of SARS-CoV-2, including the Delta and Omicron variant and subvariants such as BA.2 and BA.2.12.1 and more recently BA.4 and BA.5, has resulted in an increasing number of infections, including breakthrough infections in persons who have been vaccinated against the infection. In the United States, travel bans and government stay-at-home orders in response to the initial outbreak caused widespread disruption in business operations and economic activity. Governmental authorities around the world implemented measures to reduce the spread of COVID-19. These measures, including suggested or mandated “shelter-in-place” orders, adversely affected workforces, customers, consumer sentiment, economies, and financial markets, and, along with decreased consumer spending, contributed to an economic downturn in the United States. Future resurgences in cases may result in renewal of measures, now being increasingly relaxed, intended to reduce the spread of COVID-19. In response to the public health directives and orders and to help minimize the risk of COVID-19 for our employees, we have taken precautionary measures, including implementing work-from-home policies for all our employees. Many of our third-party collaborators, such as our CMOs, clinical research organizations (“CROs”), suppliers and others, have taken similar precautionary measures. At times during the pandemic, these measures have disrupted our business and delayed certain of our clinical programs and timelines. For example, our Phase 1/2a clinical trial in patients with hepatitis C virus (“HCV”) was paused when clinical trial sites closed due to COVID-19 precautions by the countries and medical facilities where the trial was to be conducted.</w:t>
      </w:r>
    </w:p>
    <w:p>
      <w:pPr>
        <w:spacing w:after="0" w:line="63"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impact to our operations due to elongation of the COVID-19 pandemic could be severe and could negatively affect our business, financial condition and results of operations. To the extent the COVID-19 pandemic adversely affects our business and financial results, it may also have the effect of heightening many of the other risk factors described in this “Risk Factors” section, such as those relating to our clinical trial timelines, our ability to enroll subjects for clinical trials and obtain materials that are required for the manufacture of our product candidates, and our ability to raise capital.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may materially and adversely affect our clinical trials.</w:t>
      </w:r>
    </w:p>
    <w:p>
      <w:pPr>
        <w:spacing w:after="0" w:line="115"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As a result of the COVID-19 pandemic, we may experience additional disruptions that could severely impact our clinical trials, including but not limited to:</w:t>
      </w:r>
    </w:p>
    <w:p>
      <w:pPr>
        <w:spacing w:after="0" w:line="46" w:lineRule="exact"/>
        <w:rPr>
          <w:sz w:val="20"/>
          <w:szCs w:val="20"/>
          <w:color w:val="auto"/>
        </w:rPr>
      </w:pPr>
    </w:p>
    <w:p>
      <w:pPr>
        <w:ind w:left="1020" w:right="24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enrolling patients in a clinical trial as a result of rapidly evolving treatment paradigms, particularly in the case of patients with COVID-19;</w:t>
      </w:r>
    </w:p>
    <w:p>
      <w:pPr>
        <w:spacing w:after="0" w:line="32" w:lineRule="exact"/>
        <w:rPr>
          <w:rFonts w:ascii="Times New Roman" w:cs="Times New Roman" w:eastAsia="Times New Roman" w:hAnsi="Times New Roman"/>
          <w:sz w:val="18"/>
          <w:szCs w:val="18"/>
          <w:color w:val="auto"/>
        </w:rPr>
      </w:pPr>
    </w:p>
    <w:p>
      <w:pPr>
        <w:ind w:left="1020" w:right="84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patients that may not be able to comply with clinical trial protocols if quarantines impede patient movement or interrupt healthcare services;</w:t>
      </w:r>
    </w:p>
    <w:p>
      <w:pPr>
        <w:spacing w:after="0" w:line="59"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 or the overwork of existing investigators and staff;</w:t>
      </w:r>
    </w:p>
    <w:p>
      <w:pPr>
        <w:spacing w:after="0" w:line="46" w:lineRule="exact"/>
        <w:rPr>
          <w:rFonts w:ascii="Times New Roman" w:cs="Times New Roman" w:eastAsia="Times New Roman" w:hAnsi="Times New Roman"/>
          <w:sz w:val="18"/>
          <w:szCs w:val="18"/>
          <w:color w:val="auto"/>
        </w:rPr>
      </w:pPr>
    </w:p>
    <w:p>
      <w:pPr>
        <w:jc w:val="both"/>
        <w:ind w:left="1020" w:right="80" w:hanging="503"/>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w:t>
      </w:r>
    </w:p>
    <w:p>
      <w:pPr>
        <w:spacing w:after="0" w:line="32" w:lineRule="exact"/>
        <w:rPr>
          <w:rFonts w:ascii="Times New Roman" w:cs="Times New Roman" w:eastAsia="Times New Roman" w:hAnsi="Times New Roman"/>
          <w:sz w:val="18"/>
          <w:szCs w:val="18"/>
          <w:color w:val="auto"/>
        </w:rPr>
      </w:pPr>
    </w:p>
    <w:p>
      <w:pPr>
        <w:ind w:left="1020" w:right="540" w:hanging="503"/>
        <w:spacing w:after="0" w:line="270"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interruptions or delays in preclinical studies due to restricted or limited operations at research and development laboratory facilities;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0" w:name="page31"/>
    <w:bookmarkEnd w:id="30"/>
    <w:p>
      <w:pPr>
        <w:ind w:left="1020" w:right="112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state or provincial governments, employers and others;</w:t>
      </w:r>
    </w:p>
    <w:p>
      <w:pPr>
        <w:spacing w:after="0" w:line="32" w:lineRule="exact"/>
        <w:rPr>
          <w:rFonts w:ascii="Times New Roman" w:cs="Times New Roman" w:eastAsia="Times New Roman" w:hAnsi="Times New Roman"/>
          <w:sz w:val="18"/>
          <w:szCs w:val="18"/>
          <w:color w:val="auto"/>
        </w:rPr>
      </w:pPr>
    </w:p>
    <w:p>
      <w:pPr>
        <w:jc w:val="both"/>
        <w:ind w:left="1020" w:right="460" w:hanging="503"/>
        <w:spacing w:after="0" w:line="300" w:lineRule="auto"/>
        <w:tabs>
          <w:tab w:leader="none" w:pos="10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the risk that participants enrolled in our non-COVID-19-related clinical trials will contract COVID-19 while the clinical trial is ongoing, which could impact the results of the clinical trial, including by increasing the number of observed adverse events;</w:t>
      </w:r>
    </w:p>
    <w:p>
      <w:pPr>
        <w:spacing w:after="0" w:line="36" w:lineRule="exact"/>
        <w:rPr>
          <w:rFonts w:ascii="Times New Roman" w:cs="Times New Roman" w:eastAsia="Times New Roman" w:hAnsi="Times New Roman"/>
          <w:sz w:val="17"/>
          <w:szCs w:val="17"/>
          <w:color w:val="auto"/>
        </w:rPr>
      </w:pPr>
    </w:p>
    <w:p>
      <w:pPr>
        <w:ind w:left="1020" w:right="44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02"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interruption in global shipping that may affect the transport of clinical trial materials, such as investigational drug product and supplies;</w:t>
      </w:r>
    </w:p>
    <w:p>
      <w:pPr>
        <w:spacing w:after="0" w:line="46"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local regulations as part of a response to the COVID-19 outbreak that may require us to change the ways in which our clinical trials are conducted, which may result in unexpected costs, or to discontinue the clinical trials altogether;</w:t>
      </w:r>
    </w:p>
    <w:p>
      <w:pPr>
        <w:spacing w:after="0" w:line="32"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refusal of the FDA or foreign regulatory authorities to accept data from clinical trials in these affected geographies.</w:t>
      </w:r>
    </w:p>
    <w:p>
      <w:pPr>
        <w:spacing w:after="0" w:line="103"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symptoms, progression, and transmission of COVID-19 resulting from infection with a particular variant, as evidenced with Delta or Omicron variants differ in multiple ways including severity of symptoms and rate of transmissibility. This rapid and continuing emergence of variants and the evolution of disease manifestation presents additional challenges for the conduct of our clinical trials in COVID-19 patients. For example, COVID-19 patients have presented with a wide range of symptoms and side effects, which may make it more difficult for clinical trial investigators to determine whether any adverse events observed in our clinical trials are related to bemnifosbuvir or are consistent with the underlying disease. Any increase in the severity or incidence of adverse events deemed to be related to bemnifosbuvir or any combination regimen we seek to develop could delay or prevent its regulatory approval, which could have a material adverse effect on our business, financial condition and results of operations. In addition, efficacy and antiviral results from a COVID-19 clinical trial may be affected by, among other things, which variant or variants causes the infection and evolving immunization status of the patients enrolling in the clinical trial, resulting in response rates that may also be variable over time as the pandemic progresses.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06"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We have a limited operating history and no history of successfully developing or commercializing any approved antiviral products, which may make it difficult to evaluate the success of our business to date and to assess the prospects for our future viability.</w:t>
      </w:r>
    </w:p>
    <w:p>
      <w:pPr>
        <w:spacing w:after="0" w:line="17"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We are a clinical-stage biopharmaceutical company. Our operations to date have been limited to financing and staffing our company, developing our technology and identifying and developing our product candidates. Our prospects must be considered in light of the uncertainties, risks, expenses and difficulties frequently encountered by biopharmaceutical companies in their early stages of operations. We have not yet demonstrated an ability to complete any late-stage or pivotal clinical trials, obtain marketing approval, manufacture a product at commercial-scale, or conduct sales and marketing activities necessary for successful product commercialization, or arrange for third parties to do these activities on our behalf. Consequently, predictions about our future success or viability may not be as accurate as they could be if we had a longer operating history or a history of successfully developing, obtaining marketing approval for and commercializing antiviral therapies.</w:t>
      </w:r>
    </w:p>
    <w:p>
      <w:pPr>
        <w:spacing w:after="0" w:line="8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obstacles. For example, due to changes in the COVID-19 landscape, we discontinued our Phase 3 MORNINGSKY trial in 2021. As we undertake additional development of a bemnifosbuvir COV19 product candidate, particularly if we advance a combination product, we may be required to conduct earlier-stage trials before we can advance to any late- or pivotal-stage clinical trials, and therefore will require additional time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1" w:name="page32"/>
    <w:bookmarkEnd w:id="31"/>
    <w:p>
      <w:pPr>
        <w:ind w:right="240"/>
        <w:spacing w:after="0" w:line="261" w:lineRule="auto"/>
        <w:rPr>
          <w:sz w:val="20"/>
          <w:szCs w:val="20"/>
          <w:color w:val="auto"/>
        </w:rPr>
      </w:pPr>
      <w:r>
        <w:rPr>
          <w:rFonts w:ascii="Arial" w:cs="Arial" w:eastAsia="Arial" w:hAnsi="Arial"/>
          <w:sz w:val="18"/>
          <w:szCs w:val="18"/>
          <w:color w:val="auto"/>
        </w:rPr>
        <w:t>resources, including the resources required to discover or acquire a product or product candidate that we can evaluate in combination with bemnifosbuvir. If we successfully develop and obtain approval of any product candidate, we will need to transition from a company with a research and development focus to a company capable of supporting commercial activities. We may not be successful in this transition.</w:t>
      </w:r>
    </w:p>
    <w:p>
      <w:pPr>
        <w:spacing w:after="0" w:line="5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As we continue to build our business, we expect our financial condition and operating results may fluctuate significantly from quarter to quarter and year to year due to a variety of factors, many of which are beyond our control. For example, the decision by Roche to terminate the Roche License Agreement also terminated Roche’s obligation, after February 10, 2022, the effective date of the termination of the Roche License Agreement, to share with us costs associated with the development of bemnifosbuvir for the treatment of COVID-19.</w:t>
      </w:r>
    </w:p>
    <w:p>
      <w:pPr>
        <w:spacing w:after="0" w:line="7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Additionally, as a further result of the termination of the Roche License Agreement, we will not receive any other revenue from Roche beyond the upfront payment we received in 2020 and the milestone payment we received in 2021. Accordingly, you should not rely upon the results included in this report or any other particular prior quarterly or annual period reports as indications of future operating performance.</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We have incurred significant operating expenses since inception and expect to incur significant additional operating expenses for the foreseeable future. We have no products that have generated any commercial revenue and we do not expect to maintain profitability in 2022 and for the foreseeable future.</w:t>
      </w:r>
    </w:p>
    <w:p>
      <w:pPr>
        <w:spacing w:after="0" w:line="44"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incurred significant operating expenses since our inception. For the six months ended June 30, 2022 and the year ended December 31, 2021, our operating expenses were $74.5 million and $213.0 million, respectively. In 2021, as a result of the termination by Roche of the Roche License Agreement, which resulted in the recognition of revenue for accounting purposes associated with the deferred revenue balance associated with upfront payment and the milestone payment we received from Roche, we recorded operating income for the year ended December 31, 2021. We do not expect to maintain operating income in 2022 and for the foreseeable future.</w:t>
      </w:r>
    </w:p>
    <w:p>
      <w:pPr>
        <w:spacing w:after="0" w:line="6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have not commercialized any products and have never generated any revenue from product sales. We have devoted almost all of our financial resources to research and development, including our clinical trials and preclinical development activities. We expect to continue to incur significant additional operating expenses and to incur operating losses in the remainder of 2022 and for the foreseeable future as we seek to advance product candidates through clinical development, continue preclinical development, expand our research and development activities, discover or acquire and develop new product candidates, acquire or in-license a drug or drug candidate for our bemnifosbuvir COV19 product candidate, complete preclinical studies and clinical trials, seek regulatory approval and, if we receive regulatory approval, commercialize our products.</w:t>
      </w:r>
    </w:p>
    <w:p>
      <w:pPr>
        <w:spacing w:after="0" w:line="6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order to obtain the FDA’s or a foreign regulatory authority’s approval to market any product candidate in the United States or abroad, respectively, we must submit to the FDA a New Drug Application (“NDA”) or similar application to the foreign regulatory authority demonstrating to the FDA’s or foreign regulatory authority’s satisfaction that the product candidate is safe and effective for its intended use(s). This demonstration requires significant research and extensive data from animal tests, which are referred to as nonclinical or preclinical studies, as well as human tests, which are referred to as clinical trials. Furthermore, the costs of advancing product candidates into each succeeding clinical phase tend to increase substantially over time. The total costs to advance any of our product candidates to marketing approval in even a single jurisdiction would be substantial and difficult to accurately predict. Because of the numerous risks and uncertainties associated with the development of drug products, we are unable to accurately predict the timing or amount of increased expenses or when, or if, we will be able to begin generating revenue from the commercialization of products or again achieve profitability. Our expenses will also increase substantially if or as we:</w:t>
      </w:r>
    </w:p>
    <w:p>
      <w:pPr>
        <w:spacing w:after="0" w:line="69" w:lineRule="exact"/>
        <w:rPr>
          <w:sz w:val="20"/>
          <w:szCs w:val="20"/>
          <w:color w:val="auto"/>
        </w:rPr>
      </w:pPr>
    </w:p>
    <w:p>
      <w:pPr>
        <w:ind w:left="1020" w:right="4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initiate additional clinical trials of our most advanced product candidate, bemnifosbuvir, for the treatment of patients with COVID-19;</w:t>
      </w:r>
    </w:p>
    <w:p>
      <w:pPr>
        <w:spacing w:after="0" w:line="32" w:lineRule="exact"/>
        <w:rPr>
          <w:rFonts w:ascii="Times New Roman" w:cs="Times New Roman" w:eastAsia="Times New Roman" w:hAnsi="Times New Roman"/>
          <w:sz w:val="18"/>
          <w:szCs w:val="18"/>
          <w:color w:val="auto"/>
        </w:rPr>
      </w:pPr>
    </w:p>
    <w:p>
      <w:pPr>
        <w:ind w:left="1020" w:right="220" w:hanging="503"/>
        <w:spacing w:after="0" w:line="260"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advance the development of our other product candidates, including the ongoing clinical development of AT-752 for the treatment of dengue, our planned clinical development of bemnifosbuvir in combination with ruzasvir for the treatment of HCV, and the preclinical development of potential other product candidates, including for the treatment of RSV;</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continue to discover and develop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and marketing approvals for product candidates that successfully complete clinical trials, if any;</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2" w:name="page33"/>
    <w:bookmarkEnd w:id="32"/>
    <w:p>
      <w:pPr>
        <w:ind w:left="1020" w:right="42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manufacturing and supply chain capacity sufficient to provide commercial quantities of any product candidates for which we may obtain marketing approval, if any;</w:t>
      </w:r>
    </w:p>
    <w:p>
      <w:pPr>
        <w:spacing w:after="0" w:line="32"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a sales, marketing, internal systems and distribution infrastructure to commercialize any products for which we may obtain regulatory approval, if any, in geographies in which we plan to commercialize our products ourselves or with co-promotion collaborators;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protect and enforce our intellectual property portfolio;</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86"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hire additional staff, including clinical, scientific, technical, regulatory, operational, financial, commercial and support personnel, to execute our business plan and support our product development and potential future commercialization efforts;</w:t>
      </w:r>
    </w:p>
    <w:p>
      <w:pPr>
        <w:spacing w:after="0" w:line="3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more extensively utilize external vendors for support with respect to research, development, manufacturing, commercialization, regulatory, pharmacovigilance and other functions;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acquire or in-license commercial products, additional product candidates and technologies;</w:t>
      </w:r>
    </w:p>
    <w:p>
      <w:pPr>
        <w:spacing w:after="0" w:line="116" w:lineRule="exact"/>
        <w:rPr>
          <w:rFonts w:ascii="Times New Roman" w:cs="Times New Roman" w:eastAsia="Times New Roman" w:hAnsi="Times New Roman"/>
          <w:sz w:val="18"/>
          <w:szCs w:val="18"/>
          <w:color w:val="auto"/>
        </w:rPr>
      </w:pPr>
    </w:p>
    <w:p>
      <w:pPr>
        <w:ind w:left="1020" w:right="920" w:hanging="503"/>
        <w:spacing w:after="0" w:line="270" w:lineRule="auto"/>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make milestone, royalty or other payments under the Merck License Agreement with respect to the development and commercialization of ruzasvir and any future in-license agreements relating to other product candidates; and</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and other expenses in operating our business as a public company.</w:t>
      </w:r>
    </w:p>
    <w:p>
      <w:pPr>
        <w:spacing w:after="0" w:line="116"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Furthermore, our ability to successfully develop, commercialize and license any products and generate product revenue is subject to substantial additional risks and uncertainties. Each of our product candidates and any future product candidate we may discover, license or otherwise acquire, will require additional preclinical and/or clinical development, regulatory approval in not less than one jurisdiction, the securing of manufacturing supply, capacity, distribution channels and expertise, the use of external vendors, the building of a commercial organization, substantial investment and significant marketing efforts before we generate any revenue from product sales. As a result, we expect to continue to incur operating expenses and use cash for operating activities for the foreseeable future. These operating expenses and use of cash have had, and will continue to have, an adverse effect on our working capital. Additionally, we may incur operating losses in future periods.</w:t>
      </w:r>
    </w:p>
    <w:p>
      <w:pPr>
        <w:spacing w:after="0" w:line="7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amount of future expenses or losses and our ability to achieve or maintain profitability in future years, if ever, are uncertain. We have no products that have generated any commercial revenue, do not expect to generate revenues from the commercial sale of products in the foreseeable future, and might never generate revenues from the sale of products. Our ability to generate product revenue and maintain profitability will depend on, among other things, successful completion of the clinical development of our product candidates; obtaining necessary regulatory approvals from the FDA and foreign regulatory authorities; establishing manufacturing and sales capabilities; market acceptance of our products, if approved, and establishing marketing infrastructure to commercialize our product candidates for which we obtain approval; and raising sufficient funds to finance our activities. We might not succeed at any of these undertakings. If we are unsuccessful at some or all of these undertakings, our business, prospects, and results of operations may be materially adversely affected.</w:t>
      </w:r>
    </w:p>
    <w:p>
      <w:pPr>
        <w:spacing w:after="0" w:line="87"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financing, which may not be available on acceptable terms, or at all. A failure to obtain this necessary capital when needed could force us to delay, limit, reduce or terminate our product development or commercialization efforts.</w:t>
      </w:r>
    </w:p>
    <w:p>
      <w:pPr>
        <w:spacing w:after="0" w:line="65"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color w:val="auto"/>
        </w:rPr>
        <w:t>Since inception, we have incurred substantial operating expenses. We expect to continue to incur substantial expenses to continue the clinical development of one or more bemnifosbuvir COV19 product candidates for the treatment of COVID-19, the combination of bemnifosbuvir and ruzasvir for the treatment of HCV and AT-752 for the treatment of dengue. Additionally, we expect to incur significant expenses in the future in connection with clinical trials for other product candidates and in our efforts to identify new product candidates, through internal discovery efforts or through acquisition or licensing.</w:t>
      </w:r>
    </w:p>
    <w:p>
      <w:pPr>
        <w:spacing w:after="0" w:line="69"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We will continue to need additional capital to fund future clinical trials and preclinical development, which we may raise through equity offerings, debt financings, marketing and distribution arrangements and other collaborations, strategic alliances and licensing arrangements or other sources. Additional sources of financing might not be available on favorable terms, if at all. If we do not succeed in raising additional funds on acceptable terms, we might be unable to initiate or complete planned clinical trials or seek regulatory approvals of any of our product candidates from the FDA, or any foreign regulatory authorities, and could be forced to discontinue product development. In addition, attempting to secure additional financing may divert the time and attention of our management from day-to-day activities and harm our product candidate development efforts.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3" w:name="page34"/>
    <w:bookmarkEnd w:id="33"/>
    <w:p>
      <w:pPr>
        <w:ind w:right="20"/>
        <w:spacing w:after="0" w:line="246" w:lineRule="auto"/>
        <w:rPr>
          <w:sz w:val="20"/>
          <w:szCs w:val="20"/>
          <w:color w:val="auto"/>
        </w:rPr>
      </w:pPr>
      <w:r>
        <w:rPr>
          <w:rFonts w:ascii="Arial" w:cs="Arial" w:eastAsia="Arial" w:hAnsi="Arial"/>
          <w:sz w:val="18"/>
          <w:szCs w:val="18"/>
          <w:color w:val="auto"/>
        </w:rPr>
        <w:t>Based on our current operating plan, we believe that our cash and cash equivalents as of June 30, 2022 will be sufficient to fund our operating expenses and capital expenditure requirements through at least 2025. This estimate is based on assumptions that may prove to be wrong, and we could use our available capital resources sooner than we currently expect. We will require significant additional funds in order to launch and commercialize our current and any future product candidates to the extent that such launch and commercialization are not the responsibility of a collaborator.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if approved, commercialization of any product candidate we develop.</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 but not limited to:</w:t>
      </w:r>
    </w:p>
    <w:p>
      <w:pPr>
        <w:spacing w:after="0" w:line="104" w:lineRule="exact"/>
        <w:rPr>
          <w:sz w:val="20"/>
          <w:szCs w:val="20"/>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costs associated with discovery, license or acquisition of a protease inhibitor or another direct acting antiviral product candidate to combine with bemnifosbuvir and develop for the treatment of patients with COVID-19;</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progress, results and costs of our preclinical studies and clinical trials;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and the costs involved in, obtaining marketing approvals for our current and future product candidates in regions where we choose to commercialize any products;</w:t>
      </w:r>
    </w:p>
    <w:p>
      <w:pPr>
        <w:spacing w:after="0" w:line="46" w:lineRule="exact"/>
        <w:rPr>
          <w:rFonts w:ascii="Times New Roman" w:cs="Times New Roman" w:eastAsia="Times New Roman" w:hAnsi="Times New Roman"/>
          <w:sz w:val="18"/>
          <w:szCs w:val="18"/>
          <w:color w:val="auto"/>
        </w:rPr>
      </w:pPr>
    </w:p>
    <w:p>
      <w:pPr>
        <w:ind w:left="1020" w:right="78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future product candidates and potential additional indications that we may pursue and their development requirements;</w:t>
      </w:r>
    </w:p>
    <w:p>
      <w:pPr>
        <w:spacing w:after="0" w:line="32"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stability, scale, yield and cost of manufacturing our product candidates for clinical trials, in preparation for regulatory approval and in preparation for commercialization;</w:t>
      </w:r>
    </w:p>
    <w:p>
      <w:pPr>
        <w:spacing w:after="0" w:line="59"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commercialization activities for any approved product candidate to the extent such costs are not the responsibility of any collaborators, including the costs and timing of establishing product sales, marketing, distribution and manufacturing capabilities;</w:t>
      </w:r>
    </w:p>
    <w:p>
      <w:pPr>
        <w:spacing w:after="0" w:line="76"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revenue, if any, received from commercial sales of our product candidates, should any of our product candidates receive marketing approval;</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changes in pharmaceutical pricing and reimbursement infrastructure;</w:t>
      </w:r>
    </w:p>
    <w:p>
      <w:pPr>
        <w:spacing w:after="0" w:line="11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subject to receipt of regulatory approval, revenue, if any, received from commercial sales for any approved indications for any of our product candidates;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with other therapies in the indications we target;</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in-license or acquire rights to products, product candidates or technologies in addition to ruzasvir;</w:t>
      </w:r>
    </w:p>
    <w:p>
      <w:pPr>
        <w:spacing w:after="0" w:line="116" w:lineRule="exact"/>
        <w:rPr>
          <w:rFonts w:ascii="Times New Roman" w:cs="Times New Roman" w:eastAsia="Times New Roman" w:hAnsi="Times New Roman"/>
          <w:sz w:val="18"/>
          <w:szCs w:val="18"/>
          <w:color w:val="auto"/>
        </w:rPr>
      </w:pPr>
    </w:p>
    <w:p>
      <w:pPr>
        <w:ind w:left="1020" w:right="48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growth of our headcount and associated costs as we expand our research and development capabilities and establish a commercial infrastructure;</w:t>
      </w:r>
    </w:p>
    <w:p>
      <w:pPr>
        <w:spacing w:after="0" w:line="46" w:lineRule="exact"/>
        <w:rPr>
          <w:rFonts w:ascii="Times New Roman" w:cs="Times New Roman" w:eastAsia="Times New Roman" w:hAnsi="Times New Roman"/>
          <w:sz w:val="18"/>
          <w:szCs w:val="18"/>
          <w:color w:val="auto"/>
        </w:rPr>
      </w:pPr>
    </w:p>
    <w:p>
      <w:pPr>
        <w:ind w:left="1020" w:right="160" w:hanging="503"/>
        <w:spacing w:after="0" w:line="286"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property-related claims; and</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the continued costs of operating as a public company.</w:t>
      </w:r>
    </w:p>
    <w:p>
      <w:pPr>
        <w:spacing w:after="0" w:line="103"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We cannot be certain that additional funding will be available on acceptable terms, or at all. The COVID-19 pandemic, including the evolution of new and existing variants of COVID-19, and geopolitical events, including civil or political unrest (such as the ongoing war between Ukraine and Russia), have resulted in a significant disruption of global financial markets. In addition, market volatility, inflation and interest rate fluctuations may increase our cost of financing or restrict our access to potential sources of future liquidity. If we are unable to raise additional capital in sufficient amounts, on terms acceptable to us, or on a timely basis, we may have to significantly delay, scale back or discontinue the development or commercialization of our product candidates or other research and development initiatives.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not generated any revenue from product sales and may not be able to achieve profitability.</w:t>
      </w:r>
    </w:p>
    <w:p>
      <w:pPr>
        <w:spacing w:after="0" w:line="11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Due to the recognition of revenue for accounting purposes of certain payments we received under the terminated Roche License Agreement, we recognized operating income for the year ended December 31, 2021, however, our ability to achieve and sustain future profitability depends upon our ability to generate revenue from product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4" w:name="page35"/>
    <w:bookmarkEnd w:id="34"/>
    <w:p>
      <w:pPr>
        <w:ind w:right="60"/>
        <w:spacing w:after="0" w:line="246" w:lineRule="auto"/>
        <w:rPr>
          <w:sz w:val="20"/>
          <w:szCs w:val="20"/>
          <w:color w:val="auto"/>
        </w:rPr>
      </w:pPr>
      <w:r>
        <w:rPr>
          <w:rFonts w:ascii="Arial" w:cs="Arial" w:eastAsia="Arial" w:hAnsi="Arial"/>
          <w:sz w:val="18"/>
          <w:szCs w:val="18"/>
          <w:color w:val="auto"/>
        </w:rPr>
        <w:t>sales. Other than from the Roche License Agreement, we have not generated any revenue and do not expect to generate product revenue unless or until we successfully complete clinical development and obtain regulatory approval of, and then successfully commercialize, at least one of our product candidates. Our product candidates are in varying stages of development, which may necessitate additional preclinical studies in some cases and in all cases will require additional clinical development as well as regulatory review and approval, substantial investment, access to sufficient commercial manufacturing capacity and significant marketing efforts before we can generate any revenue from product sales. Currently, we do not anticipate generating revenue from product sales for at least the next several years. Our ability to generate revenue depends on a number of factors, including, but not limited to:</w:t>
      </w:r>
    </w:p>
    <w:p>
      <w:pPr>
        <w:spacing w:after="0" w:line="81" w:lineRule="exact"/>
        <w:rPr>
          <w:sz w:val="20"/>
          <w:szCs w:val="20"/>
          <w:color w:val="auto"/>
        </w:rPr>
      </w:pPr>
    </w:p>
    <w:p>
      <w:pPr>
        <w:ind w:left="1020" w:right="26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timely initiation and completion of our clinical trials of a bemnifosbuvir COV19 product candidate, bemnifosbuvir and ruzasvir, and AT-752, our preclinical studies and other future clinical trials, which may be significantly slower or more costly than we currently anticipate and will depend substantially upon the performance of third-party contractors;</w:t>
      </w:r>
    </w:p>
    <w:p>
      <w:pPr>
        <w:spacing w:after="0" w:line="62" w:lineRule="exact"/>
        <w:rPr>
          <w:rFonts w:ascii="Times New Roman" w:cs="Times New Roman" w:eastAsia="Times New Roman" w:hAnsi="Times New Roman"/>
          <w:sz w:val="18"/>
          <w:szCs w:val="18"/>
          <w:color w:val="auto"/>
        </w:rPr>
      </w:pPr>
    </w:p>
    <w:p>
      <w:pPr>
        <w:ind w:left="1020" w:right="16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complete additional investigational new drug application (“IND”) enabling studies and successfully submit INDs or comparable applications to allow us to initiate clinical trials for our product candidates;</w:t>
      </w:r>
    </w:p>
    <w:p>
      <w:pPr>
        <w:spacing w:after="0" w:line="32" w:lineRule="exact"/>
        <w:rPr>
          <w:rFonts w:ascii="Times New Roman" w:cs="Times New Roman" w:eastAsia="Times New Roman" w:hAnsi="Times New Roman"/>
          <w:sz w:val="18"/>
          <w:szCs w:val="18"/>
          <w:color w:val="auto"/>
        </w:rPr>
      </w:pPr>
    </w:p>
    <w:p>
      <w:pPr>
        <w:ind w:left="1020" w:right="160" w:hanging="503"/>
        <w:spacing w:after="0" w:line="26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whether we are required by the FDA or similar foreign regulatory authorities to conduct additional clinical trials or other studies beyond those planned to support the approval and commercialization of our product candidates or any future product candidates;</w:t>
      </w:r>
    </w:p>
    <w:p>
      <w:pPr>
        <w:spacing w:after="0" w:line="55"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demonstrate to the satisfaction of the FDA or similar foreign regulatory authorities the safety and efficacy of our product candidates or any future product candidates;</w:t>
      </w:r>
    </w:p>
    <w:p>
      <w:pPr>
        <w:spacing w:after="0" w:line="59"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timely receipt of necessary marketing approvals from the FDA or similar foreign regulatory authorities;</w:t>
      </w:r>
    </w:p>
    <w:p>
      <w:pPr>
        <w:spacing w:after="0" w:line="11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perceived advantages and relative cost, convenience and efficacy of any bemnifosbuvir COV19 product, we may be able to commercialize, compared to other COVID-19 therapies as well as the accuracy and sufficiency of clinical evidence supporting its performance;</w:t>
      </w:r>
    </w:p>
    <w:p>
      <w:pPr>
        <w:spacing w:after="0" w:line="7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as potential antiviral therapies;</w:t>
      </w:r>
    </w:p>
    <w:p>
      <w:pPr>
        <w:spacing w:after="0" w:line="46"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(“cGMP”) or similar requirements outside the United States;</w:t>
      </w:r>
    </w:p>
    <w:p>
      <w:pPr>
        <w:spacing w:after="0" w:line="61" w:lineRule="exact"/>
        <w:rPr>
          <w:rFonts w:ascii="Times New Roman" w:cs="Times New Roman" w:eastAsia="Times New Roman" w:hAnsi="Times New Roman"/>
          <w:sz w:val="18"/>
          <w:szCs w:val="18"/>
          <w:color w:val="auto"/>
        </w:rPr>
      </w:pPr>
    </w:p>
    <w:p>
      <w:pPr>
        <w:jc w:val="both"/>
        <w:ind w:left="1020" w:right="340" w:hanging="503"/>
        <w:spacing w:after="0" w:line="260"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licensed for marketing, reimbursement, sale and distribution in such countries and territories, whether alone or in collaboration with others; and</w:t>
      </w:r>
    </w:p>
    <w:p>
      <w:pPr>
        <w:spacing w:after="0" w:line="55" w:lineRule="exact"/>
        <w:rPr>
          <w:rFonts w:ascii="Times New Roman" w:cs="Times New Roman" w:eastAsia="Times New Roman" w:hAnsi="Times New Roman"/>
          <w:sz w:val="18"/>
          <w:szCs w:val="18"/>
          <w:color w:val="auto"/>
        </w:rPr>
      </w:pPr>
    </w:p>
    <w:p>
      <w:pPr>
        <w:ind w:left="1020" w:right="240" w:hanging="503"/>
        <w:spacing w:after="0" w:line="286" w:lineRule="auto"/>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establish, maintain, protect and enforce intellectual property rights in and to our product candidates or any future product candidates.</w:t>
      </w:r>
    </w:p>
    <w:p>
      <w:pPr>
        <w:spacing w:after="0" w:line="32"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be able to maintain profitability after generating product sales or meet outside expectations for our profitability. If we are unable to achieve or sustain profitability or to meet outside expectations for our profitability, the value of our common stock will be materially adversely affected. In addition, if we are unable to generate sufficient revenue through the sale of any products, we may be unable to continue operations.</w:t>
      </w:r>
    </w:p>
    <w:p>
      <w:pPr>
        <w:spacing w:after="0" w:line="84"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Our ability to use our net operating loss carryforwards and other tax attributes to offset taxable income may be subject to certain limitations.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35" w:name="page36"/>
    <w:bookmarkEnd w:id="35"/>
    <w:p>
      <w:pPr>
        <w:ind w:right="120"/>
        <w:spacing w:after="0" w:line="261" w:lineRule="auto"/>
        <w:rPr>
          <w:sz w:val="20"/>
          <w:szCs w:val="20"/>
          <w:color w:val="auto"/>
        </w:rPr>
      </w:pPr>
      <w:r>
        <w:rPr>
          <w:rFonts w:ascii="Arial" w:cs="Arial" w:eastAsia="Arial" w:hAnsi="Arial"/>
          <w:sz w:val="18"/>
          <w:szCs w:val="18"/>
          <w:color w:val="auto"/>
        </w:rPr>
        <w:t>We utilized federal and state net operating loss carryforwards (“NOLs”) of approximately $52.8 million and $52.6 million, respectively, during the year ending December 31, 2021. We utilized federal and state research and development credit carryforwards of $0.7 million and $0.3 million, respectively during the year ended December 31, 2021.</w:t>
      </w:r>
    </w:p>
    <w:p>
      <w:pPr>
        <w:spacing w:after="0" w:line="5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In general, under Sections 382 and 383 of the Internal Revenue Code of 1986, as amended (the “Code”), a corporation that undergoes an “ownership change,” generally defined as a greater than 50% change by value in its equity ownership over a three-year period, is subject to limitations on its ability to utilize its pre-change NOLs and its research and development credit carryforwards to offset future taxable income. Our NOLs and research and development credit carryforwards may be subject to limitations arising from previous ownership changes, and if we undergo an ownership change, our ability to utilize NOLs (to the extent not previously utilized) and research and development credit carryforwards could be further limited by Sections 382 and 383 of the Code.</w:t>
      </w:r>
    </w:p>
    <w:p>
      <w:pPr>
        <w:spacing w:after="0" w:line="67"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We recently completed a Section 382 study for the fiscal year 2021, the results of which indicated that no ownership shift occurred during the year ended December 31, 2021. However, this conclusion could be challenged by tax authorities. In addition, future changes in our stock ownership, some of which might be beyond our control, could result in an ownership change under Sections 382 and 383 of the Code. For these reasons, we may not be able to utilize existing NOLs or research and development credit carryforwards or net operating losses and research and development credits that may be generated in the future.</w:t>
      </w:r>
    </w:p>
    <w:p>
      <w:pPr>
        <w:spacing w:after="0" w:line="84" w:lineRule="exact"/>
        <w:rPr>
          <w:sz w:val="20"/>
          <w:szCs w:val="20"/>
          <w:color w:val="auto"/>
        </w:rPr>
      </w:pPr>
    </w:p>
    <w:p>
      <w:pPr>
        <w:ind w:right="260"/>
        <w:spacing w:after="0" w:line="278" w:lineRule="auto"/>
        <w:rPr>
          <w:sz w:val="20"/>
          <w:szCs w:val="20"/>
          <w:color w:val="auto"/>
        </w:rPr>
      </w:pPr>
      <w:r>
        <w:rPr>
          <w:rFonts w:ascii="Arial" w:cs="Arial" w:eastAsia="Arial" w:hAnsi="Arial"/>
          <w:sz w:val="18"/>
          <w:szCs w:val="18"/>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3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Even if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w:t>
      </w:r>
    </w:p>
    <w:p>
      <w:pPr>
        <w:spacing w:after="0" w:line="175" w:lineRule="exact"/>
        <w:rPr>
          <w:sz w:val="20"/>
          <w:szCs w:val="20"/>
          <w:color w:val="auto"/>
        </w:rPr>
      </w:pPr>
    </w:p>
    <w:p>
      <w:pPr>
        <w:ind w:right="540"/>
        <w:spacing w:after="0" w:line="296" w:lineRule="auto"/>
        <w:rPr>
          <w:sz w:val="20"/>
          <w:szCs w:val="20"/>
          <w:color w:val="auto"/>
        </w:rPr>
      </w:pPr>
      <w:r>
        <w:rPr>
          <w:rFonts w:ascii="Arial" w:cs="Arial" w:eastAsia="Arial" w:hAnsi="Arial"/>
          <w:sz w:val="18"/>
          <w:szCs w:val="18"/>
          <w:b w:val="1"/>
          <w:bCs w:val="1"/>
          <w:color w:val="auto"/>
        </w:rPr>
        <w:t>Risks Related to the Discovery, Development, Preclinical and Clinical Testing, Manufacturing and Regulatory Approval of Our Product Candidates</w:t>
      </w:r>
    </w:p>
    <w:p>
      <w:pPr>
        <w:spacing w:after="0" w:line="18"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Our business is highly dependent on our ability to develop one or more bemnifosbuvir COV19 product candidates for the treatment of COVID-19. If we are not successful in developing a bemnifosbuvir COV19 product candidate, our business will be harmed. Our business is also highly dependent on the success of our other most advanced product candidates, including the combination of bemnifosbuvir and ruzasvir for the treatment of HCV, and AT-752 for the treatment of dengue, each of which will require significant additional clinical testing before we can seek regulatory approval and potentially launch commercial sales. If these product candidates fail in clinical development, do not receive regulatory approval or are not successfully commercialized, or are significantly delayed in doing so, our business will be harmed.</w:t>
      </w:r>
    </w:p>
    <w:p>
      <w:pPr>
        <w:spacing w:after="0" w:line="5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 substantial portion of our business and future success depends on our ability to develop one or more bemnifosbuvir COV19 product candidates for the treatment of COVID-19 and to develop, obtain regulatory approval for and successfully commercialize the combination of bemnifosbuvir and ruzasvir for the treatment of HCV and AT-752 for the treatment of dengue. We currently have no products that are approved for commercial sale and have not completed the development of any of our product candidates, and we may never be able to develop marketable products. During the near term we expect that a substantial portion of our efforts and expenditures will continue to be devoted to developing a potential bemnifosbuvir COV19 product candidate for the treatment of COVID-19. Among other things, this effort will require additional nonclinical and clinical development and expenses related to discovering, acquiring or in-licensing a drug or drug candidate to combine with bemnifosbuvir. COVID-19, while currently a global pandemic, is unpredictable and therapies, including any bemnifosbuvir COV19 product candidate, may be adversely impacted up to the point of obsolescence by the emergence of new variants or subvariants. Additionally, we expect that a substantial portion of our efforts and expenditures over the next few years will be devoted to developing the combination of bemnifosbuvir and ruzasvir for the treatment of HCV and AT-752 for the treatment of dengue, each of which will require additional clinical development, management of clinical, medical affairs and manufacturing activities, obtaining regulatory approvals in multiple jurisdictions, securing of manufacturing supply, building of a commercial organization, substantial investment and significant marketing efforts. We cannot be certain that any of our current or future product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6" w:name="page37"/>
    <w:bookmarkEnd w:id="36"/>
    <w:p>
      <w:pPr>
        <w:ind w:right="80"/>
        <w:spacing w:after="0" w:line="252" w:lineRule="auto"/>
        <w:rPr>
          <w:sz w:val="20"/>
          <w:szCs w:val="20"/>
          <w:color w:val="auto"/>
        </w:rPr>
      </w:pPr>
      <w:r>
        <w:rPr>
          <w:rFonts w:ascii="Arial" w:cs="Arial" w:eastAsia="Arial" w:hAnsi="Arial"/>
          <w:sz w:val="18"/>
          <w:szCs w:val="18"/>
          <w:color w:val="auto"/>
        </w:rPr>
        <w:t>candidates will be successful in clinical trials, receive regulatory approval or be successfully commercialized even if we receive regulatory approval. For example, a Phase 2 clinical trial evaluating bemnifosbuvir for the treatment of mild-to-moderate COVID-19 in outpatients failed to meet its primary endpoint in the overall study population. Further, our development of any product candidate may be delayed, which may affect our ability to successfully commercialize such product candidate.</w:t>
      </w:r>
    </w:p>
    <w:p>
      <w:pPr>
        <w:spacing w:after="0" w:line="76"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If our competitors develop products to treat diseases which our current or future product candidates are being developed to treat, before we are able to successfully develop a product candidate, or if our competitors develop any products that are superior to our product candidates, our potential market share could become smaller or non-existent. Even if we receive approval to market any product candidate, we cannot be certain that our product candidates will be as or more effective than other commercially available alternatives, successfully commercialized or widely accepted in the marketplace. Nor can we be certain that, if approved, the safety and efficacy profile of our product candidates will be consistent with the results observed in clinical trials or in the case of a bemnifosbuvir COV19 product candidate, that it will demonstrate efficacy against continuing mutations of the SARS-COV-2 virus, the causative agent of COVID-19. If we are not successful in the clinical development of our most advanced product candidates or in developing a bemnifosbuvir COV19 product candidate, the required regulatory approvals for these product candidates are not obtained, there are significant delays in the development or approval of these product candidates, or any approved products are not commercially successful, our business, financial condition and results of operations may be materially harmed.</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regulatory authorities are lengthy, expensive, time-consuming, and inherently unpredictable. If we are ultimately unable to obtain regulatory approval for our product candidates, we will be unable to generate product revenue and our business will be seriously harmed.</w:t>
      </w:r>
    </w:p>
    <w:p>
      <w:pPr>
        <w:spacing w:after="0" w:line="4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Foreign regulatory authorities impose similar requirements. 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clinical or other studies. We have not submitted an NDA for, or obtained regulatory approval of, any product candidate. We must complete additional preclinical or nonclinical studies and clinical trials to demonstrate the safety and efficacy of our product candidates in humans to the satisfaction of the regulatory authorities before we will be able to obtain these approvals, and it is possible that none of our existing product candidates or any product candidates we may seek to develop in the future will ever obtain regulatory approval. Applications for our product candidates could fail to receive regulatory approval for many reasons, including but not limited to the following:</w:t>
      </w:r>
    </w:p>
    <w:p>
      <w:pPr>
        <w:spacing w:after="0" w:line="67" w:lineRule="exact"/>
        <w:rPr>
          <w:sz w:val="20"/>
          <w:szCs w:val="20"/>
          <w:color w:val="auto"/>
        </w:rPr>
      </w:pPr>
    </w:p>
    <w:p>
      <w:pPr>
        <w:ind w:left="1020" w:right="2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implementation or interpretation of results of our clinical trials;</w:t>
      </w:r>
    </w:p>
    <w:p>
      <w:pPr>
        <w:spacing w:after="0" w:line="59" w:lineRule="exact"/>
        <w:rPr>
          <w:rFonts w:ascii="Times New Roman" w:cs="Times New Roman" w:eastAsia="Times New Roman" w:hAnsi="Times New Roman"/>
          <w:sz w:val="18"/>
          <w:szCs w:val="18"/>
          <w:color w:val="auto"/>
        </w:rPr>
      </w:pPr>
    </w:p>
    <w:p>
      <w:pPr>
        <w:jc w:val="both"/>
        <w:ind w:left="1020" w:hanging="503"/>
        <w:spacing w:after="0" w:line="25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w:t>
      </w:r>
    </w:p>
    <w:p>
      <w:pPr>
        <w:spacing w:after="0" w:line="76"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FDA or comparable foreign regulatory authorities that a product candidate’s clinical and other benefits outweigh its safety risks;</w:t>
      </w:r>
    </w:p>
    <w:p>
      <w:pPr>
        <w:spacing w:after="0" w:line="32" w:lineRule="exact"/>
        <w:rPr>
          <w:rFonts w:ascii="Times New Roman" w:cs="Times New Roman" w:eastAsia="Times New Roman" w:hAnsi="Times New Roman"/>
          <w:sz w:val="18"/>
          <w:szCs w:val="18"/>
          <w:color w:val="auto"/>
        </w:rPr>
      </w:pPr>
    </w:p>
    <w:p>
      <w:pPr>
        <w:ind w:left="1020" w:right="380" w:hanging="503"/>
        <w:spacing w:after="0" w:line="270"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37" w:name="page38"/>
    <w:bookmarkEnd w:id="37"/>
    <w:p>
      <w:pPr>
        <w:ind w:left="1020" w:right="400" w:hanging="503"/>
        <w:spacing w:after="0" w:line="286"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 and</w:t>
      </w:r>
    </w:p>
    <w:p>
      <w:pPr>
        <w:spacing w:after="0" w:line="32" w:lineRule="exact"/>
        <w:rPr>
          <w:rFonts w:ascii="Times New Roman" w:cs="Times New Roman" w:eastAsia="Times New Roman" w:hAnsi="Times New Roman"/>
          <w:sz w:val="18"/>
          <w:szCs w:val="18"/>
          <w:color w:val="auto"/>
        </w:rPr>
      </w:pPr>
    </w:p>
    <w:p>
      <w:pPr>
        <w:ind w:left="1020" w:right="640" w:hanging="503"/>
        <w:spacing w:after="0" w:line="27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60"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any of our product candidates, which would seriously harm our business. In addition, even if we or our collaborators were to obtain approval, regulatory authorities may approve any of our product candidates for fewer or more limited indications than we request, may impose significant limitations in the form of narrow indications, warnings, or a Risk Evaluation and Mitigation Strategy (“REMS”) or similar risk management measures. Regulatory authorities may not approve the price we or our collaborators intend to charge for products we may develop,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seriously harm our business.</w:t>
      </w:r>
    </w:p>
    <w:p>
      <w:pPr>
        <w:spacing w:after="0" w:line="74"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b w:val="1"/>
          <w:bCs w:val="1"/>
          <w:i w:val="1"/>
          <w:iCs w:val="1"/>
          <w:color w:val="auto"/>
        </w:rPr>
        <w:t>Clinical development, including enrollment of patients in clinical trials, is an expensive, lengthy and uncertain process. We may encounter substantial delays and costs in our clinical trials, or may not be able to conduct or complete our clinical trials on the timelines we expect, if at all.</w:t>
      </w:r>
    </w:p>
    <w:p>
      <w:pPr>
        <w:spacing w:after="0" w:line="4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Before obtaining marketing approval from the FDA or other comparable foreign regulatory authorities for the sale of our product candidates, we must complete preclinical development and extensive clinical trials to demonstrate the safety and efficacy of our product candidates. Clinical testing is expensive, time-consuming and subject to uncertainty. A failure of one or more clinical trials can occur at any stage of the process, such as the failure in October 2021 of bemnifosbuvir to meet the primary endpoint in the overall patient population in the Phase 2 MOONSONG clinical trial, and the outcome of preclinical studies and early-stage clinical trials may not be predictive of the success of later clinical trials. This is particularly true in the development of therapeutics for the treatment of COVID-19, including our development of one or more bemnifosbuvir COV19 product candidates, where the evolution of the virus and disease have occurred at such a rapid rate that product candidates in development have the potential to become obsolete before clinical development is completed. Moreover, preclinical and clinical data, particularly the analysis of exploratory endpoints and analysis of data derived from patient subgroups, such as the data from the MORNINGSKY study upon which we have relied to continue clinical development, are often susceptible to varying interpretations, and many companies that have believed their product candidates performed satisfactorily in preclinical studies and clinical trials have nonetheless failed to obtain marketing approval of their drugs. To date, we have not completed any late-stage or pivotal clinical trials for any of our product candidates. We cannot guarantee that any of our planned or ongoing clinical trials will be initiated or conducted as planned or completed on schedule, if at all. We also cannot be sure that submission of any future IND or similar application will result in the FDA or other regulatory authority, as applicable, allowing future clinical trials to begin in a timely manner, if at all. Moreover, even if these trials begin, issues may arise that could cause regulatory authorities to suspend or terminate such clinical trials. A failure of one or more clinical trials can occur at any stage of testing, and our future clinical trials may not be successful. Events that may prevent successful or timely initiation or completion of clinical trials include but are not limited to:</w:t>
      </w:r>
    </w:p>
    <w:p>
      <w:pPr>
        <w:spacing w:after="0" w:line="93" w:lineRule="exact"/>
        <w:rPr>
          <w:sz w:val="20"/>
          <w:szCs w:val="20"/>
          <w:color w:val="auto"/>
        </w:rPr>
      </w:pPr>
    </w:p>
    <w:p>
      <w:pPr>
        <w:ind w:left="1020" w:right="4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generate sufficient preclinical, toxicology, or other in vivo or in vitro data to support the initiation or continuation of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 consensus with regulatory authorities on study design or implementation of the clinical trials;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or failure in obtaining regulatory authorization to commence a trial;</w:t>
      </w:r>
    </w:p>
    <w:p>
      <w:pPr>
        <w:spacing w:after="0" w:line="102"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reaching agreement on acceptable terms with prospective CROs and clinical trial sites, the terms of which can be subject to extensive negotiation and may vary significantly among CROs and clinical trial sites;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identifying, recruiting and training suitable clinical investigators;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obtaining required institutional review board (“IRB”) or ethics committee approval at each clinical trial site;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recruiting, screening and enrolling suitable patients to participate in our clinical trials;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8" w:name="page39"/>
    <w:bookmarkEnd w:id="38"/>
    <w:p>
      <w:pPr>
        <w:ind w:left="1020" w:right="20" w:hanging="503"/>
        <w:spacing w:after="0" w:line="28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32" w:lineRule="exact"/>
        <w:rPr>
          <w:rFonts w:ascii="Times New Roman" w:cs="Times New Roman" w:eastAsia="Times New Roman" w:hAnsi="Times New Roman"/>
          <w:sz w:val="18"/>
          <w:szCs w:val="18"/>
          <w:color w:val="auto"/>
        </w:rPr>
      </w:pPr>
    </w:p>
    <w:p>
      <w:pPr>
        <w:ind w:left="1020" w:right="14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59" w:lineRule="exact"/>
        <w:rPr>
          <w:rFonts w:ascii="Times New Roman" w:cs="Times New Roman" w:eastAsia="Times New Roman" w:hAnsi="Times New Roman"/>
          <w:sz w:val="18"/>
          <w:szCs w:val="18"/>
          <w:color w:val="auto"/>
        </w:rPr>
      </w:pPr>
    </w:p>
    <w:p>
      <w:pPr>
        <w:ind w:left="1020" w:right="18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temporary or permanent clinical hold by regulatory authorities for a number of reasons, including after review of an IND or amendment or equivalent foreign application or amendment; as a result of a new safety finding that presents unreasonable risk to clinical trial participants; or a negative finding from an inspection of our clinical trial operations or study sites;</w:t>
      </w:r>
    </w:p>
    <w:p>
      <w:pPr>
        <w:spacing w:after="0" w:line="61"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76" w:lineRule="exact"/>
        <w:rPr>
          <w:rFonts w:ascii="Times New Roman" w:cs="Times New Roman" w:eastAsia="Times New Roman" w:hAnsi="Times New Roman"/>
          <w:sz w:val="18"/>
          <w:szCs w:val="18"/>
          <w:color w:val="auto"/>
        </w:rPr>
      </w:pPr>
    </w:p>
    <w:p>
      <w:pPr>
        <w:ind w:left="1020" w:right="36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caused by patients withdrawing from clinical trials or failing to return for post-treatment follow-up, including due to the COVID-19 pandemic or political unrest and war, including the current conflict between the Ukraine and Russia and any escalation or spillover into additional regions;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difficulty collaborating with patient groups and investigators;</w:t>
      </w:r>
    </w:p>
    <w:p>
      <w:pPr>
        <w:spacing w:after="0" w:line="102"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(“GCPs”), or applicable regulatory guidelines in other countries;</w:t>
      </w:r>
    </w:p>
    <w:p>
      <w:pPr>
        <w:spacing w:after="0" w:line="55" w:lineRule="exact"/>
        <w:rPr>
          <w:rFonts w:ascii="Times New Roman" w:cs="Times New Roman" w:eastAsia="Times New Roman" w:hAnsi="Times New Roman"/>
          <w:sz w:val="18"/>
          <w:szCs w:val="18"/>
          <w:color w:val="auto"/>
        </w:rPr>
      </w:pPr>
    </w:p>
    <w:p>
      <w:pPr>
        <w:ind w:left="1020" w:right="66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 of the same class of agents conducted by other companies;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to the clinical trial protocols;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sites deviating from trial protocol or dropping out of a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being greater than we anticipate;</w:t>
      </w:r>
    </w:p>
    <w:p>
      <w:pPr>
        <w:spacing w:after="0" w:line="10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32" w:lineRule="exact"/>
        <w:rPr>
          <w:rFonts w:ascii="Times New Roman" w:cs="Times New Roman" w:eastAsia="Times New Roman" w:hAnsi="Times New Roman"/>
          <w:sz w:val="18"/>
          <w:szCs w:val="18"/>
          <w:color w:val="auto"/>
        </w:rPr>
      </w:pPr>
    </w:p>
    <w:p>
      <w:pPr>
        <w:ind w:left="1020" w:right="4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transfer of manufacturing processes to larger-scale facilities operated by a CMO and delays or failure by our CMOs or us to make any necessary changes to such manufacturing process; and</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03"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difficulties or delays in initiating, enrolling, conducting or completing our planned and ongoing clinical trials. In particular, changes in the standard of care for the treatment of COVID-19, which is rapidly evolving due to the mutation of the virus, rapidly increasing knowledge being obtained by healthcare providers, rates and durability of vaccines, and availability of an increasing number of therapeutic options, may impact the initiation or successful completion of clinical trials.</w:t>
      </w:r>
    </w:p>
    <w:p>
      <w:pPr>
        <w:spacing w:after="0" w:line="82"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39" w:name="page40"/>
    <w:bookmarkEnd w:id="39"/>
    <w:p>
      <w:pPr>
        <w:ind w:right="220"/>
        <w:spacing w:after="0" w:line="287" w:lineRule="auto"/>
        <w:rPr>
          <w:sz w:val="20"/>
          <w:szCs w:val="20"/>
          <w:color w:val="auto"/>
        </w:rPr>
      </w:pPr>
      <w:r>
        <w:rPr>
          <w:rFonts w:ascii="Arial" w:cs="Arial" w:eastAsia="Arial" w:hAnsi="Arial"/>
          <w:sz w:val="18"/>
          <w:szCs w:val="18"/>
          <w:color w:val="auto"/>
        </w:rPr>
        <w:t>any approved products have patent protection and may allow our competitors to bring products to market before we do, which could impair our ability to successfully commercialize our product candidates and may seriously harm our business.</w:t>
      </w:r>
    </w:p>
    <w:p>
      <w:pPr>
        <w:spacing w:after="0" w:line="3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We could also encounter delays if a clinical trial is suspended or terminated by us, by the data safety monitoring board (“DSMB”)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6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Further, conducting clinical trials in foreign countries, as we expect to continue doing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62"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71"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Delays in the completion of any clinical trial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clinical trials that occur as a result could shorten any period during which we may have the exclusive right to commercialize our product candidates and our competitors may be able to bring products to market before we do, which could significantly reduce the commercial viability of our product candidates. Any of these occurrences may harm our business, financial condition and prospects significantly.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European Union (“EU”) recently evolved. The EU Clinical Trials Regulation (“CTR”) which was adopted in April 2014 and repeals the EU Clinical Trials Directive, became applicable on January 31, 2022. While the Clinical Trials Directive required a separate clinical trial application (“CTA”) to be submitted in each member state, to both the competent national health authority and an independent ethics committee, the CTR introduces a centralized process and only requires the submission of a single application to all member states concerned.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For clinical trials whose CTA was made under the Clinical Trials Directive before January 31, 2022, the Clinical Trials Directive will continue to apply on a transitional basis for three years. Additionally, sponsors may still choose to submit a CTA under either the Clinical Trials Directive or the CTR until January 31, 2023 and, if authorized, those will be governed by the Clinical Trials Directive until January 31, 2025. By that date, all ongoing trials will become subject to the provisions of the CTR. Compliance with the CTR requirements by us and our third-party service providers, such as clinical research organizations (“CROs”), may impact our developments plans.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0" w:name="page41"/>
    <w:bookmarkEnd w:id="40"/>
    <w:p>
      <w:pPr>
        <w:ind w:right="60"/>
        <w:spacing w:after="0" w:line="242" w:lineRule="auto"/>
        <w:rPr>
          <w:sz w:val="20"/>
          <w:szCs w:val="20"/>
          <w:color w:val="auto"/>
        </w:rPr>
      </w:pPr>
      <w:r>
        <w:rPr>
          <w:rFonts w:ascii="Arial" w:cs="Arial" w:eastAsia="Arial" w:hAnsi="Arial"/>
          <w:sz w:val="18"/>
          <w:szCs w:val="18"/>
          <w:color w:val="auto"/>
        </w:rPr>
        <w:t>It is currently unclear to what extent the United Kingdom (“UK”) will seek to align its regulations with the EU. The UK regulatory framework in relation to clinical trials is derived from existing EU legislation (as implemented into UK law, through secondary legislation). On January 17, 2022, the UK Medicines and Healthcare products Regulatory Agency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outcome of the consultation will be closely watched and will determine whether the UK chooses to align with the regulation or diverge from it to maintain regulatory flexibility. A decision by the UK not to closely align its regulations with the new approach that will be adopted in the EU may have an effect on the cost of conducting clinical trials in the UK as opposed to other countries and/or make it harder to seek a marketing authorization in the EU for our product candidates on the basis of clinical trials conducted in the UK.</w:t>
      </w:r>
    </w:p>
    <w:p>
      <w:pPr>
        <w:spacing w:after="0" w:line="3"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If we are slow or unable to adapt to changes in existing requirements or the adoption of new requirements or policies governing clinical trials, our development plans may also be impacted.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intend to develop our product candidates in combination with other therapies, which exposes us to additional risks.</w:t>
      </w:r>
    </w:p>
    <w:p>
      <w:pPr>
        <w:spacing w:after="0" w:line="102" w:lineRule="exact"/>
        <w:rPr>
          <w:sz w:val="20"/>
          <w:szCs w:val="20"/>
          <w:color w:val="auto"/>
        </w:rPr>
      </w:pPr>
    </w:p>
    <w:p>
      <w:pPr>
        <w:ind w:right="140"/>
        <w:spacing w:after="0" w:line="260" w:lineRule="auto"/>
        <w:rPr>
          <w:sz w:val="20"/>
          <w:szCs w:val="20"/>
          <w:color w:val="auto"/>
        </w:rPr>
      </w:pPr>
      <w:r>
        <w:rPr>
          <w:rFonts w:ascii="Arial" w:cs="Arial" w:eastAsia="Arial" w:hAnsi="Arial"/>
          <w:sz w:val="17"/>
          <w:szCs w:val="17"/>
          <w:color w:val="auto"/>
        </w:rPr>
        <w:t>For the treatment of COVID-19, we may in the future pursue development of a bemnifosbuvir COV19 product candidate, which may be a combination product. Even if any product candidate we develop was to receive marketing approval or be commercialized for use in combination with other existing therapies, we would continue to bear the risks that the FDA or similar foreign regulatory authorities could revoke approval of the therapy used in combination with our product candidate or that safety, efficacy, manufacturing or supply issues could arise with these existing therapies. Combination therapies are commonly used for the treatment of viral infections, and we would be subject to similar risks if we develop any of our product candidates for use in combination with other drugs or biologics. Developing combination therapies using approved therapeutics, as we may decide to do for our product candidates, also exposes us to additional clinical risks, such as the requirement that we demonstrate the safety and efficacy of each active component of any combination regimen we may develop.</w:t>
      </w:r>
    </w:p>
    <w:p>
      <w:pPr>
        <w:spacing w:after="0" w:line="7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For the treatment of HCV, we are currently pursuing development of bemnifosbuvir in combination with ruzasvir, a product candidate that has not yet been approved for marketing by the FDA or similar foreign regulatory authorities. We may not be able to market and sell any product candidate we develop in combination with any such unapproved therapies that do not ultimately obtain marketing approval.</w:t>
      </w:r>
    </w:p>
    <w:p>
      <w:pPr>
        <w:spacing w:after="0" w:line="7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If the FDA or similar foreign regulatory authorities do not approve these other combination agents or revoke their approval of, or if safety, efficacy, manufacturing, or supply issues arise with the drugs or biologics we choose to evaluate in combination with our product candidates, we may be unable to obtain approval of or market our product candidates for combination therapy regimens.</w:t>
      </w:r>
    </w:p>
    <w:p>
      <w:pPr>
        <w:spacing w:after="0" w:line="6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Additionally, if the third-party manufacturers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78" w:lineRule="exact"/>
        <w:rPr>
          <w:sz w:val="20"/>
          <w:szCs w:val="20"/>
          <w:color w:val="auto"/>
        </w:rPr>
      </w:pPr>
    </w:p>
    <w:p>
      <w:pPr>
        <w:jc w:val="both"/>
        <w:ind w:right="460"/>
        <w:spacing w:after="0" w:line="256" w:lineRule="auto"/>
        <w:rPr>
          <w:sz w:val="20"/>
          <w:szCs w:val="20"/>
          <w:color w:val="auto"/>
        </w:rPr>
      </w:pPr>
      <w:r>
        <w:rPr>
          <w:rFonts w:ascii="Arial" w:cs="Arial" w:eastAsia="Arial" w:hAnsi="Arial"/>
          <w:sz w:val="18"/>
          <w:szCs w:val="18"/>
          <w:b w:val="1"/>
          <w:bCs w:val="1"/>
          <w:i w:val="1"/>
          <w:iCs w:val="1"/>
          <w:color w:val="auto"/>
        </w:rPr>
        <w:t>Our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65" w:lineRule="exact"/>
        <w:rPr>
          <w:sz w:val="20"/>
          <w:szCs w:val="20"/>
          <w:color w:val="auto"/>
        </w:rPr>
      </w:pPr>
    </w:p>
    <w:p>
      <w:pPr>
        <w:jc w:val="both"/>
        <w:ind w:right="180"/>
        <w:spacing w:after="0" w:line="253" w:lineRule="auto"/>
        <w:rPr>
          <w:sz w:val="20"/>
          <w:szCs w:val="20"/>
          <w:color w:val="auto"/>
        </w:rPr>
      </w:pPr>
      <w:r>
        <w:rPr>
          <w:rFonts w:ascii="Arial" w:cs="Arial" w:eastAsia="Arial" w:hAnsi="Arial"/>
          <w:sz w:val="18"/>
          <w:szCs w:val="18"/>
          <w:color w:val="auto"/>
        </w:rPr>
        <w:t>Adverse events or other undesirable side effects caused by our product candidates could cause us, our collaborators, any DSMB for a trial, or regulatory authorities to interrupt, delay or halt clinical trials and could result in a more restrictive label or the delay or denial of regulatory approval by the FDA or other comparable foreign regulatory authorities.</w:t>
      </w:r>
    </w:p>
    <w:p>
      <w:pPr>
        <w:spacing w:after="0" w:line="7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1" w:name="page42"/>
    <w:bookmarkEnd w:id="41"/>
    <w:p>
      <w:pPr>
        <w:spacing w:after="0" w:line="245" w:lineRule="auto"/>
        <w:rPr>
          <w:sz w:val="20"/>
          <w:szCs w:val="20"/>
          <w:color w:val="auto"/>
        </w:rPr>
      </w:pPr>
      <w:r>
        <w:rPr>
          <w:rFonts w:ascii="Arial" w:cs="Arial" w:eastAsia="Arial" w:hAnsi="Arial"/>
          <w:sz w:val="18"/>
          <w:szCs w:val="18"/>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or require us to cease selling any product candidates or products for any or all targeted indications. If we are required to delay, suspend or terminate any clinical trial or commercialization efforts, the commercial prospects of such product candidates or products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69" w:lineRule="exact"/>
        <w:rPr>
          <w:sz w:val="20"/>
          <w:szCs w:val="20"/>
          <w:color w:val="auto"/>
        </w:rPr>
      </w:pPr>
    </w:p>
    <w:p>
      <w:pPr>
        <w:ind w:left="1020" w:right="2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suspend, limit or withdraw approvals of such product, or seek an injunction against its manufacture or distribution;</w:t>
      </w:r>
    </w:p>
    <w:p>
      <w:pPr>
        <w:spacing w:after="0" w:line="59" w:lineRule="exact"/>
        <w:rPr>
          <w:rFonts w:ascii="Times New Roman" w:cs="Times New Roman" w:eastAsia="Times New Roman" w:hAnsi="Times New Roman"/>
          <w:sz w:val="18"/>
          <w:szCs w:val="18"/>
          <w:color w:val="auto"/>
        </w:rPr>
      </w:pPr>
    </w:p>
    <w:p>
      <w:pPr>
        <w:ind w:left="1020" w:right="200" w:hanging="503"/>
        <w:spacing w:after="0" w:line="252"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change the way the product is administered or conduct additional clinical trials or post-approval studies;</w:t>
      </w:r>
    </w:p>
    <w:p>
      <w:pPr>
        <w:spacing w:after="0" w:line="102"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or similar risk management measures which could include a medication guide outlining the risks of such side effects for distribution to patients;</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fines, injunctions or the imposition of criminal penalties;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we could be sued and held liable for harm caused to patients;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116"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seriously harm our business, financial condition and results of operations.</w:t>
      </w:r>
    </w:p>
    <w:p>
      <w:pPr>
        <w:spacing w:after="0" w:line="48" w:lineRule="exact"/>
        <w:rPr>
          <w:sz w:val="20"/>
          <w:szCs w:val="20"/>
          <w:color w:val="auto"/>
        </w:rPr>
      </w:pPr>
    </w:p>
    <w:p>
      <w:pPr>
        <w:ind w:right="40"/>
        <w:spacing w:after="0" w:line="294"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adversely affected.</w:t>
      </w:r>
    </w:p>
    <w:p>
      <w:pPr>
        <w:spacing w:after="0" w:line="1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trial until its conclusion. The enrollment of patients depends on many factors, including but not limited to:</w:t>
      </w:r>
    </w:p>
    <w:p>
      <w:pPr>
        <w:spacing w:after="0" w:line="74"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patient eligibility criteria defined in the protocol;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target disease population;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proximity of patients to trial sites;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design of the trial;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6"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patient consents;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trials before trial completion; and</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52"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other factors outside of our control, such as the COVID-19 pandemic which has, among other things, created substantial burdens on healthcare providers who may be required to prioritize immediate critical patient care over clinical research and political unrest and war, including the current conflict between the Ukraine and Russia and any escalation or spillover into additional regions.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42" w:name="page43"/>
    <w:bookmarkEnd w:id="42"/>
    <w:p>
      <w:pPr>
        <w:ind w:right="20"/>
        <w:spacing w:after="0" w:line="251"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or similar areas,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at such clinical trial sites.</w:t>
      </w:r>
    </w:p>
    <w:p>
      <w:pPr>
        <w:spacing w:after="0" w:line="6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Delays in patient enrollment may result in increased costs or may affect the timing or outcome of our ongoing and planned clinical trials, which could prevent completion or commencement of these trials and adversely affect our ability to advance the development of our product candidates.</w:t>
      </w:r>
    </w:p>
    <w:p>
      <w:pPr>
        <w:spacing w:after="0" w:line="56"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We currently conduct clinical trials, and may in the future choose to conduct additional clinical trials, of our product candidates in sites outside the United States, and the FDA may not accept data from trials conducted in foreign locations.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We currently conduct, and expect in the future to conduct, clinical trials outside the United States for our product candidates.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there are risks inherent in conducting clinical trials in multiple jurisdictions, inside and outside of the United States, such as:</w:t>
      </w:r>
    </w:p>
    <w:p>
      <w:pPr>
        <w:spacing w:after="0" w:line="99" w:lineRule="exact"/>
        <w:rPr>
          <w:sz w:val="20"/>
          <w:szCs w:val="20"/>
          <w:color w:val="auto"/>
        </w:rPr>
      </w:pPr>
    </w:p>
    <w:p>
      <w:pPr>
        <w:ind w:left="1020" w:right="120" w:hanging="503"/>
        <w:spacing w:after="0" w:line="27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and administrative requirements of the jurisdiction where the trial is conducted that could burden or limit our ability to conduct our clinical trials;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foreign exchange fluctuations;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customs, shipment and storage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cultural differences in medical practice and clinical research; and</w:t>
      </w:r>
    </w:p>
    <w:p>
      <w:pPr>
        <w:spacing w:after="0" w:line="102"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the patient populations in such trials are not considered representative as compared to the patient population in the target markets where approval is being sought.</w:t>
      </w:r>
    </w:p>
    <w:p>
      <w:pPr>
        <w:spacing w:after="0" w:line="3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4"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Consequently, the top-line or preliminary data that we report may differ from final results reported from the same studies, or different conclusions or considerations may qualify such preliminary or topline data, once additional data have been received and fully evaluated. Top-line and preliminary data also remain subject to audit and verification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3" w:name="page44"/>
    <w:bookmarkEnd w:id="43"/>
    <w:p>
      <w:pPr>
        <w:ind w:right="400"/>
        <w:spacing w:after="0" w:line="253" w:lineRule="auto"/>
        <w:rPr>
          <w:sz w:val="20"/>
          <w:szCs w:val="20"/>
          <w:color w:val="auto"/>
        </w:rPr>
      </w:pPr>
      <w:r>
        <w:rPr>
          <w:rFonts w:ascii="Arial" w:cs="Arial" w:eastAsia="Arial" w:hAnsi="Arial"/>
          <w:sz w:val="18"/>
          <w:szCs w:val="18"/>
          <w:color w:val="auto"/>
        </w:rPr>
        <w:t>procedures that may result in the final results being materially different from the preliminary or topline data we previously published. As a result, top-line data should be viewed with caution until the final data are available.</w:t>
      </w:r>
    </w:p>
    <w:p>
      <w:pPr>
        <w:ind w:right="160"/>
        <w:spacing w:after="0" w:line="241"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subsequently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results could significantly harm our business prospects. Further, disclosure of interim data by us or by our competitors could result in volatility in the price of our common stock.</w:t>
      </w:r>
    </w:p>
    <w:p>
      <w:pPr>
        <w:spacing w:after="0" w:line="242"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w:t>
      </w:r>
    </w:p>
    <w:p>
      <w:pPr>
        <w:spacing w:after="0" w:line="71" w:lineRule="exact"/>
        <w:rPr>
          <w:sz w:val="20"/>
          <w:szCs w:val="20"/>
          <w:color w:val="auto"/>
        </w:rPr>
      </w:pPr>
    </w:p>
    <w:p>
      <w:pPr>
        <w:ind w:right="200"/>
        <w:spacing w:after="0" w:line="251" w:lineRule="auto"/>
        <w:rPr>
          <w:sz w:val="20"/>
          <w:szCs w:val="20"/>
          <w:color w:val="auto"/>
        </w:rPr>
      </w:pPr>
      <w:r>
        <w:rPr>
          <w:rFonts w:ascii="Arial" w:cs="Arial" w:eastAsia="Arial" w:hAnsi="Arial"/>
          <w:sz w:val="18"/>
          <w:szCs w:val="18"/>
          <w:color w:val="auto"/>
        </w:rPr>
        <w:t>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and successfully develop additional product candidates.</w:t>
      </w:r>
    </w:p>
    <w:p>
      <w:pPr>
        <w:spacing w:after="0" w:line="10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Part of our strategy involves identifying novel product candidates. The process by which we identify novel product candidates may fail to yield product candidates for clinical development for a number of reasons, including those discussed in these risk factors and also:</w:t>
      </w:r>
    </w:p>
    <w:p>
      <w:pPr>
        <w:spacing w:after="0" w:line="31"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competitors may develop alternatives that render our potential product candidates obsolete or less attractive;</w:t>
      </w:r>
    </w:p>
    <w:p>
      <w:pPr>
        <w:spacing w:after="0" w:line="116" w:lineRule="exact"/>
        <w:rPr>
          <w:rFonts w:ascii="Times New Roman" w:cs="Times New Roman" w:eastAsia="Times New Roman" w:hAnsi="Times New Roman"/>
          <w:sz w:val="18"/>
          <w:szCs w:val="18"/>
          <w:color w:val="auto"/>
        </w:rPr>
      </w:pPr>
    </w:p>
    <w:p>
      <w:pPr>
        <w:ind w:left="1020" w:right="28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candidates we develop may nevertheless be covered by third-parties’ patent or other intellectual property or exclusive rights;</w:t>
      </w:r>
    </w:p>
    <w:p>
      <w:pPr>
        <w:spacing w:after="0" w:line="46" w:lineRule="exact"/>
        <w:rPr>
          <w:rFonts w:ascii="Times New Roman" w:cs="Times New Roman" w:eastAsia="Times New Roman" w:hAnsi="Times New Roman"/>
          <w:sz w:val="18"/>
          <w:szCs w:val="18"/>
          <w:color w:val="auto"/>
        </w:rPr>
      </w:pPr>
    </w:p>
    <w:p>
      <w:pPr>
        <w:ind w:left="1020" w:right="120" w:hanging="503"/>
        <w:spacing w:after="0" w:line="317" w:lineRule="auto"/>
        <w:tabs>
          <w:tab w:leader="none" w:pos="1020" w:val="left"/>
        </w:tabs>
        <w:numPr>
          <w:ilvl w:val="0"/>
          <w:numId w:val="23"/>
        </w:numPr>
        <w:rPr>
          <w:rFonts w:ascii="Times New Roman" w:cs="Times New Roman" w:eastAsia="Times New Roman" w:hAnsi="Times New Roman"/>
          <w:sz w:val="17"/>
          <w:szCs w:val="17"/>
          <w:color w:val="auto"/>
        </w:rPr>
      </w:pPr>
      <w:r>
        <w:rPr>
          <w:rFonts w:ascii="Arial" w:cs="Arial" w:eastAsia="Arial" w:hAnsi="Arial"/>
          <w:sz w:val="17"/>
          <w:szCs w:val="17"/>
          <w:color w:val="auto"/>
        </w:rPr>
        <w:t>potential product candidates may, on further study, be shown to have harmful side effects, toxicities or other characteristics that indicate that they are unlikely to be products that will receive marketing approval or achieve market acceptance, if approved;</w:t>
      </w:r>
    </w:p>
    <w:p>
      <w:pPr>
        <w:spacing w:after="0" w:line="9"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candidates may not be effective in treating their targeted diseases or symptoms;</w:t>
      </w:r>
    </w:p>
    <w:p>
      <w:pPr>
        <w:spacing w:after="0" w:line="102"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for a potential product candidate may change so that the continued development of that product candidate is no longer reasonable;</w:t>
      </w:r>
    </w:p>
    <w:p>
      <w:pPr>
        <w:spacing w:after="0" w:line="5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a potential product candidate may not be capable of being produced in commercial quantities at an acceptable cost, or at all;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regulatory pathway for a potential product candidate is highly complex and difficult to navigate successfully or economically.</w:t>
      </w:r>
    </w:p>
    <w:p>
      <w:pPr>
        <w:spacing w:after="0" w:line="103"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If we are unable to identify and successfully commercialize additional suitable product candidates, this would adversely impact our business strategy and our financial position.</w:t>
      </w:r>
    </w:p>
    <w:p>
      <w:pPr>
        <w:spacing w:after="0" w:line="33"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may focus on potential product candidates that may prove to be unsuccessful and we may have to forego opportunities to develop other product candidates that may prove to be more successful.</w:t>
      </w:r>
    </w:p>
    <w:p>
      <w:pPr>
        <w:spacing w:after="0" w:line="4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may choose to focus our efforts and resources on a potential product candidate that ultimately proves to be unsuccessful, or to license or purchase a marketed product that does not meet our financial expectations. As a result, we may fail to capitalize on viable commercial products or profitable market opportunities, be required to forego or delay pursuit of opportunities with other product candidates or other diseases that may later prove to have greater commercial potential.</w:t>
      </w:r>
    </w:p>
    <w:p>
      <w:pPr>
        <w:spacing w:after="0" w:line="62" w:lineRule="exact"/>
        <w:rPr>
          <w:sz w:val="20"/>
          <w:szCs w:val="20"/>
          <w:color w:val="auto"/>
        </w:rPr>
      </w:pPr>
    </w:p>
    <w:p>
      <w:pPr>
        <w:ind w:right="360"/>
        <w:spacing w:after="0" w:line="271" w:lineRule="auto"/>
        <w:rPr>
          <w:sz w:val="20"/>
          <w:szCs w:val="20"/>
          <w:color w:val="auto"/>
        </w:rPr>
      </w:pPr>
      <w:r>
        <w:rPr>
          <w:rFonts w:ascii="Arial" w:cs="Arial" w:eastAsia="Arial" w:hAnsi="Arial"/>
          <w:sz w:val="18"/>
          <w:szCs w:val="18"/>
          <w:color w:val="auto"/>
        </w:rPr>
        <w:t>Furthermore, we have limited financial and personnel resources and are placing significant focus on the development of our lead product candidates, particularly a bemnifosbuvir COV19 product candidate for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4" w:name="page45"/>
    <w:bookmarkEnd w:id="44"/>
    <w:p>
      <w:pPr>
        <w:ind w:right="80"/>
        <w:spacing w:after="0" w:line="246" w:lineRule="auto"/>
        <w:rPr>
          <w:sz w:val="20"/>
          <w:szCs w:val="20"/>
          <w:color w:val="auto"/>
        </w:rPr>
      </w:pPr>
      <w:r>
        <w:rPr>
          <w:rFonts w:ascii="Arial" w:cs="Arial" w:eastAsia="Arial" w:hAnsi="Arial"/>
          <w:sz w:val="18"/>
          <w:szCs w:val="18"/>
          <w:color w:val="auto"/>
        </w:rPr>
        <w:t>treatment of COVID-19, bemnifosbuvir in combination with ruzasvir for the treatment of HCV and AT-752 for the treatment of dengue, and as such, we may forgo or delay pursuit of opportunities with other future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other future product candidates for specific indications may not yield any commercially viable future product candidates. If we do not accurately evaluate the commercial potential or target market for a particular future product candidate, we may relinquish valuable rights to those future product candidates through collaboration, licensing or other royalty arrangements in cases in which it would have been more advantageous for us to retain sole development and commercialization rights to such future product candidates.</w:t>
      </w:r>
    </w:p>
    <w:p>
      <w:pPr>
        <w:spacing w:after="0" w:line="73"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b w:val="1"/>
          <w:bCs w:val="1"/>
          <w:i w:val="1"/>
          <w:iCs w:val="1"/>
          <w:color w:val="auto"/>
        </w:rPr>
        <w:t>We may attempt to secure FDA approval of certain product candidates through the use of the accelerated approval pathway or similar expedited approval pathways outside the United States.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or similar expedited approval by foreign regulatory authorities, if our confirmatory trials do not verify clinical benefit, or if we do not comply with rigorous post-marketing requirements, the FDA or foreign regulatory authorities may seek to withdraw accelerated approval or similar expedited approval.</w:t>
      </w:r>
    </w:p>
    <w:p>
      <w:pPr>
        <w:spacing w:after="0" w:line="59"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are developing certain product candidates for the treatment of serious and life-threatening conditions, and therefore may decide to seek approval of such product candidates under the FDA’s accelerated approval pathway. A product candidate may be eligible for accelerated approval if it is designed to treat a serious or life-threatening disease or condition and generally provides a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w:t>
      </w:r>
    </w:p>
    <w:p>
      <w:pPr>
        <w:spacing w:after="0" w:line="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If the sponsor fails to conduct such studies in a timely manner, or if such post-approval studies fail to verify the drug’s predicted clinical benefit, the FDA may withdraw its approval of the drug on an expedited basis.</w:t>
      </w:r>
    </w:p>
    <w:p>
      <w:pPr>
        <w:spacing w:after="0" w:line="82"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the EU, a “conditional” marketing authorization may be granted in cases where all the required safety and efficacy data are not yet available. A conditional marketing authorization is subject to conditions to be fulfilled for generating missing data or ensuring increased safety measures. A conditional marketing authorization is valid for one year and has to be renewed annually until fulfillment of all relevant conditions. Once the applicable pending studies are provided, a conditional marketing authorization can become a “standard” marketing authorization. However, if the conditions are not fulfilled within the timeframe set by the European Medicines Agency (“EMA”), the marketing authorization will cease to be renewed. Furthermore, marketing authorizations may also be granted “under exceptional circumstances” when the applicant can show that it is unable to provide comprehensive data on the efficacy and safety under normal conditions of use even after the product has been authorized and subject to the introduction of specific procedures. This may arise when the intended indications are very rare and, in the present state of scientific knowledge, it is not possible to provide comprehensive information, or when generating data may be contrary to generally accepted ethical principles. This type of marketing authorization is close to a conditional marketing authorization as it is reserved to medicinal products to be approved for severe diseases or unmet medical needs and the applicant does not hold the complete data set legally required for the grant of a marketing authorization. However, unlike a conditional marketing authorization, the applicant does not have to provide the missing data and will never have to. Although a marketing authorization “under exceptional circumstances” is granted definitively, the risk-benefit balance of the medicinal product is reviewed annually and the marketing authorization may be withdrawn where the risk-benefit ratio is no longer favorable.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5" w:name="page46"/>
    <w:bookmarkEnd w:id="45"/>
    <w:p>
      <w:pPr>
        <w:spacing w:after="0" w:line="251" w:lineRule="auto"/>
        <w:rPr>
          <w:sz w:val="20"/>
          <w:szCs w:val="20"/>
          <w:color w:val="auto"/>
        </w:rPr>
      </w:pPr>
      <w:r>
        <w:rPr>
          <w:rFonts w:ascii="Arial" w:cs="Arial" w:eastAsia="Arial" w:hAnsi="Arial"/>
          <w:sz w:val="18"/>
          <w:szCs w:val="18"/>
          <w:color w:val="auto"/>
        </w:rPr>
        <w:t>If we decide to submit an NDA seeking accelerated approval or receive an expedited regulatory designation for our product candidates, there can be no assurance that such submission or application will be accepted or that any expedited development, review or approval will be granted on a timely basis, or at all. Failure to obtain accelerated approval or any other form of expedited development, review or approval for a product candidate would result in a longer time period to commercialization of such product candidate, if any, and could increase the cost of development of such product candidate, which could harm our competitive position in the marketplace.</w:t>
      </w:r>
    </w:p>
    <w:p>
      <w:pPr>
        <w:spacing w:after="0" w:line="67" w:lineRule="exact"/>
        <w:rPr>
          <w:sz w:val="20"/>
          <w:szCs w:val="20"/>
          <w:color w:val="auto"/>
        </w:rPr>
      </w:pPr>
    </w:p>
    <w:p>
      <w:pPr>
        <w:ind w:right="660"/>
        <w:spacing w:after="0" w:line="264"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future collaboration partners from obtaining approvals for the commercialization of any product candidate we develop.</w:t>
      </w:r>
    </w:p>
    <w:p>
      <w:pPr>
        <w:spacing w:after="0" w:line="4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Any product candidates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Any product candidates we develop may not be effective, may be only moderately effective, or may prove to have undesirable or unintended side effects, toxicities or other characteristics that may preclude our obtaining marketing approval or prevent or limit commercial use. Failure to obtain marketing approval for a product candidate will prevent us from commercializing the product candidate in a given jurisdiction. Our development programs are early-stage and we have not received approval to market any product candidates from regulatory authorities in any jurisdiction. It is possible that none of the product candidates we are developing or that we may seek to develop in the future will ever obtain regulatory approval. We have no experience in filing and supporting the applications necessary to gain marketing approvals and expect to rely on third-party CROs, suppliers, vendors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w:t>
      </w:r>
    </w:p>
    <w:p>
      <w:pPr>
        <w:spacing w:after="0" w:line="70"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numerous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w:t>
      </w:r>
      <w:r>
        <w:rPr>
          <w:rFonts w:ascii="Arial" w:cs="Arial" w:eastAsia="Arial" w:hAnsi="Arial"/>
          <w:sz w:val="18"/>
          <w:szCs w:val="18"/>
          <w:b w:val="1"/>
          <w:bCs w:val="1"/>
          <w:color w:val="auto"/>
        </w:rPr>
        <w:t>.</w:t>
      </w:r>
      <w:r>
        <w:rPr>
          <w:rFonts w:ascii="Arial" w:cs="Arial" w:eastAsia="Arial" w:hAnsi="Arial"/>
          <w:sz w:val="18"/>
          <w:szCs w:val="18"/>
          <w:color w:val="auto"/>
        </w:rPr>
        <w:t xml:space="preserve"> For instance, the EU pharmaceutical legislation is currently undergoing a complete review process, in the context of the Pharmaceutical Strategy for Europe initiative, launched by the European Commission in November 2020. A proposal for revision of several legislative instruments related to medicinal products (potentially revising the duration of regulatory exclusivity, eligibility for expedited pathways, etc.) is expected to be adopted by the European Commission by the end of 2022. The proposed revisions, once they are agreed and adopted by the European Parliament and European Council (not expected before the end of 2024) may have a significant impact on the pharmaceutical industry in the long term.</w:t>
      </w:r>
    </w:p>
    <w:p>
      <w:pPr>
        <w:spacing w:after="0" w:line="69" w:lineRule="exact"/>
        <w:rPr>
          <w:sz w:val="20"/>
          <w:szCs w:val="20"/>
          <w:color w:val="auto"/>
        </w:rPr>
      </w:pPr>
    </w:p>
    <w:p>
      <w:pPr>
        <w:ind w:right="240"/>
        <w:spacing w:after="0" w:line="247" w:lineRule="auto"/>
        <w:rPr>
          <w:sz w:val="20"/>
          <w:szCs w:val="20"/>
          <w:color w:val="auto"/>
        </w:rPr>
      </w:pPr>
      <w:r>
        <w:rPr>
          <w:rFonts w:ascii="Arial" w:cs="Arial" w:eastAsia="Arial" w:hAnsi="Arial"/>
          <w:sz w:val="18"/>
          <w:szCs w:val="18"/>
          <w:color w:val="auto"/>
        </w:rPr>
        <w:t>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82" w:lineRule="exact"/>
        <w:rPr>
          <w:sz w:val="20"/>
          <w:szCs w:val="20"/>
          <w:color w:val="auto"/>
        </w:rPr>
      </w:pPr>
    </w:p>
    <w:p>
      <w:pPr>
        <w:ind w:right="480"/>
        <w:spacing w:after="0" w:line="301" w:lineRule="auto"/>
        <w:rPr>
          <w:sz w:val="20"/>
          <w:szCs w:val="20"/>
          <w:color w:val="auto"/>
        </w:rPr>
      </w:pPr>
      <w:r>
        <w:rPr>
          <w:rFonts w:ascii="Arial" w:cs="Arial" w:eastAsia="Arial" w:hAnsi="Arial"/>
          <w:sz w:val="17"/>
          <w:szCs w:val="17"/>
          <w:color w:val="auto"/>
        </w:rPr>
        <w:t>If we experience delays in obtaining approval or if we fail to obtain approval of any product candidates we may develop, the commercial prospects for those product candidates may be harmed, and our ability to generate product revenue will be materially impaired.</w:t>
      </w:r>
    </w:p>
    <w:p>
      <w:pPr>
        <w:spacing w:after="0" w:line="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b w:val="1"/>
          <w:bCs w:val="1"/>
          <w:i w:val="1"/>
          <w:iCs w:val="1"/>
          <w:color w:val="auto"/>
        </w:rPr>
        <w:t>We may seek an EUA from the FDA or comparable emergency use authorizations from foreign regulatory authorities with respect to our bemnifosbuvir COV19 product candidate in development for the treatment of COVID-19, and if we fail to obtain or maintain such authorizations, we may be required to pursue a more lengthy clinical development process than we expect, and our business may be harmed</w:t>
      </w:r>
      <w:r>
        <w:rPr>
          <w:rFonts w:ascii="Arial" w:cs="Arial" w:eastAsia="Arial" w:hAnsi="Arial"/>
          <w:sz w:val="18"/>
          <w:szCs w:val="18"/>
          <w:color w:val="auto"/>
        </w:rPr>
        <w:t>.</w:t>
      </w:r>
    </w:p>
    <w:p>
      <w:pPr>
        <w:spacing w:after="0" w:line="53"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may seek an EUA from the FDA or comparable emergency use authorizations from other foreign regulatory authorities with respect to our bemnifosbuvir COV19 product candidate. The FDA has the authority to issue an EUA only under certain circumstances, such as during a public health emergency, pursuant to a declaration by the Secretary of the Department of Health and Human Services, or HHS, that an emergency exists justifying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6" w:name="page47"/>
    <w:bookmarkEnd w:id="46"/>
    <w:p>
      <w:pPr>
        <w:ind w:right="20"/>
        <w:spacing w:after="0" w:line="261" w:lineRule="auto"/>
        <w:rPr>
          <w:sz w:val="20"/>
          <w:szCs w:val="20"/>
          <w:color w:val="auto"/>
        </w:rPr>
      </w:pPr>
      <w:r>
        <w:rPr>
          <w:rFonts w:ascii="Arial" w:cs="Arial" w:eastAsia="Arial" w:hAnsi="Arial"/>
          <w:sz w:val="17"/>
          <w:szCs w:val="17"/>
          <w:color w:val="auto"/>
        </w:rPr>
        <w:t>issuance of EUAs for certain types of products (referred to as EUA declarations). On March 27, 2020, the Secretary of HHS declared that circumstances exist justifying authorization of drugs and biologics during the COVID-19 pandemic, subject to the terms of any EUA that is issued for a specific product. Once an EUA declaration has been issued and remains in place, the FDA can issue EUAs for products that fall within the scope of that declaration. To issue an EUA, the FDA Commissioner must conclude that (1) the chemical, biological, radioactive or nuclear agent, or CBRN, that is referred to in the EUA declaration can cause serious or life-threatening diseases or conditions; (2) based on the totality of scientific evidence available, it is reasonable to believe that the product may be effective in diagnosing, treating, or preventing the disease or condition attributable to the CBRN and that the product’s known and potential benefits outweigh its known and potential risks; and (3) there is no adequate, approved, and available alternative to the product. Currently there are two oral direct acting antivirals Paxlovid</w:t>
      </w:r>
      <w:r>
        <w:rPr>
          <w:rFonts w:ascii="Arial" w:cs="Arial" w:eastAsia="Arial" w:hAnsi="Arial"/>
          <w:sz w:val="17"/>
          <w:szCs w:val="17"/>
          <w:color w:val="212529"/>
        </w:rPr>
        <w:t>™</w:t>
      </w:r>
      <w:r>
        <w:rPr>
          <w:rFonts w:ascii="Arial" w:cs="Arial" w:eastAsia="Arial" w:hAnsi="Arial"/>
          <w:sz w:val="17"/>
          <w:szCs w:val="17"/>
          <w:color w:val="auto"/>
        </w:rPr>
        <w:t xml:space="preserve"> (nirmatrelvir and ritonavir) and </w:t>
      </w:r>
      <w:r>
        <w:rPr>
          <w:rFonts w:ascii="Arial" w:cs="Arial" w:eastAsia="Arial" w:hAnsi="Arial"/>
          <w:sz w:val="17"/>
          <w:szCs w:val="17"/>
          <w:color w:val="212529"/>
        </w:rPr>
        <w:t>LAGEVRIO™ (molnupiravir)</w:t>
      </w:r>
      <w:r>
        <w:rPr>
          <w:rFonts w:ascii="Arial" w:cs="Arial" w:eastAsia="Arial" w:hAnsi="Arial"/>
          <w:sz w:val="17"/>
          <w:szCs w:val="17"/>
          <w:color w:val="auto"/>
        </w:rPr>
        <w:t xml:space="preserve"> authorized for emergency use for high risk COVID-19 patients.</w:t>
      </w:r>
    </w:p>
    <w:p>
      <w:pPr>
        <w:spacing w:after="0" w:line="58"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color w:val="auto"/>
        </w:rPr>
        <w:t>The FDA’s standards for granting an EUA are lower than for approving NDAs in accordance with traditional review procedures, and even if we seek and obtain an EUA for one or more of our product candidates, we cannot assure you that the FDA would approve a NDA for such product candidate, if such approval is required. Accordingly, even if we obtain an EUA for a bemnifosbuvir COV19 product candidate, we may be required to conduct additional clinical trials before we are able to submit an NDA or comparable marketing applications for such product candidate.</w:t>
      </w:r>
    </w:p>
    <w:p>
      <w:pPr>
        <w:spacing w:after="0" w:line="8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the authorization to market products under an EUA is limited to the period of time the EUA declaration is in effect, and the FDA can revoke an EUA in certain circumstances. The FDA’s policies regarding an EUA can change unexpectedly. We cannot predict how long any authorization, if obtained, will remain in place. The FDA’s policies regarding vaccines and other products used to diagnose, treat or mitigate COVID-19 remain in flux as the FDA responds to new and evolving public health information and clinical evidence.</w:t>
      </w:r>
    </w:p>
    <w:p>
      <w:pPr>
        <w:spacing w:after="0" w:line="6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Therefore, even if we obtain an EUA or other emergency authorizations for a bemnifosbuvir COV19 product candidate, it is possible that such EUA or other authorizations may be revoked and we may be required to cease any commercialization activities, which would adversely impact our business, financial condition and results of operations.</w:t>
      </w:r>
    </w:p>
    <w:p>
      <w:pPr>
        <w:spacing w:after="0" w:line="56"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Even if we obtain FDA approval of any of our product candidates, we may never obtain approval or commercialize such products outside of the United States, which would limit our ability to realize their full market potential.</w:t>
      </w:r>
    </w:p>
    <w:p>
      <w:pPr>
        <w:spacing w:after="0" w:line="4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In order to market any products outside of the United States, we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time-consuming. Regulatory requirements can vary widely from country to country and could delay or prevent the introduction of our products in those countries. Satisfying these and other regulatory requirements is costly, time-consuming,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76" w:lineRule="exact"/>
        <w:rPr>
          <w:sz w:val="20"/>
          <w:szCs w:val="20"/>
          <w:color w:val="auto"/>
        </w:rPr>
      </w:pPr>
    </w:p>
    <w:p>
      <w:pPr>
        <w:ind w:right="160"/>
        <w:spacing w:after="0" w:line="294" w:lineRule="auto"/>
        <w:rPr>
          <w:sz w:val="20"/>
          <w:szCs w:val="20"/>
          <w:color w:val="auto"/>
        </w:rPr>
      </w:pPr>
      <w:r>
        <w:rPr>
          <w:rFonts w:ascii="Arial" w:cs="Arial" w:eastAsia="Arial" w:hAnsi="Arial"/>
          <w:sz w:val="18"/>
          <w:szCs w:val="18"/>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7"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For example, current approved antiviral products are well established in the medical community for the treatment of HCV and oral antivirals have been recently authorized for the treatment of COVID-19, and doctors may continue to rely on these therapies. If the product candidates we develop do not achieve an adequate level of acceptance, we may not generate significant</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31" w:right="419" w:bottom="1440" w:gutter="0" w:footer="0" w:header="0"/>
        </w:sectPr>
      </w:pPr>
    </w:p>
    <w:bookmarkStart w:id="47" w:name="page48"/>
    <w:bookmarkEnd w:id="47"/>
    <w:p>
      <w:pPr>
        <w:spacing w:after="0" w:line="287" w:lineRule="auto"/>
        <w:rPr>
          <w:sz w:val="20"/>
          <w:szCs w:val="20"/>
          <w:color w:val="auto"/>
        </w:rPr>
      </w:pPr>
      <w:r>
        <w:rPr>
          <w:rFonts w:ascii="Arial" w:cs="Arial" w:eastAsia="Arial" w:hAnsi="Arial"/>
          <w:sz w:val="18"/>
          <w:szCs w:val="18"/>
          <w:color w:val="auto"/>
        </w:rPr>
        <w:t>product revenues and we may not become profitable. The degree of market acceptance of any product candidate, if approved for commercial sale, will depend on a number of factors, including but not limited to:</w:t>
      </w:r>
    </w:p>
    <w:p>
      <w:pPr>
        <w:spacing w:after="0" w:line="31"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efficacy and potential advantages compared to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offer our products, if approved, for sale at competitive prices;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convenience and ease of administration compared to alternative treatments;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strength of marketing and distribution support;</w:t>
      </w:r>
    </w:p>
    <w:p>
      <w:pPr>
        <w:spacing w:after="0" w:line="116" w:lineRule="exact"/>
        <w:rPr>
          <w:rFonts w:ascii="Times New Roman" w:cs="Times New Roman" w:eastAsia="Times New Roman" w:hAnsi="Times New Roman"/>
          <w:sz w:val="18"/>
          <w:szCs w:val="18"/>
          <w:color w:val="auto"/>
        </w:rPr>
      </w:pPr>
    </w:p>
    <w:p>
      <w:pPr>
        <w:ind w:left="1020" w:right="7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adoption of a companion diagnostic and/or complementary diagnostic;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any side effects.</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Disruptions at the FDA and foreign regulatory authorities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6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ability of the FDA and foreign regulatory authorities to review or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including a rapid substantial influx of applications from numerous sponsors as occurred with COVID-19.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69"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Separately, in response to the COVID-19 pandemic, in March 2020, the FDA temporarily postponed routine surveillance inspections of domestic and foreign manufacturing facilities. Subsequently, in July 2020, the FDA 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 the FDA may request such remote interactive evaluations where the FDA determines that remote evaluation would be appropriate based on mission needs and travel limitations. In July 2021, the FDA resumed standard inspectional operations of domestic facilities. More recently, the FDA has continued to monitor and implement changes to its inspectional activities to ensure the safety of its employees and those of the firms it regulates as it adapts to the evolving COVID-19 pandemic.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7" w:lineRule="exact"/>
        <w:rPr>
          <w:sz w:val="20"/>
          <w:szCs w:val="20"/>
          <w:color w:val="auto"/>
        </w:rPr>
      </w:pPr>
    </w:p>
    <w:p>
      <w:pPr>
        <w:ind w:right="640"/>
        <w:spacing w:after="0" w:line="294" w:lineRule="auto"/>
        <w:rPr>
          <w:sz w:val="20"/>
          <w:szCs w:val="20"/>
          <w:color w:val="auto"/>
        </w:rPr>
      </w:pPr>
      <w:r>
        <w:rPr>
          <w:rFonts w:ascii="Arial" w:cs="Arial" w:eastAsia="Arial" w:hAnsi="Arial"/>
          <w:sz w:val="18"/>
          <w:szCs w:val="18"/>
          <w:b w:val="1"/>
          <w:bCs w:val="1"/>
          <w:i w:val="1"/>
          <w:iCs w:val="1"/>
          <w:color w:val="auto"/>
        </w:rPr>
        <w:t>Our insurance policies are expensive and protect us only from some business risks, which leaves us exposed to significant uninsured liabilities.</w:t>
      </w:r>
    </w:p>
    <w:p>
      <w:pPr>
        <w:spacing w:after="0" w:line="17"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Though we have insurance coverage for clinical trial product liability, we do not carry insurance for all categories of risk that our business may encounter. Some of the policies we currently maintain include general liability, property, auto, workers’ compensation, umbrella, and directors’ and officers’ insurance.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48" w:name="page49"/>
    <w:bookmarkEnd w:id="48"/>
    <w:p>
      <w:pPr>
        <w:ind w:right="20"/>
        <w:spacing w:after="0" w:line="243" w:lineRule="auto"/>
        <w:rPr>
          <w:sz w:val="20"/>
          <w:szCs w:val="20"/>
          <w:color w:val="auto"/>
        </w:rPr>
      </w:pPr>
      <w:r>
        <w:rPr>
          <w:rFonts w:ascii="Arial" w:cs="Arial" w:eastAsia="Arial" w:hAnsi="Arial"/>
          <w:sz w:val="18"/>
          <w:szCs w:val="18"/>
          <w:color w:val="auto"/>
        </w:rPr>
        <w:t>Any additional product liability insurance coverage we acquire in the future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we obtain marketing approval for any of our product candidates, we intend to acquire insurance coverage to include the sale of commercial products; however, we may be unable to obtain product liability insurance on commercially reasonable terms or in adequate amounts. A successful product liability claim or series of claims brought against us could cause our stock price to decline and, if judgments exceed our insurance coverage, could adversely affect our results of operations and business, including preventing or limiting the development and commercialization of any product candidates we develop.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w:t>
      </w:r>
    </w:p>
    <w:p>
      <w:pPr>
        <w:spacing w:after="0" w:line="8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Operating as a public company has and will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people to serve on our board of directors, our board committees or as executive officers. We do not know, however, if we will be able to maintain existing insurance with adequate levels of coverage. Any significant uninsured liability may require us to pay substantial amounts, which would adversely affect our cash and cash equivalents position and results of operations.</w:t>
      </w:r>
    </w:p>
    <w:p>
      <w:pPr>
        <w:spacing w:after="0" w:line="84" w:lineRule="exact"/>
        <w:rPr>
          <w:sz w:val="20"/>
          <w:szCs w:val="20"/>
          <w:color w:val="auto"/>
        </w:rPr>
      </w:pPr>
    </w:p>
    <w:p>
      <w:pPr>
        <w:ind w:right="500"/>
        <w:spacing w:after="0" w:line="278" w:lineRule="auto"/>
        <w:rPr>
          <w:sz w:val="20"/>
          <w:szCs w:val="20"/>
          <w:color w:val="auto"/>
        </w:rPr>
      </w:pPr>
      <w:r>
        <w:rPr>
          <w:rFonts w:ascii="Arial" w:cs="Arial" w:eastAsia="Arial" w:hAnsi="Arial"/>
          <w:sz w:val="18"/>
          <w:szCs w:val="18"/>
          <w:b w:val="1"/>
          <w:bCs w:val="1"/>
          <w:i w:val="1"/>
          <w:iCs w:val="1"/>
          <w:color w:val="auto"/>
        </w:rPr>
        <w:t>Our business and operations may suffer in the event of information technology system failures, cyberattacks, or deficiencies, which could materially affect our results.</w:t>
      </w:r>
    </w:p>
    <w:p>
      <w:pPr>
        <w:spacing w:after="0" w:line="31"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color w:val="auto"/>
        </w:rPr>
        <w:t>Our information technology systems, as well as those of our CROs and other contractors and consultants, are vulnerable to attack, failure and damage from computer viruses and other malware (e.g., ransomware), unauthorized access or other cybersecurity attacks, malfeasance by external or internal parties, human error (e.g., social engineering, phishing), natural disasters (including hurricanes), terrorism, war, fire and telecommunication or electrical failures. In the ordinary course of our business, we directly or indirectly collect, store and transmit sensitive data, including intellectual property, confidential information, preclinical and clinical trial data, proprietary business information, personal data and personally identifiable health information of our clinical trial subjects and employees, in our data centers and on our networks, or on those of third parties. The secure processing, maintenance and transmission of this information is critical to our operations.</w:t>
      </w:r>
    </w:p>
    <w:p>
      <w:pPr>
        <w:spacing w:after="0" w:line="53"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Despite security measures that we and our critical third parties (e.g., collaborators) implement, our information technology systems may be vulnerable to attacks by hackers or internal bad actors, or breached due to human error, a technical vulnerability, malfeasance or other disruptions. The risk of a security breach or disruption, particularly through cyber-attacks or cyber intrusion, including by computer hackers, foreign governments, and cyber terrorists, has generally increased as the number, level of persistence, intensity and sophistication of attempted attacks and intrusions from around the world have increased. As a result of the COVID-19 pandemic, we may also face increased cybersecurity risks due to our reliance on internet technology and the number of our employees who are working remotely, which may create additional opportunities for cybercriminals to exploit vulnerabilities. We may not be able to anticipate all types of security threats, nor may we be able to implement preventive measures effective against all such security threats.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Because of this, we may also experience security breaches that may remain undetected for an extended period. Even if identified, we may be unable to adequately investigate or remediate incidents or breaches due to attacks increasingly using tools and techniques that are designed to circumvent controls, to avoid detection, and to remove or obfuscate forensic evidence. We cannot assure you that our data protection efforts and our investment in information technology will prevent significant breakdowns, data leakages or breaches in our systems or those of our CROs and other contractors and consultants.</w:t>
      </w:r>
    </w:p>
    <w:p>
      <w:pPr>
        <w:spacing w:after="0" w:line="69"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and certain of our service providers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product candidate development programs. For example, the loss of preclinical studies or clinical trial data from completed, ongoing or planned studies or trials could result in delays in our regulatory approval efforts and significantly increase our costs to recover or reproduce the data. To the extent that any disruption or security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49" w:name="page50"/>
    <w:bookmarkEnd w:id="49"/>
    <w:p>
      <w:pPr>
        <w:ind w:right="300"/>
        <w:spacing w:after="0" w:line="287" w:lineRule="auto"/>
        <w:rPr>
          <w:sz w:val="20"/>
          <w:szCs w:val="20"/>
          <w:color w:val="auto"/>
        </w:rPr>
      </w:pPr>
      <w:r>
        <w:rPr>
          <w:rFonts w:ascii="Arial" w:cs="Arial" w:eastAsia="Arial" w:hAnsi="Arial"/>
          <w:sz w:val="18"/>
          <w:szCs w:val="18"/>
          <w:color w:val="auto"/>
        </w:rPr>
        <w:t>breach were to result in a loss of or damage to our data or applications, or inappropriate disclosure of personal, confidential or proprietary information, we could incur liability and the further development of our product candidates could be delayed.</w:t>
      </w:r>
    </w:p>
    <w:p>
      <w:pPr>
        <w:spacing w:after="0" w:line="31"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If a security breach or other incident were to result in the unauthorized access to or unauthorized use, disclosure, release or other processing of personal information, it may be necessary to notify individuals, governmental authorities, supervisory bodies, the media and other parties pursuant to privacy and security laws. Any such access, disclosure or other loss of information could result in legal claims or proceedings, liability under laws that protect the privacy of personal information and significant regulatory penalties, and such an event could disrupt our operations, damage our reputation and cause a loss of confidence in us and our ability to conduct clinical trials, which could adversely affect our reputation and delay our clinical development of our product candidates.</w:t>
      </w:r>
    </w:p>
    <w:p>
      <w:pPr>
        <w:spacing w:after="0" w:line="175" w:lineRule="exact"/>
        <w:rPr>
          <w:sz w:val="20"/>
          <w:szCs w:val="20"/>
          <w:color w:val="auto"/>
        </w:rPr>
      </w:pPr>
    </w:p>
    <w:p>
      <w:pPr>
        <w:ind w:right="5160"/>
        <w:spacing w:after="0" w:line="360" w:lineRule="auto"/>
        <w:rPr>
          <w:sz w:val="20"/>
          <w:szCs w:val="20"/>
          <w:color w:val="auto"/>
        </w:rPr>
      </w:pPr>
      <w:r>
        <w:rPr>
          <w:rFonts w:ascii="Arial" w:cs="Arial" w:eastAsia="Arial" w:hAnsi="Arial"/>
          <w:sz w:val="18"/>
          <w:szCs w:val="18"/>
          <w:b w:val="1"/>
          <w:bCs w:val="1"/>
          <w:color w:val="auto"/>
        </w:rPr>
        <w:t xml:space="preserve">Risks Related to Healthcare Laws and Other Legal Compliance Matters </w:t>
      </w:r>
      <w:r>
        <w:rPr>
          <w:rFonts w:ascii="Arial" w:cs="Arial" w:eastAsia="Arial" w:hAnsi="Arial"/>
          <w:sz w:val="18"/>
          <w:szCs w:val="18"/>
          <w:b w:val="1"/>
          <w:bCs w:val="1"/>
          <w:i w:val="1"/>
          <w:iCs w:val="1"/>
          <w:color w:val="auto"/>
        </w:rPr>
        <w:t>We will be subject to extensive and costly government regulation.</w:t>
      </w:r>
    </w:p>
    <w:p>
      <w:pPr>
        <w:ind w:right="340"/>
        <w:spacing w:after="0" w:line="246" w:lineRule="auto"/>
        <w:rPr>
          <w:sz w:val="20"/>
          <w:szCs w:val="20"/>
          <w:color w:val="auto"/>
        </w:rPr>
      </w:pPr>
      <w:r>
        <w:rPr>
          <w:rFonts w:ascii="Arial" w:cs="Arial" w:eastAsia="Arial" w:hAnsi="Arial"/>
          <w:sz w:val="18"/>
          <w:szCs w:val="18"/>
          <w:color w:val="auto"/>
        </w:rPr>
        <w:t>Our product candidates will be subject to extensive and rigorous domestic government regulation, including regulation by the FDA, the Centers for Medicare &amp; Medicaid Services (“CMS”), other divisions of the U.S. Department of Health and Human Services, the U.S. Department of Justice, state and local governments, and their respective equivalents outside of the United States. The FDA regulate the research, development, preclinical and clinical testing, manufacture, safety, effectiveness, record-keeping, reporting, labeling, packaging, storage, approval, advertising, promotion, sale, distribution, import and export of pharmaceutical products. If our products are marketed abroad, they will also be subject to extensive regulation by foreign governments, whether or not they have obtained FDA approval. Such foreign regulation may be equally or more demanding than corresponding United States regulation.</w:t>
      </w:r>
    </w:p>
    <w:p>
      <w:pPr>
        <w:spacing w:after="0" w:line="8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Government regulation substantially increases the cost and risk of researching, developing, manufacturing and selling our products. The regulatory review and approval process, which includes preclinical testing and clinical trials of each product candidate, is lengthy, expensive and uncertain. We must obtain and maintain regulatory authorization to conduct preclinical studies and clinical trials. We must obtain regulatory approval for each product we intend to market, and the manufacturing facilities used for the products must be inspected and meet legal requirements. Securing regulatory approval requires the submission of extensive preclinical and clinical data and other supporting information for each proposed therapeutic indication in order to establish the product’s safety and efficacy, potency and purity, for each intended use. The development and approval process takes many years, requires substantial resources, and may never lead to the approval of a product.</w:t>
      </w:r>
    </w:p>
    <w:p>
      <w:pPr>
        <w:spacing w:after="0" w:line="72"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color w:val="auto"/>
        </w:rPr>
        <w:t>Even if we are able to obtain regulatory approval for a particular product, the approval may limit the indicated medical uses for the product, may otherwise limit our ability to promote, sell and distribute the product, may require that we conduct costly post-marketing surveillance, and/or may require that we conduct ongoing post-marketing studies. Material changes to an approved product, such as, for example, manufacturing changes or revised labeling, may require further regulatory review and approval. Once obtained, any approvals may be withdrawn, including, for example, if there is a later discovery of previously unknown problems with the product, such as a previously unknown safety issue.</w:t>
      </w:r>
    </w:p>
    <w:p>
      <w:pPr>
        <w:spacing w:after="0" w:line="67"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If we, our consultants, CMOs, CROs or other vendors, fail to comply with applicable regulatory requirements at any stage during the regulatory process, such noncompliance could result in, among other things, delays in the approval of applications or supplements to approved applications; refusal of a regulatory authority, including the FDA, to review pending market approval applications or supplements to approved applications; warning letters; fines; import and/or export restrictions; product recalls or seizures; injunctions; total or partial suspension of production; civil penalties; withdrawals of previously approved marketing applications or licenses; recommendations by the FDA or other regulatory authorities against governmental contracts; and/or criminal prosecutions.</w:t>
      </w:r>
    </w:p>
    <w:p>
      <w:pPr>
        <w:spacing w:after="0" w:line="69" w:lineRule="exact"/>
        <w:rPr>
          <w:sz w:val="20"/>
          <w:szCs w:val="20"/>
          <w:color w:val="auto"/>
        </w:rPr>
      </w:pPr>
    </w:p>
    <w:p>
      <w:pPr>
        <w:ind w:right="220"/>
        <w:spacing w:after="0" w:line="278" w:lineRule="auto"/>
        <w:rPr>
          <w:sz w:val="20"/>
          <w:szCs w:val="20"/>
          <w:color w:val="auto"/>
        </w:rPr>
      </w:pPr>
      <w:r>
        <w:rPr>
          <w:rFonts w:ascii="Arial" w:cs="Arial" w:eastAsia="Arial" w:hAnsi="Arial"/>
          <w:sz w:val="18"/>
          <w:szCs w:val="18"/>
          <w:b w:val="1"/>
          <w:bCs w:val="1"/>
          <w:i w:val="1"/>
          <w:iCs w:val="1"/>
          <w:color w:val="auto"/>
        </w:rPr>
        <w:t>Enacted and future healthcare legislation and policies may increase the difficulty and cost for us to obtain marketing approval of and commercialize our product candidates and could adversely affect our business.</w:t>
      </w:r>
    </w:p>
    <w:p>
      <w:pPr>
        <w:spacing w:after="0" w:line="45" w:lineRule="exact"/>
        <w:rPr>
          <w:sz w:val="20"/>
          <w:szCs w:val="20"/>
          <w:color w:val="auto"/>
        </w:rPr>
      </w:pPr>
    </w:p>
    <w:p>
      <w:pPr>
        <w:ind w:right="300"/>
        <w:spacing w:after="0" w:line="247" w:lineRule="auto"/>
        <w:rPr>
          <w:sz w:val="20"/>
          <w:szCs w:val="20"/>
          <w:color w:val="auto"/>
        </w:rPr>
      </w:pPr>
      <w:r>
        <w:rPr>
          <w:rFonts w:ascii="Arial" w:cs="Arial" w:eastAsia="Arial" w:hAnsi="Arial"/>
          <w:sz w:val="18"/>
          <w:szCs w:val="18"/>
          <w:color w:val="auto"/>
        </w:rPr>
        <w:t>In the United States, the EU and other jurisdictions, there have been, and we expect there will continue to be, a number of legislative and regulatory changes and proposed changes to the healthcare system that could prevent or delay marketing approval of our products in development, restrict or regulate post-approval activities involving any product candidates for which we obtain marketing approval, impact pricing and reimbursement and impact our ability to sell any such products profitably. In particular, there have been and continue to be a number of</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0" w:name="page51"/>
    <w:bookmarkEnd w:id="50"/>
    <w:p>
      <w:pPr>
        <w:ind w:right="360"/>
        <w:spacing w:after="0" w:line="287" w:lineRule="auto"/>
        <w:rPr>
          <w:sz w:val="20"/>
          <w:szCs w:val="20"/>
          <w:color w:val="auto"/>
        </w:rPr>
      </w:pPr>
      <w:r>
        <w:rPr>
          <w:rFonts w:ascii="Arial" w:cs="Arial" w:eastAsia="Arial" w:hAnsi="Arial"/>
          <w:sz w:val="18"/>
          <w:szCs w:val="18"/>
          <w:color w:val="auto"/>
        </w:rPr>
        <w:t>initiatives at the U.S. federal and state levels that seek to reduce healthcare costs and improve the quality of healthcare. In addition, new regulations and interpretations of existing healthcare statutes and regulations are frequently adopted.</w:t>
      </w:r>
    </w:p>
    <w:p>
      <w:pPr>
        <w:spacing w:after="0" w:line="3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In March 2010, the Patient Protection and Affordable Care Act (“ACA”), was enacted, which substantially changed the way healthcare is financed by both governmental and private insurers. Among the provisions of the ACA, those of greatest importance to the pharmaceutical and biotechnology industries include the following:</w:t>
      </w:r>
    </w:p>
    <w:p>
      <w:pPr>
        <w:spacing w:after="0" w:line="54" w:lineRule="exact"/>
        <w:rPr>
          <w:sz w:val="20"/>
          <w:szCs w:val="20"/>
          <w:color w:val="auto"/>
        </w:rPr>
      </w:pPr>
    </w:p>
    <w:p>
      <w:pPr>
        <w:ind w:left="1020" w:right="360" w:hanging="503"/>
        <w:spacing w:after="0" w:line="26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w:t>
      </w:r>
    </w:p>
    <w:p>
      <w:pPr>
        <w:spacing w:after="0" w:line="55" w:lineRule="exact"/>
        <w:rPr>
          <w:rFonts w:ascii="Times New Roman" w:cs="Times New Roman" w:eastAsia="Times New Roman" w:hAnsi="Times New Roman"/>
          <w:sz w:val="18"/>
          <w:szCs w:val="18"/>
          <w:color w:val="auto"/>
        </w:rPr>
      </w:pPr>
    </w:p>
    <w:p>
      <w:pPr>
        <w:ind w:left="1020" w:right="18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new Medicare Part D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w:t>
      </w:r>
    </w:p>
    <w:p>
      <w:pPr>
        <w:spacing w:after="0" w:line="76"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and generic drugs, respectively;</w:t>
      </w:r>
    </w:p>
    <w:p>
      <w:pPr>
        <w:spacing w:after="0" w:line="46"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32"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extension of a manufacturer’s Medicaid rebate liability to covered drugs dispensed to individuals who are enrolled in Medicaid managed care organizations;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52"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76" w:lineRule="exact"/>
        <w:rPr>
          <w:rFonts w:ascii="Times New Roman" w:cs="Times New Roman" w:eastAsia="Times New Roman" w:hAnsi="Times New Roman"/>
          <w:sz w:val="18"/>
          <w:szCs w:val="18"/>
          <w:color w:val="auto"/>
        </w:rPr>
      </w:pPr>
    </w:p>
    <w:p>
      <w:pPr>
        <w:ind w:left="1020" w:right="76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46" w:lineRule="exact"/>
        <w:rPr>
          <w:rFonts w:ascii="Times New Roman" w:cs="Times New Roman" w:eastAsia="Times New Roman" w:hAnsi="Times New Roman"/>
          <w:sz w:val="18"/>
          <w:szCs w:val="18"/>
          <w:color w:val="auto"/>
        </w:rPr>
      </w:pPr>
    </w:p>
    <w:p>
      <w:pPr>
        <w:ind w:left="1020" w:right="520" w:hanging="503"/>
        <w:spacing w:after="0" w:line="286"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establishment of the Center for Medicare and Medicaid Innovation at CMS to test innovative payment and service delivery models to lower Medicare and Medicaid spending, potentially including prescription drug spending.</w:t>
      </w:r>
    </w:p>
    <w:p>
      <w:pPr>
        <w:spacing w:after="0" w:line="3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Since its enactment, there have been judicial, Congressional and executive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for purposes of obtaining health insurance coverage through the ACA marketplace, which began on February 15, 2021 and remained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will impact our business.</w:t>
      </w:r>
    </w:p>
    <w:p>
      <w:pPr>
        <w:spacing w:after="0" w:line="18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In August 2011, the Budget Control Act of 2011 included aggregate reductions of Medicare payments to providers of 2% per fiscal year, effective April 1, 2013 which, due to subsequent legislative amendments, will stay in effect through 2030, with the exception of a temporary suspension from May 1, 2020 through March 31, 2022, unless additional congressional action is taken. Under current legislation, the actual reduction in Medicare payments varies from 1% from April 1, 2022 through June 30, 2022, to up to 3% in the final fiscal year of this sequester. In addition,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Additionally, the orphan drug tax credit was reduced as part of a broader tax reform. These new laws or any other similar laws introduced in the future may result in additional reductions in Medicare and other healthcare funding, which could negatively affect our customers and accordingly, our financial operations.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1" w:name="page52"/>
    <w:bookmarkEnd w:id="51"/>
    <w:p>
      <w:pPr>
        <w:ind w:right="360"/>
        <w:spacing w:after="0" w:line="246" w:lineRule="auto"/>
        <w:rPr>
          <w:sz w:val="20"/>
          <w:szCs w:val="20"/>
          <w:color w:val="auto"/>
        </w:rPr>
      </w:pPr>
      <w:r>
        <w:rPr>
          <w:rFonts w:ascii="Arial" w:cs="Arial" w:eastAsia="Arial" w:hAnsi="Arial"/>
          <w:sz w:val="18"/>
          <w:szCs w:val="18"/>
          <w:color w:val="auto"/>
        </w:rPr>
        <w:t>Moreover, payment methodologies may be subject to changes in healthcare legislation and regulatory initiatives. For example, CMS may develop new payment and delivery models, such as outcomes-based reimbursement. In addition, recently there has been heightened governmental scrutiny over the manner in which manufacturers set prices for their marketed products, which has resulted in several U.S. Congressional inquiries and proposed and enacted federal legislation designed to, among other things, bring more transparency to drug pricing, reduce the cost of prescription drugs under Medicare, and review the relationship between pricing and manufacturer patient programs. We expect that additional U.S. federal healthcare reform measures will be adopted in the future, any of which could limit the amounts that the U.S. federal government will pay for healthcare products and services, which could result in reduced demand for our product candidates or additional pricing pressures.</w:t>
      </w:r>
    </w:p>
    <w:p>
      <w:pPr>
        <w:spacing w:after="0" w:line="71"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Individual states in the United States have also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or put pressure on our product pricing.</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w:t>
      </w:r>
    </w:p>
    <w:p>
      <w:pPr>
        <w:spacing w:after="0" w:line="69"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In markets outside of the United States and the EU, reimbursement and healthcare payment systems vary significantly by country, and many countries have instituted price ceilings on specific products and therapies.</w:t>
      </w:r>
    </w:p>
    <w:p>
      <w:pPr>
        <w:spacing w:after="0" w:line="126"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In the United States, legislative and regulatory proposals have been made to expand post-approval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65"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we may be subject to enforcement action and we may not achieve or sustain profitability.</w:t>
      </w:r>
    </w:p>
    <w:p>
      <w:pPr>
        <w:spacing w:after="0" w:line="64" w:lineRule="exact"/>
        <w:rPr>
          <w:sz w:val="20"/>
          <w:szCs w:val="20"/>
          <w:color w:val="auto"/>
        </w:rPr>
      </w:pPr>
    </w:p>
    <w:p>
      <w:pPr>
        <w:ind w:right="340"/>
        <w:spacing w:after="0" w:line="294" w:lineRule="auto"/>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 and post-marketing requirements.</w:t>
      </w:r>
    </w:p>
    <w:p>
      <w:pPr>
        <w:spacing w:after="0" w:line="17"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Any regulatory approvals that we may receive for our product candidates will require the submission of reports to regulatory authorities and surveillance to monitor the safety and efficacy of the product candidate, may contain significant limitations related to use restrictions for groups specified by, among other things, age or medical condition, warnings, precautions or contraindications, and may include burdensome post-approval study or risk management requirements. For example, the FDA may require a REMS in order to approve our product candidates, which could entail requirements for a medication guide, physician training and communication plans or additional elements to ensure safe use, such as restricted distribution methods, patient registries and other risk minimization tools. In addition, if one of our product candidates is approved, it will be subject to ongoing regulatory</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2" w:name="page53"/>
    <w:bookmarkEnd w:id="52"/>
    <w:p>
      <w:pPr>
        <w:spacing w:after="0" w:line="246" w:lineRule="auto"/>
        <w:rPr>
          <w:sz w:val="20"/>
          <w:szCs w:val="20"/>
          <w:color w:val="auto"/>
        </w:rPr>
      </w:pPr>
      <w:r>
        <w:rPr>
          <w:rFonts w:ascii="Arial" w:cs="Arial" w:eastAsia="Arial" w:hAnsi="Arial"/>
          <w:sz w:val="18"/>
          <w:szCs w:val="18"/>
          <w:color w:val="auto"/>
        </w:rPr>
        <w:t>requirements for manufacturing, labeling, packaging, storage, advertising, promotion, sampling, record-keeping, conduct of post-marketing studies and submission of safety, efficacy, and other post- market information, including both federal and state requirements in the United States and requirements of comparable foreign regulatory authorities. Manufacturers and manufacturers’ facilities are required to comply with extensive FDA and comparable foreign regulatory authority requirements, including ensuring that quality control and manufacturing procedures conform to cGMP and similar regulations. As such, we and our contract manufacturers will be subject to continual review and inspections to assess compliance with cGMP and similar requirements and adherence to commitments made in any approved marketing application. Accordingly, we and others with whom we work must continue to expend time, money and effort in all areas of regulatory compliance, including manufacturing, production and quality control.</w:t>
      </w:r>
    </w:p>
    <w:p>
      <w:pPr>
        <w:spacing w:after="0" w:line="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If the FDA or another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4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issue warning letters;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impose civil or criminal penalties;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suspend or withdraw regulatory approval;</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suspend any of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seize or detain products, or require a product recall.</w:t>
      </w:r>
    </w:p>
    <w:p>
      <w:pPr>
        <w:spacing w:after="0" w:line="10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adversely affect our ability to commercialize and generate revenue from our products. If regulatory sanctions are applied or if regulatory approval is withdrawn, our business will be seriously harmed.</w:t>
      </w:r>
    </w:p>
    <w:p>
      <w:pPr>
        <w:spacing w:after="0" w:line="76"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Moreover,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8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3" w:name="page54"/>
    <w:bookmarkEnd w:id="53"/>
    <w:p>
      <w:pPr>
        <w:ind w:right="60"/>
        <w:spacing w:after="0" w:line="252"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but are not limited to:</w:t>
      </w:r>
    </w:p>
    <w:p>
      <w:pPr>
        <w:spacing w:after="0" w:line="76" w:lineRule="exact"/>
        <w:rPr>
          <w:sz w:val="20"/>
          <w:szCs w:val="20"/>
          <w:color w:val="auto"/>
        </w:rPr>
      </w:pPr>
    </w:p>
    <w:p>
      <w:pPr>
        <w:ind w:left="1020" w:right="120" w:hanging="503"/>
        <w:spacing w:after="0" w:line="24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Anti-Kickback Statute, which makes it illegal for any person to knowingly and willfully solicit, offer, receive, pay or provide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67" w:lineRule="exact"/>
        <w:rPr>
          <w:rFonts w:ascii="Times New Roman" w:cs="Times New Roman" w:eastAsia="Times New Roman" w:hAnsi="Times New Roman"/>
          <w:sz w:val="18"/>
          <w:szCs w:val="18"/>
          <w:color w:val="auto"/>
        </w:rPr>
      </w:pPr>
    </w:p>
    <w:p>
      <w:pPr>
        <w:ind w:left="1020" w:hanging="503"/>
        <w:spacing w:after="0" w:line="259" w:lineRule="auto"/>
        <w:tabs>
          <w:tab w:leader="none" w:pos="1020" w:val="left"/>
        </w:tabs>
        <w:numPr>
          <w:ilvl w:val="0"/>
          <w:numId w:val="27"/>
        </w:numPr>
        <w:rPr>
          <w:rFonts w:ascii="Times New Roman" w:cs="Times New Roman" w:eastAsia="Times New Roman" w:hAnsi="Times New Roman"/>
          <w:sz w:val="17"/>
          <w:szCs w:val="17"/>
          <w:color w:val="auto"/>
        </w:rPr>
      </w:pPr>
      <w:r>
        <w:rPr>
          <w:rFonts w:ascii="Arial" w:cs="Arial" w:eastAsia="Arial" w:hAnsi="Arial"/>
          <w:sz w:val="17"/>
          <w:szCs w:val="17"/>
          <w:color w:val="auto"/>
        </w:rPr>
        <w:t>the U.S. federal civil and criminal false claims laws, including the civil False Claims Act (the “FCA”), which prohibit individuals or entities from, among other things, knowingly presenting, or causing to be presented, to the U.S. federal government, claims for payment or approval that are false, fictitious or fraudulent, knowingly making, using or causing to be made or used, a false record or statement material to a false or fraudulent claim, or from knowingly making a false statement to avoid, decrease or conceal an obligation to pay money to the U.S. federal government. Manufacturers can be held liable under the FCA even when they do not submit claims directly to government payors if they are deemed to “cause” the submission of false or fraudulent claims. The government may deem manufacturers to have “caused” the submission of false or fraudulent claims by, for example, providing inaccurate billing or coding information to customers or promoting a product off-label. Companies that submit claims directly to payors may also be liable under the FCA for the direct submission of such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56" w:lineRule="exact"/>
        <w:rPr>
          <w:rFonts w:ascii="Times New Roman" w:cs="Times New Roman" w:eastAsia="Times New Roman" w:hAnsi="Times New Roman"/>
          <w:sz w:val="17"/>
          <w:szCs w:val="17"/>
          <w:color w:val="auto"/>
        </w:rPr>
      </w:pPr>
    </w:p>
    <w:p>
      <w:pPr>
        <w:ind w:left="1020" w:right="22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61" w:lineRule="exact"/>
        <w:rPr>
          <w:rFonts w:ascii="Times New Roman" w:cs="Times New Roman" w:eastAsia="Times New Roman" w:hAnsi="Times New Roman"/>
          <w:sz w:val="18"/>
          <w:szCs w:val="18"/>
          <w:color w:val="auto"/>
        </w:rPr>
      </w:pPr>
    </w:p>
    <w:p>
      <w:pPr>
        <w:ind w:left="1020" w:right="100" w:hanging="503"/>
        <w:spacing w:after="0" w:line="244"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Health Insurance Portability and Accountability Act of 1996, (“HIPAA”) and its implementing regulations,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U.S. federal Anti-Kickback Statute, a person or entity does not need to have actual knowledge of the statute or specific intent to violate it in order to have committed a violation;</w:t>
      </w:r>
    </w:p>
    <w:p>
      <w:pPr>
        <w:spacing w:after="0" w:line="84" w:lineRule="exact"/>
        <w:rPr>
          <w:rFonts w:ascii="Times New Roman" w:cs="Times New Roman" w:eastAsia="Times New Roman" w:hAnsi="Times New Roman"/>
          <w:sz w:val="18"/>
          <w:szCs w:val="18"/>
          <w:color w:val="auto"/>
        </w:rPr>
      </w:pPr>
    </w:p>
    <w:p>
      <w:pPr>
        <w:ind w:left="1020" w:right="4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U.S. federal Food, Drug and Cosmetic Act (“FDCA”), which prohibits, among other things, the adulteration or misbranding of drugs, biologics and medical devices;</w:t>
      </w:r>
    </w:p>
    <w:p>
      <w:pPr>
        <w:spacing w:after="0" w:line="46" w:lineRule="exact"/>
        <w:rPr>
          <w:rFonts w:ascii="Times New Roman" w:cs="Times New Roman" w:eastAsia="Times New Roman" w:hAnsi="Times New Roman"/>
          <w:sz w:val="18"/>
          <w:szCs w:val="18"/>
          <w:color w:val="auto"/>
        </w:rPr>
      </w:pPr>
    </w:p>
    <w:p>
      <w:pPr>
        <w:ind w:left="1020" w:right="60" w:hanging="503"/>
        <w:spacing w:after="0" w:line="246"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U.S. Physician Payments Sunshine Act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the physicians described above and their immediate family members;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4" w:name="page55"/>
    <w:bookmarkEnd w:id="54"/>
    <w:p>
      <w:pPr>
        <w:ind w:left="1020" w:right="460" w:hanging="503"/>
        <w:spacing w:after="0" w:line="28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reported prices may be used in the calculation of reimbursement and/or discounts on approved products;</w:t>
      </w:r>
    </w:p>
    <w:p>
      <w:pPr>
        <w:spacing w:after="0" w:line="32" w:lineRule="exact"/>
        <w:rPr>
          <w:rFonts w:ascii="Times New Roman" w:cs="Times New Roman" w:eastAsia="Times New Roman" w:hAnsi="Times New Roman"/>
          <w:sz w:val="18"/>
          <w:szCs w:val="18"/>
          <w:color w:val="auto"/>
        </w:rPr>
      </w:pPr>
    </w:p>
    <w:p>
      <w:pPr>
        <w:ind w:left="1020" w:right="6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w:t>
      </w:r>
    </w:p>
    <w:p>
      <w:pPr>
        <w:spacing w:after="0" w:line="59" w:lineRule="exact"/>
        <w:rPr>
          <w:rFonts w:ascii="Times New Roman" w:cs="Times New Roman" w:eastAsia="Times New Roman" w:hAnsi="Times New Roman"/>
          <w:sz w:val="18"/>
          <w:szCs w:val="18"/>
          <w:color w:val="auto"/>
        </w:rPr>
      </w:pPr>
    </w:p>
    <w:p>
      <w:pPr>
        <w:ind w:left="1020" w:hanging="503"/>
        <w:spacing w:after="0" w:line="260" w:lineRule="auto"/>
        <w:tabs>
          <w:tab w:leader="none" w:pos="1020" w:val="left"/>
        </w:tabs>
        <w:numPr>
          <w:ilvl w:val="0"/>
          <w:numId w:val="28"/>
        </w:numPr>
        <w:rPr>
          <w:rFonts w:ascii="Times New Roman" w:cs="Times New Roman" w:eastAsia="Times New Roman" w:hAnsi="Times New Roman"/>
          <w:sz w:val="17"/>
          <w:szCs w:val="17"/>
          <w:color w:val="auto"/>
        </w:rPr>
      </w:pPr>
      <w:r>
        <w:rPr>
          <w:rFonts w:ascii="Arial" w:cs="Arial" w:eastAsia="Arial" w:hAnsi="Arial"/>
          <w:sz w:val="17"/>
          <w:szCs w:val="17"/>
          <w:color w:val="auto"/>
        </w:rPr>
        <w:t>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state and local laws that require the registration of pharmaceutical sales representatives; and</w:t>
      </w:r>
    </w:p>
    <w:p>
      <w:pPr>
        <w:spacing w:after="0" w:line="60" w:lineRule="exact"/>
        <w:rPr>
          <w:rFonts w:ascii="Times New Roman" w:cs="Times New Roman" w:eastAsia="Times New Roman" w:hAnsi="Times New Roman"/>
          <w:sz w:val="17"/>
          <w:szCs w:val="17"/>
          <w:color w:val="auto"/>
        </w:rPr>
      </w:pPr>
    </w:p>
    <w:p>
      <w:pPr>
        <w:ind w:left="1020" w:right="14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similar healthcare laws and regulations in the EU and other jurisdictions, including reporting requirements detailing interactions with and payments to healthcare providers.</w:t>
      </w:r>
    </w:p>
    <w:p>
      <w:pPr>
        <w:spacing w:after="0" w:line="60"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are subject to governmental regulation and other legal obligations, particularly related to privacy, data protection and information security, and we are subject to consumer protection laws that regulate our marketing practices and prohibit unfair or deceptive acts or practices. Our actual or perceived failure to comply with such obligations could harm our business.</w:t>
      </w:r>
    </w:p>
    <w:p>
      <w:pPr>
        <w:spacing w:after="0" w:line="4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subject to diverse laws and regulations relating to data privacy and security. New privacy rules are being enacted in the United States and globally, and existing ones are being updated and strengthened. For example, on June 28, 2018, California enacted the California Consumer Privacy Act (the “CCPA”), which took effect on January 1, 2020. The CCPA creates individual privacy rights for California consumers, increases the privacy and security obligations of entities handling certain personal information, requires new disclosures to California individuals and affording such individuals new abilities to opt out of certain sales of personal information, and provides for civil penalties for violations as well as a private right of action for data breaches that is expected to increase data breach litigation. Further, the California Privacy Rights Act (“CPRA”) recently passed in California. The CPRA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Colorado, Connecticut and Utah, and have been proposed in other states and at the federal level, reflecting 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5" w:name="page56"/>
    <w:bookmarkEnd w:id="55"/>
    <w:p>
      <w:pPr>
        <w:ind w:right="180"/>
        <w:spacing w:after="0" w:line="252" w:lineRule="auto"/>
        <w:rPr>
          <w:sz w:val="20"/>
          <w:szCs w:val="20"/>
          <w:color w:val="auto"/>
        </w:rPr>
      </w:pPr>
      <w:r>
        <w:rPr>
          <w:rFonts w:ascii="Arial" w:cs="Arial" w:eastAsia="Arial" w:hAnsi="Arial"/>
          <w:sz w:val="18"/>
          <w:szCs w:val="18"/>
          <w:color w:val="auto"/>
        </w:rPr>
        <w:t>trend toward more stringent privacy legislation in the United States. The enactment of such laws could have potentially conflicting requirements that would make compliance challenging. In the event that we are subject to or affected by the CCPA, the CPRA or other domestic privacy and data protection laws, any liability from failure to comply with the requirements of these laws could adversely affect our financial condition.</w:t>
      </w:r>
    </w:p>
    <w:p>
      <w:pPr>
        <w:spacing w:after="0" w:line="76"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color w:val="auto"/>
        </w:rPr>
        <w:t>Complying with these numerous, complex and often changing regulations is expensive and difficult, and failure to comply with any privacy laws or data security laws or any security incident or breach involving the misappropriation, loss or other unauthorized processing, use or disclosure of sensitive or confidential patient, consumer or other personal information, whether by us, one of our CROs or business associates or another third-party, could adversely affect our business, financial condition and results of operations, including but not limited to: investigation costs; material fines and penalties; compensatory, special, punitive and statutory damages; litigation; consent orders regarding our privacy and security practices; requirements that we provide notices, credit monitoring services and/or credit restoration services or other relevant services to impacted individuals; adverse actions against our licenses to do business; reputational damage; and injunctive relief.</w:t>
      </w:r>
    </w:p>
    <w:p>
      <w:pPr>
        <w:spacing w:after="0" w:line="72"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The privacy laws in the EU have been significantly reformed in recent years. On May 25, 2018, the EU General Data Protection Regulation ("GDPR") entered into force and became directly applicable in all EU member states. The GDPR and related implementing laws in individual EU member states govern the collection and use of personal health data and other personal data in the EU including the personal data processed by companies outside the EU in connection with the offering of goods or services to individuals in the EU or the monitoring of their behavior (including in the context of clinical trials). The GDPR rules are also applicable in the European Economic Area (“EEA”), which consists of the 27 EU member states plus Norway, Liechtenstein and Iceland. The GDPR implements more stringent operational requirements than its predecessor legislation. For example, the GDPR requires us to make more detailed disclosures to data subjects, requires disclosure of the legal basis on which we can process personal data, makes it harder for us to obtain valid consent for collecting and processing personal data, requires the appointment of data protection officers when sensitive personal data, such as health data, is processed on a large scale, provides more robust rights for data subjects, introduces mandatory data breach notification through the EU, imposes additional obligations on us when contracting with service providers and requires us to adopt appropriate privacy governance, including policies, procedures, training and data audit. The GDPR provides that EU member states may establish their own laws and regulations limiting the processing of personal data, including genetic, biometric or health data, which could limit our ability to use and share personal data or could cause our costs to increase. Violations of the GDPR can lead to potential fines of up to €20 million or 4% of the annual global revenues of the noncompliant undertaking. In addition to the foregoing, a breach of the GDPR could result in regulatory investigations, reputational damage, orders to cease / change our processing of our data, enforcement notices, and/ or assessment notices (for a compulsory audit). Companies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71"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 and the United States remains uncertain. For example, in 2016, the EU and United States agreed to a transfer framework for data transferred from the EU to the United States, called the Privacy Shield, but in July 2020 the Court of Justice of the EU (“CJEU”) limited how organizations could lawfully transfer personal data from the EEA to the United States by invalidating the Privacy Shield for purposes of international transfers and imposing further restrictions on use of the standard contractual clauses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UK;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6" w:name="page57"/>
    <w:bookmarkEnd w:id="56"/>
    <w:p>
      <w:pPr>
        <w:spacing w:after="0" w:line="245" w:lineRule="auto"/>
        <w:rPr>
          <w:sz w:val="20"/>
          <w:szCs w:val="20"/>
          <w:color w:val="auto"/>
        </w:rPr>
      </w:pPr>
      <w:r>
        <w:rPr>
          <w:rFonts w:ascii="Arial" w:cs="Arial" w:eastAsia="Arial" w:hAnsi="Arial"/>
          <w:sz w:val="18"/>
          <w:szCs w:val="18"/>
          <w:color w:val="auto"/>
        </w:rPr>
        <w:t>UK’s Information Commissioner’s Office has published new data standard contracts for transfers from the UK under the UK GDPR. This new documentation will be mandatory for relevant data transfers beginning on September 21, 2022, existing standard contractual clauses arrangements must be mitigated to the new documentation by March 21, 2024. This and other recent developments are likely to require us to review and amend the legal mechanisms by which we make and/ or receive personal data transfers to and in the United States.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69"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In addition, from January 1, 2021, we are subject to the GDPR and also the UK GDPR, which, together with the amended UK Data Protection Act 2018, retains the GDPR in UK national law.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 extends that decision. In September 2021, the UK government launched a consultation on its proposals for wide-ranging reform of UK data protection laws following Brexit and the response to this consultation was published in June 2022. There is a risk that any material changes which are made to the UK data protection regime could result in the European Commission reviewing the UK adequacy decision, and the UK losing its adequacy decision if the European Commission deems the UK to no longer provide adequate protection for personal data.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In addition, we may be the subject of litigation and/or adverse publicity, which could adversely affect our business, results of operations and financial condition.</w:t>
      </w:r>
    </w:p>
    <w:p>
      <w:pPr>
        <w:spacing w:after="0" w:line="84" w:lineRule="exact"/>
        <w:rPr>
          <w:sz w:val="20"/>
          <w:szCs w:val="20"/>
          <w:color w:val="auto"/>
        </w:rPr>
      </w:pPr>
    </w:p>
    <w:p>
      <w:pPr>
        <w:jc w:val="both"/>
        <w:ind w:right="360"/>
        <w:spacing w:after="0" w:line="253" w:lineRule="auto"/>
        <w:rPr>
          <w:sz w:val="20"/>
          <w:szCs w:val="20"/>
          <w:color w:val="auto"/>
        </w:rPr>
      </w:pPr>
      <w:r>
        <w:rPr>
          <w:rFonts w:ascii="Arial" w:cs="Arial" w:eastAsia="Arial" w:hAnsi="Arial"/>
          <w:sz w:val="18"/>
          <w:szCs w:val="18"/>
          <w:color w:val="auto"/>
        </w:rPr>
        <w:t>In addition, the EU has also proposed a Regulation on Privacy and Electronic Communications, or ePrivacy regulation, which, if adopted, would impose new obligations on the use of personal data in the context of electronic communications, particularly with respect to online tracking technologies and direct marketing.</w:t>
      </w:r>
    </w:p>
    <w:p>
      <w:pPr>
        <w:spacing w:after="0" w:line="74"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We cannot assure you that our CROs or other third-party service providers with access to our or our suppliers’, trial patients’, investigators and clinical site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 our own privacy and security-related safeguards will protect us from the risks associated with the third-party processing, use, storage and transmission of such information. Any of the foregoing could have a material adverse effect on our business, financial condition, results of operations, and prospects.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potential liability related to the privacy of health information we obtain from clinical trials sponsored by us.</w:t>
      </w:r>
    </w:p>
    <w:p>
      <w:pPr>
        <w:spacing w:after="0" w:line="102"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Most healthcare providers in the US, including research institutions from which we obtain patient health information, are subject to privacy and security regulations promulgated under HIPAA, as amended by the Health Information Technology for Economic and Clinical Health Act. We do not believe that we are currently acting as a covered entity or business associate under HIPAA and thus are not directly subject to its requirements or penalties. However, any person may be prosecuted 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Even when HIPAA does not apply, according to the Federal Trade Commission (the “FTC”), failing to take appropriate steps to keep consumers’ personal information secure constitutes unfair acts or practices in or affecting commerce in violation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7" w:name="page58"/>
    <w:bookmarkEnd w:id="57"/>
    <w:p>
      <w:pPr>
        <w:ind w:right="60"/>
        <w:spacing w:after="0" w:line="246" w:lineRule="auto"/>
        <w:rPr>
          <w:sz w:val="20"/>
          <w:szCs w:val="20"/>
          <w:color w:val="auto"/>
        </w:rPr>
      </w:pPr>
      <w:r>
        <w:rPr>
          <w:rFonts w:ascii="Arial" w:cs="Arial" w:eastAsia="Arial" w:hAnsi="Arial"/>
          <w:sz w:val="18"/>
          <w:szCs w:val="18"/>
          <w:color w:val="auto"/>
        </w:rPr>
        <w:t>In addition, we, our CROs and third-party service providers receive and maintain sensitive information, including health-related information, that we receive throughout the clinical trial process, in the course of our research collaborations. As such, we may be subject to state laws, requiring notification of affected individuals and state regulators in the event of a breach of personal information, which is a broader class of information than the health information protected by HIPAA. Our clinical trial programs outside the United States may implicate international data protection laws, including the UK GDPR, GDPR and legislation of the EU member states implementing it. For example, the EU adopted the EU Clinical Trials regulation, which came into effect on January 31, 2022. This regulation imposes new obligations on the use of data generated from clinical trials that enables European patients to have the opportunity to access information about clinical trials.</w:t>
      </w:r>
    </w:p>
    <w:p>
      <w:pPr>
        <w:spacing w:after="0" w:line="81"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Our activities outside the United States impose additional compliance requirements and generate additional risks of enforcement for noncompliance. Failure by our CROs and other third-party contractors to comply with the strict rules on the transfer of personal data outside of the EU into the United States may result in the imposition of criminal and administrative sanctions on such collaborators, which could adversely affect our business. Furthermore, certain health privacy laws, data breach notification laws, consumer protection laws and genetic testing laws may apply directly to our operations and/or those of our collaborators and may impose restrictions on our collection, use and dissemination of individuals’ health information.</w:t>
      </w:r>
    </w:p>
    <w:p>
      <w:pPr>
        <w:spacing w:after="0" w:line="6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Moreover, patients about whom we or our collaborators obtain health information, as well as the providers who share this information with us, may have statutory or contractual rights that limit our ability to use and disclose the information. We may be required to expend significant capital and other resources to ensure ongoing compliance with applicable privacy and data security laws. Claims that we have violated individuals’ privacy rights or breached our contractual obligations, even if we are not found liable, could be expensive and time-consuming to defend and could result in adverse publicity that could harm our business.</w:t>
      </w:r>
    </w:p>
    <w:p>
      <w:pPr>
        <w:spacing w:after="0" w:line="65"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If we or third-party CMOs, CROs or other contractors or consultants fail to comply with applicable federal, state or foreign regulatory privacy requirements, we could be subject to a range of regulatory actions that could affect our or our contractors’ ability to develop and commercialize our product candidates and could harm or prevent sales of any affected products that we are able to commercialize, or could substantially increase the costs and expenses of developing, commercializing and marketing our products. Any threatened or actual government enforcement action could also generate adverse publicity and require that we devote substantial resources that could otherwise be used in other aspects of our business. Increasing use of social media could give rise to liability, breaches of data security or reputational damage. Any of the foregoing could have a material adverse effect on our business, financial condition, results of operations and prospects.</w:t>
      </w:r>
    </w:p>
    <w:p>
      <w:pPr>
        <w:spacing w:after="0" w:line="69" w:lineRule="exact"/>
        <w:rPr>
          <w:sz w:val="20"/>
          <w:szCs w:val="20"/>
          <w:color w:val="auto"/>
        </w:rPr>
      </w:pPr>
    </w:p>
    <w:p>
      <w:pPr>
        <w:ind w:right="160"/>
        <w:spacing w:after="0" w:line="278" w:lineRule="auto"/>
        <w:rPr>
          <w:sz w:val="20"/>
          <w:szCs w:val="20"/>
          <w:color w:val="auto"/>
        </w:rPr>
      </w:pPr>
      <w:r>
        <w:rPr>
          <w:rFonts w:ascii="Arial" w:cs="Arial" w:eastAsia="Arial" w:hAnsi="Arial"/>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4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Our operations, including our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be subject to fines or other sanctions.</w:t>
      </w:r>
    </w:p>
    <w:p>
      <w:pPr>
        <w:spacing w:after="0" w:line="6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the production efforts of our third-party manufacturers or our development efforts may be interrupted or delayed.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employees are increasingly utilizing social media tools as a means of communication both internally and externally.</w:t>
      </w:r>
    </w:p>
    <w:p>
      <w:pPr>
        <w:spacing w:after="0" w:line="102"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Despite our efforts to monitor evolving social media communication guidelines and comply with applicable rules, there is risk that the use of social media by us or our employees to communicate about our product candidates or business may cause us to be found in violation of applicable requirements. In addition, our employees may knowingly or inadvertently make use of social media in ways that may not comply with applicable laws and regulations, our policies and other legal or contractual requirements, which may give rise to regulatory enforcement action, liability, lead to the loss of trade secrets or other intellectual property or result in public</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58" w:name="page59"/>
    <w:bookmarkEnd w:id="58"/>
    <w:p>
      <w:pPr>
        <w:spacing w:after="0" w:line="252" w:lineRule="auto"/>
        <w:rPr>
          <w:sz w:val="20"/>
          <w:szCs w:val="20"/>
          <w:color w:val="auto"/>
        </w:rPr>
      </w:pPr>
      <w:r>
        <w:rPr>
          <w:rFonts w:ascii="Arial" w:cs="Arial" w:eastAsia="Arial" w:hAnsi="Arial"/>
          <w:sz w:val="18"/>
          <w:szCs w:val="18"/>
          <w:color w:val="auto"/>
        </w:rPr>
        <w:t>exposure of personal information of our employees, clinical trial patients, customers and others. Furthermore, negative posts or comments about us or our product candidates in social media could seriously damage our reputation, brand image and goodwill. Any of these events could have a material adverse effect on our business, prospects, operating results and financial condition and could adversely affect the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06" w:lineRule="exact"/>
        <w:rPr>
          <w:sz w:val="20"/>
          <w:szCs w:val="20"/>
          <w:color w:val="auto"/>
        </w:rPr>
      </w:pPr>
    </w:p>
    <w:p>
      <w:pPr>
        <w:ind w:right="80"/>
        <w:spacing w:after="0" w:line="278" w:lineRule="auto"/>
        <w:rPr>
          <w:sz w:val="20"/>
          <w:szCs w:val="20"/>
          <w:color w:val="auto"/>
        </w:rPr>
      </w:pPr>
      <w:r>
        <w:rPr>
          <w:rFonts w:ascii="Arial" w:cs="Arial" w:eastAsia="Arial" w:hAnsi="Arial"/>
          <w:sz w:val="18"/>
          <w:szCs w:val="18"/>
          <w:b w:val="1"/>
          <w:bCs w:val="1"/>
          <w:i w:val="1"/>
          <w:iCs w:val="1"/>
          <w:color w:val="auto"/>
        </w:rPr>
        <w:t>Developments by competitors may render our products or technologies obsolete or non-competitive or may reduce the size of our markets.</w:t>
      </w:r>
    </w:p>
    <w:p>
      <w:pPr>
        <w:spacing w:after="0" w:line="4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industry has been characterized by extensive research and development efforts, rapid developments in technologies, intense competition and a strong emphasis on proprietary products. We expect our product candidates to face intense and increasing competition as new products enter the relevant markets and advanced technologies become available. We face potential competition from many different sources, including pharmaceutical, biotechnology and specialty pharmaceutical companies. Academic research institutions, governmental agencies and public and private institutions are also potential sources of competitive products and technologies. Our competitors may have or may develop superior technologies or approaches, which may provide them with competitive advantages. Many of these competitors may also have compounds already approved or in development in the therapeutic categories that we are targeting with our product candidates. In addition, many of these competitors, either alone or together with their collaborative partners, may operate larger research and development programs or have substantially greater financial resources than we do, as well as greater experience in:</w:t>
      </w:r>
    </w:p>
    <w:p>
      <w:pPr>
        <w:spacing w:after="0" w:line="7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developing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undertaking preclinical testing and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NDA approval by the FDA;</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comparable foreign regulatory approvals of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formulating and manufacturing products;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marketing and selling products.</w:t>
      </w:r>
    </w:p>
    <w:p>
      <w:pPr>
        <w:spacing w:after="0" w:line="103"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If these competitors access the marketplace before we do with safer, more effective, or less expensive therapeutics, our product candidates, if approved for commercialization, may not be profitable to sell or worthwhile to continue to develop. Technology in the pharmaceutical industry has undergone rapid and significant change, and we expect that it will continue to do so. Any compounds, products or processes that we develop may become obsolete or uneconomical before we recover any expenses incurred in connection with their development. The success of our product candidates will depend upon factors such as product efficacy, safety, reliability, availability, timing, scope of regulatory approval, acceptance and price, among other things. Other important factors to our success include speed in developing product candidates, completing clinical development and laboratory testing, obtaining regulatory approvals and manufacturing and selling commercial quantities of potential products.</w:t>
      </w:r>
    </w:p>
    <w:p>
      <w:pPr>
        <w:spacing w:after="0" w:line="2"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Significant competition exists from approved treatments or treatments in development for the diseases that we are targeting. Many of the approved drugs are well-established therapies or products and are widely accepted by physicians, patients and third-party payors. There are pharmaceutical and biotechnology companies at various stages of development and approval of treatments and, in some cases, vaccines for COVID-19, HCV, dengue and RSV. There are several vaccines approved or authorized for use for COVID-19 and there are therapeutics available for the treatment of COVID-19 including two authorized oral antiviral therapies authorized for emergency use for high risk COVID-19 patients. There are also several drugs including oral antivirals, approved for the treatment of HCV, an approved vaccine for dengue and an approved drug for the treatment of RSV. Our product candidates are intended to compete directly or indirectly with existing products and products currently in development. Even if approved and commercialized, our product candidates may fail to achieve market acceptance with hospitals, physicians or patients. Hospitals, physicians or patients may conclude that our products are less safe or effective or otherwise less attractive than existing drugs. If our product candidates do not receive market acceptance for any reason, our revenue potential would be diminished, which would materially adversely affect our ability to become profitable.</w:t>
      </w:r>
    </w:p>
    <w:p>
      <w:pPr>
        <w:spacing w:after="0" w:line="7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Many of our competitors have substantially greater capital resources, robust product candidate pipelines, established presence in the market and expertise in research and development, manufacturing, preclinical and clinical testing, obtaining regulatory approvals and reimbursement and marketing approved products than we do. As a result, our competitors may achieve product commercialization or patent or other intellectual property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59" w:name="page60"/>
    <w:bookmarkEnd w:id="59"/>
    <w:p>
      <w:pPr>
        <w:spacing w:after="0" w:line="246" w:lineRule="auto"/>
        <w:rPr>
          <w:sz w:val="20"/>
          <w:szCs w:val="20"/>
          <w:color w:val="auto"/>
        </w:rPr>
      </w:pPr>
      <w:r>
        <w:rPr>
          <w:rFonts w:ascii="Arial" w:cs="Arial" w:eastAsia="Arial" w:hAnsi="Arial"/>
          <w:sz w:val="18"/>
          <w:szCs w:val="18"/>
          <w:color w:val="auto"/>
        </w:rPr>
        <w:t>protection earlier than we can. Smaller or early-stage companies may also prove to be significant competitors, particularly through collaborative arrangements with large and established companies. These competitors also compete with us in recruiting and retaining qualified clinical, regulatory, scientific, sales, marketing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or that would render any products that we may develop obsolete or noncompetitive, which would have a material adverse effect on our business and operations.</w:t>
      </w:r>
    </w:p>
    <w:p>
      <w:pPr>
        <w:spacing w:after="0" w:line="83" w:lineRule="exact"/>
        <w:rPr>
          <w:sz w:val="20"/>
          <w:szCs w:val="20"/>
          <w:color w:val="auto"/>
        </w:rPr>
      </w:pPr>
    </w:p>
    <w:p>
      <w:pPr>
        <w:spacing w:after="0" w:line="249"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will depend in part on the extent to which governmental authorities and health insurers establish coverage, adequate reimbursement levels and pricing policies. Failure to obtain or maintain coverage and adequate reimbursement for our product candidates, if approved, could limit our ability to market those products and decrease our ability to generate product revenue.</w:t>
      </w:r>
    </w:p>
    <w:p>
      <w:pPr>
        <w:spacing w:after="0" w:line="7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third-party payors, including private and governmental payors, such as the Medicare and Medicaid programs, play an important role in determining the extent to which new drugs and biologics will be covered.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Third-party payors increasingly are challenging prices charged for pharmaceutical products and services, and many third-party payors may refuse to provide coverage and reimbursement for particular drugs and biologics when an equivalent generic drug, biosimilar or a less expensive therapy is available. It is possible that a third-party payor may consider our product candidates as substitutable and only offer to reimburse patients for the less expensive product. For products administered under the supervision of a physician, obtaining coverage and adequate reimbursement may be particularly difficult because of the higher prices often associated with such drugs. Even if we show improved efficacy or improved convenience of administration with our product candidates, pricing of existing third-party therapeutics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w:t>
      </w:r>
    </w:p>
    <w:p>
      <w:pPr>
        <w:spacing w:after="0" w:line="69"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In the United States, third-party payors, including private and governmental payors, such as the Medicare and Medicaid programs, play an important role in determining the extent to which new drugs and biologics will be covered and reimbursed. The Medicare program is increasingly used as a model for how private and other governmental payors develop their coverage and reimbursement policies for new drugs. However,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Some third-party payors may require pre-approval of coverage for new or innovative drug therapies before they will reimburse healthcare providers who use such therapies. Furthermore, rules and regulations regarding reimbursement change frequently, in some cases on short notice, and we believe that changes in these rules and regulations are likely. We cannot predict at this time what third-party payors will decide with respect to the coverage and reimbursement for our product candidates.</w:t>
      </w:r>
    </w:p>
    <w:p>
      <w:pPr>
        <w:spacing w:after="0" w:line="75"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the EU and other jurisdictions have and will continue to put pressure on the pricing and usage of our product candidates. In many countries, the prices of medical products are subject to varying price control mechanisms as part of national health systems. Other countries allow companies to fix their own prices for medical products, but monitor</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0" w:name="page61"/>
    <w:bookmarkEnd w:id="60"/>
    <w:p>
      <w:pPr>
        <w:ind w:right="40"/>
        <w:spacing w:after="0" w:line="261" w:lineRule="auto"/>
        <w:rPr>
          <w:sz w:val="20"/>
          <w:szCs w:val="20"/>
          <w:color w:val="auto"/>
        </w:rPr>
      </w:pPr>
      <w:r>
        <w:rPr>
          <w:rFonts w:ascii="Arial" w:cs="Arial" w:eastAsia="Arial" w:hAnsi="Arial"/>
          <w:sz w:val="18"/>
          <w:szCs w:val="18"/>
          <w:color w:val="auto"/>
        </w:rPr>
        <w:t>and control company profits. Additional foreign price controls or other changes in pricing regulation could restrict the amount that we are able to charge for our product candidates. Accordingly, in markets outside the United States, the reimbursement for our product candidates may be reduced compared with the United States and may be insufficient to generate commercially reasonable revenue and profits.</w:t>
      </w:r>
    </w:p>
    <w:p>
      <w:pPr>
        <w:spacing w:after="0" w:line="5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our product candidates due to the trend toward managed healthcare,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products.</w:t>
      </w:r>
    </w:p>
    <w:p>
      <w:pPr>
        <w:spacing w:after="0" w:line="6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In addition, for at least as long as the public health emergency declared by the Secretary of HHS in March 2020 at the outset of the COVID-19 pandemic continues, we currently expect the U.S. federal government will be the primary and perhaps exclusive purchaser of therapeutics for the treatment of COVID-19. Even if we succeed in developing a bemnifosbuvir COV19 product candidate, we may not be able to compete effectively if such product does not satisfy government procurement requirements and our future results of operations may be adversely impacted if government procurement needs for such products decline due to over-saturated supply, reduced patient demand or reduced appropriations for such purchases.</w:t>
      </w:r>
    </w:p>
    <w:p>
      <w:pPr>
        <w:spacing w:after="0" w:line="69"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either on our own or in collaboration with third parties, we may not be successful in commercializing any of our product candidates, if approved, and we may not be able to generate any product revenue.</w:t>
      </w:r>
    </w:p>
    <w:p>
      <w:pPr>
        <w:spacing w:after="0" w:line="44"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We have limited personnel or infrastructure for the sales, marketing or distribution of products, and no experience as a company in commercializing a product candidate. The cost of building and maintaining such an organization may exceed the cost-effectiveness of doing so.</w:t>
      </w:r>
    </w:p>
    <w:p>
      <w:pPr>
        <w:spacing w:after="0" w:line="54"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We may build our own focused sales, distribution and marketing infrastructure to market our product candidates, if approved, in the United States and other markets around the world. There are significant expenses and risks involved with building our own sales, marketing and distribution capabilities, including our ability to hire, retain and appropriately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could delay any product launch, which would adversely impact the commercialization of our product candidate, if approved. Additionally, if the commercial launch of our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 but are not limited to:</w:t>
      </w:r>
    </w:p>
    <w:p>
      <w:pPr>
        <w:spacing w:after="0" w:line="104"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02" w:lineRule="exact"/>
        <w:rPr>
          <w:rFonts w:ascii="Times New Roman" w:cs="Times New Roman" w:eastAsia="Times New Roman" w:hAnsi="Times New Roman"/>
          <w:sz w:val="18"/>
          <w:szCs w:val="18"/>
          <w:color w:val="auto"/>
        </w:rPr>
      </w:pPr>
    </w:p>
    <w:p>
      <w:pPr>
        <w:ind w:left="1020" w:right="400" w:hanging="503"/>
        <w:spacing w:after="0" w:line="286"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our future products;</w:t>
      </w:r>
    </w:p>
    <w:p>
      <w:pPr>
        <w:spacing w:after="0" w:line="32"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equip medical and sales personnel with effective materials, including medical and sales literature to help them educate physicians and other healthcare providers regarding applicable diseases and our future products;</w:t>
      </w:r>
    </w:p>
    <w:p>
      <w:pPr>
        <w:spacing w:after="0" w:line="5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develop or obtain sufficient operational functions to support our commercial activities;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1" w:name="page62"/>
    <w:bookmarkEnd w:id="61"/>
    <w:p>
      <w:pPr>
        <w:ind w:right="640"/>
        <w:spacing w:after="0" w:line="261" w:lineRule="auto"/>
        <w:rPr>
          <w:sz w:val="20"/>
          <w:szCs w:val="20"/>
          <w:color w:val="auto"/>
        </w:rPr>
      </w:pPr>
      <w:r>
        <w:rPr>
          <w:rFonts w:ascii="Arial" w:cs="Arial" w:eastAsia="Arial" w:hAnsi="Arial"/>
          <w:sz w:val="18"/>
          <w:szCs w:val="18"/>
          <w:color w:val="auto"/>
        </w:rPr>
        <w:t>If we are unable or decide not to establish internal sales, marketing and distribution capabilities, or decide not to do so for a particular country, we may pursue collaborative arrangements. If we pursue a collaborative arrangement, our sales will largely depend on the collaborator’s strategic interest in the product and such collaborator’s ability to successfully commercialize the product.</w:t>
      </w:r>
    </w:p>
    <w:p>
      <w:pPr>
        <w:spacing w:after="0" w:line="54"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If we are unable to build our own sales force or access a collaborative relationship for the commercialization of any of our product candidates, we may be forced to delay the potential commercialization of our product candidates or reduce the scope of our sales or marketing activities for such product candidates. If we elect to increase our expenditures to fund commercialization activities ourselves, we will need to obtain additional capital, which may not be available to us on acceptable terms, or at all. We could enter into arrangements with collaborative partners at an earlier stage than otherwise would be ideal and we may be required to relinquish rights to any of our product candidates or otherwise agree to terms unfavorable to us, any of which may have an adverse effect on our business, operating results and prospects.</w:t>
      </w:r>
    </w:p>
    <w:p>
      <w:pPr>
        <w:spacing w:after="0" w:line="6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If we are unable to establish adequate sales, marketing and distribution capabilities, either on our own or in collaboration with third parties, we will not be successful in commercializing our product candidates and may not become profitable and may incur significant additional losses. We will be competing with many companies, including large pharmaceutical companies, that have extensive and well-funded marketing and sales operations. Without an internal team or the support of a third-party to perform marketing and sales functions, we may be unable to compete successfully against these more established companies.</w:t>
      </w:r>
    </w:p>
    <w:p>
      <w:pPr>
        <w:spacing w:after="0" w:line="6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even if we do establish adequate sales, marketing and distribution capabilities, the progress of general industry trends with respect to pricing models, supply chains and delivery mechanisms, among other things, could deviate from our expectations. If these or other industry trends change in a manner which we do not anticipate or for which we are not prepared, we may not be successful in commercializing our product candidates or become profitable.</w:t>
      </w:r>
    </w:p>
    <w:p>
      <w:pPr>
        <w:spacing w:after="0" w:line="64" w:lineRule="exact"/>
        <w:rPr>
          <w:sz w:val="20"/>
          <w:szCs w:val="20"/>
          <w:color w:val="auto"/>
        </w:rPr>
      </w:pPr>
    </w:p>
    <w:p>
      <w:pPr>
        <w:ind w:right="680"/>
        <w:spacing w:after="0" w:line="294"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Our future profitability may depend, in part, on our ability to commercialize our product candidates in foreign markets for which we may rely on collaboration with third parties. We do not currently have any collaborator for the commercialization of any of our product candidates in foreign markets.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additional risks and uncertainties, including but not limited to:</w:t>
      </w:r>
    </w:p>
    <w:p>
      <w:pPr>
        <w:spacing w:after="0" w:line="6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customers’ ability to obtain reimbursement for our product candidates in foreign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directly control commercial activities if we are relying on third parties;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import or export licensing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longer accounts receivable collection times;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supply our product candidates on a timely and large-scale basis in local markets;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longer lead times for shipping which may necessitate local manufacture of our product candidates;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language barriers for technical training and the need for language translations;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of patent and other intellectual property rights in some foreign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2" w:name="page63"/>
    <w:bookmarkEnd w:id="62"/>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foreign currency exchange rate fluctuations;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103"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Foreign sales of our product candidates could also be adversely affected by the imposition of governmental controls, political and economic instability, trade restrictions and changes in tariffs.</w:t>
      </w:r>
    </w:p>
    <w:p>
      <w:pPr>
        <w:spacing w:after="0" w:line="5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any of our product candidates is approved for commercialization, we may selectively partner with third parties to market it in certain jurisdictions outside the United States. We expect that we will be subject to additional risks related to international pharmaceutical operations, including but not limited to:</w:t>
      </w:r>
    </w:p>
    <w:p>
      <w:pPr>
        <w:spacing w:after="0" w:line="7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different regulatory requirements for drug approvals and rules governing drug commercialization in foreign countries;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reduced protection for patent and other intellectual property rights;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foreign reimbursement, pricing and insurance regimes;</w:t>
      </w:r>
    </w:p>
    <w:p>
      <w:pPr>
        <w:spacing w:after="0" w:line="102" w:lineRule="exact"/>
        <w:rPr>
          <w:rFonts w:ascii="Times New Roman" w:cs="Times New Roman" w:eastAsia="Times New Roman" w:hAnsi="Times New Roman"/>
          <w:sz w:val="18"/>
          <w:szCs w:val="18"/>
          <w:color w:val="auto"/>
        </w:rPr>
      </w:pPr>
    </w:p>
    <w:p>
      <w:pPr>
        <w:ind w:left="1020" w:right="440" w:hanging="503"/>
        <w:spacing w:after="0" w:line="286"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noncompliance with the U.S. Foreign Corrupt Practices Act, the U.K. Bribery Act 2010 and similar anti-bribery and anticorruption laws in other jurisdictions; and</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03" w:lineRule="exact"/>
        <w:rPr>
          <w:sz w:val="20"/>
          <w:szCs w:val="20"/>
          <w:color w:val="auto"/>
        </w:rPr>
      </w:pPr>
    </w:p>
    <w:p>
      <w:pPr>
        <w:jc w:val="both"/>
        <w:ind w:right="260"/>
        <w:spacing w:after="0" w:line="252" w:lineRule="auto"/>
        <w:rPr>
          <w:sz w:val="20"/>
          <w:szCs w:val="20"/>
          <w:color w:val="auto"/>
        </w:rPr>
      </w:pPr>
      <w:r>
        <w:rPr>
          <w:rFonts w:ascii="Arial" w:cs="Arial" w:eastAsia="Arial" w:hAnsi="Arial"/>
          <w:sz w:val="18"/>
          <w:szCs w:val="18"/>
          <w:color w:val="auto"/>
        </w:rPr>
        <w:t>As an organization, we have no prior experience in these areas. In addition, we will need to comply with complex regulatory, tax, labor and other legal requirements imposed by both the EU and many of the individual member states in the EU as well as in other global territories such as Southeast Asia where dengue fever is endemic. Many U.S.-based biotechnology companies have found the process of marketing their own products outside of North America to be very challenging.</w:t>
      </w:r>
    </w:p>
    <w:p>
      <w:pPr>
        <w:spacing w:after="0" w:line="7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Certain legal and political risks are also inherent in foreign operations. There is a risk that foreign governments may nationalize private enterprises in certain countries where we may operate. In certain countries or regions, terrorist activities and the response to such activities may threaten our operations more than in the United States. Social and cultural norms in certain countries may not support compliance with our corporate policies, including those that require compliance with substantive laws and regulations. Also, changes in general economic and political conditions in countries where we may operate are a risk to our financial performance and future growth. Additionally, the need to identify financially and commercially strong partners for commercialization outside the United States who will comply with the high manufacturing and legal and regulatory compliance standards we require is a risk to our financial performance. As we operate our business globally, our success will depend, in part, on our ability to anticipate and effectively manage these and other related risks. There can be no assurance that the consequences of these and other factors relating to our international operations will not have an adverse effect on our business, financial condition or results of operations.</w:t>
      </w:r>
    </w:p>
    <w:p>
      <w:pPr>
        <w:spacing w:after="0" w:line="86"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some countries, particularly in the EU,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clinical trials that compare the cost-effectiveness of our product candidates to other available therapies. If reimbursement of our products is unavailable or limited in scope or amount, or if pricing is set at unsatisfactory levels, our business could be harmed, possibly materially.</w:t>
      </w:r>
    </w:p>
    <w:p>
      <w:pPr>
        <w:spacing w:after="0" w:line="71" w:lineRule="exact"/>
        <w:rPr>
          <w:sz w:val="20"/>
          <w:szCs w:val="20"/>
          <w:color w:val="auto"/>
        </w:rPr>
      </w:pPr>
    </w:p>
    <w:p>
      <w:pPr>
        <w:ind w:right="520"/>
        <w:spacing w:after="0" w:line="294" w:lineRule="auto"/>
        <w:rPr>
          <w:sz w:val="20"/>
          <w:szCs w:val="20"/>
          <w:color w:val="auto"/>
        </w:rPr>
      </w:pPr>
      <w:r>
        <w:rPr>
          <w:rFonts w:ascii="Arial" w:cs="Arial" w:eastAsia="Arial" w:hAnsi="Arial"/>
          <w:sz w:val="18"/>
          <w:szCs w:val="18"/>
          <w:b w:val="1"/>
          <w:bCs w:val="1"/>
          <w:i w:val="1"/>
          <w:iCs w:val="1"/>
          <w:color w:val="auto"/>
        </w:rPr>
        <w:t>Potential product liability lawsuits against us could cause us to incur substantial liabilities and limit commercialization of any products that we may develop.</w:t>
      </w:r>
    </w:p>
    <w:p>
      <w:pPr>
        <w:spacing w:after="0" w:line="17"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use of our product candidates in clinical trials and the sale of any products for which we obtain marketing approval exposes us to the risk of product liability claims. Product liability claims might be brought against us by consumers, healthcare providers, pharmaceutical companies or others selling or otherwise coming into contact with our products. On occasion, large judgments have been awarded in class action lawsuits based on products that had unanticipated adverse effects. If we cannot successfully defend against product liability claims, we could incur substantial liability and costs, which may not be covered by insurance. In addition, regardless of merit or eventual outcome, product liability claims may result in:</w:t>
      </w:r>
    </w:p>
    <w:p>
      <w:pPr>
        <w:spacing w:after="0" w:line="67"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impairment of our business reputation and significant negative media attention;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participants from our clinical trials;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3" w:name="page64"/>
    <w:bookmarkEnd w:id="63"/>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initiation of investigations by regulators;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claims and related litigation;</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distraction of management’s attention from our primary business;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patients or other claimants;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inability to commercialize a product candidate;</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exhaustion of any available insurance and our capital resources;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 product candidate, if approved for commercial sale;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10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Manufacturing and our Dependence on Third Parties</w:t>
      </w:r>
    </w:p>
    <w:p>
      <w:pPr>
        <w:spacing w:after="0" w:line="119" w:lineRule="exact"/>
        <w:rPr>
          <w:sz w:val="20"/>
          <w:szCs w:val="20"/>
          <w:color w:val="auto"/>
        </w:rPr>
      </w:pPr>
    </w:p>
    <w:p>
      <w:pPr>
        <w:ind w:right="20"/>
        <w:spacing w:after="0" w:line="249" w:lineRule="auto"/>
        <w:rPr>
          <w:sz w:val="20"/>
          <w:szCs w:val="20"/>
          <w:color w:val="auto"/>
        </w:rPr>
      </w:pPr>
      <w:r>
        <w:rPr>
          <w:rFonts w:ascii="Arial" w:cs="Arial" w:eastAsia="Arial" w:hAnsi="Arial"/>
          <w:sz w:val="18"/>
          <w:szCs w:val="18"/>
          <w:b w:val="1"/>
          <w:bCs w:val="1"/>
          <w:i w:val="1"/>
          <w:iCs w:val="1"/>
          <w:color w:val="auto"/>
        </w:rPr>
        <w:t>We rely and expect to continue to rely on third parties for the manufacture of materials for our research programs, preclinical studies and clinical trials and we do not have long-term contracts with any of these parties. This reliance on third parties increases the risk that we will not have sufficient quantities of such materials or any product candidates that we may develop and, if approved, commercialize, or that such supply will not be available to us at an acceptable cost, which could delay, prevent, or impair our development or commercialization efforts.</w:t>
      </w:r>
    </w:p>
    <w:p>
      <w:pPr>
        <w:spacing w:after="0" w:line="58"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We rely and expect to continue to rely on third parties for the manufacture of materials for our clinical trials and our research activities, preclinical and clinical development. We expect to rely on third parties for commercial manufacture if any of our product candidates receive marketing approval. We do not currently have a long-term agreement with any of the third-party manufacturers we currently use to provide preclinical and clinical trial materials, and we purchase any required materials on a purchase order basis. Certain of these manufacturers are critical to our production and the loss of these manufacturers, or an inability to obtain quantities at an acceptable cost or quality, could delay, prevent or impair our ability to timely conduct preclinical studies or clinical trials, and would materially and adversely affect our development and commercialization efforts. For example, we have only recently begun to manufacture ruzasvir, the product candidate we licensed from Merck in December 2021. Until such time, if ever, as we have successfully manufactured a sufficient quantity of ruzasvir clinical trial material, we will be unable initiate patient enrollment in the planned HCV clinical trials of the combination of bemnifosbuvir and ruzasvir.</w:t>
      </w:r>
    </w:p>
    <w:p>
      <w:pPr>
        <w:spacing w:after="0" w:line="164"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We expect to rely on third-party manufacturers for the commercial supply of any of our product candidates for which we obtain marketing approval, if any.</w:t>
      </w:r>
    </w:p>
    <w:p>
      <w:pPr>
        <w:spacing w:after="0" w:line="126" w:lineRule="exact"/>
        <w:rPr>
          <w:sz w:val="20"/>
          <w:szCs w:val="20"/>
          <w:color w:val="auto"/>
        </w:rPr>
      </w:pPr>
    </w:p>
    <w:p>
      <w:pPr>
        <w:jc w:val="both"/>
        <w:ind w:right="180"/>
        <w:spacing w:after="0" w:line="261" w:lineRule="auto"/>
        <w:rPr>
          <w:sz w:val="20"/>
          <w:szCs w:val="20"/>
          <w:color w:val="auto"/>
        </w:rPr>
      </w:pPr>
      <w:r>
        <w:rPr>
          <w:rFonts w:ascii="Arial" w:cs="Arial" w:eastAsia="Arial" w:hAnsi="Arial"/>
          <w:sz w:val="18"/>
          <w:szCs w:val="18"/>
          <w:color w:val="auto"/>
        </w:rPr>
        <w:t>We may be unable to maintain or establish required agreements with third-party manufacturers or to do so on acceptable terms. Even if we are able to establish agreements with third-party manufacturers, reliance on third-party manufacturers entails additional risks, including but not limited to:</w:t>
      </w:r>
    </w:p>
    <w:p>
      <w:pPr>
        <w:spacing w:after="0" w:line="54" w:lineRule="exact"/>
        <w:rPr>
          <w:sz w:val="20"/>
          <w:szCs w:val="20"/>
          <w:color w:val="auto"/>
        </w:rPr>
      </w:pPr>
    </w:p>
    <w:p>
      <w:pPr>
        <w:ind w:left="1020" w:hanging="503"/>
        <w:spacing w:after="0" w:line="252"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 as a result of accidents, fire, loss of personnel, business decisions at or by the third-party manufacturer or otherwise;</w:t>
      </w:r>
    </w:p>
    <w:p>
      <w:pPr>
        <w:spacing w:after="0" w:line="6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4" w:name="page65"/>
    <w:bookmarkEnd w:id="64"/>
    <w:p>
      <w:pPr>
        <w:ind w:left="1020" w:right="9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3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breach by the third-party contractors of our agreements with them;</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failure of the third-party to manufacture our product candidates according to our specifications;</w:t>
      </w:r>
    </w:p>
    <w:p>
      <w:pPr>
        <w:spacing w:after="0" w:line="102"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mislabeling of clinical supplies, potentially resulting in the wrong dose amounts being supplied or active drug or placebo not being properly identified;</w:t>
      </w:r>
    </w:p>
    <w:p>
      <w:pPr>
        <w:spacing w:after="0" w:line="59"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improper handling of clinical supplies, whether during transit or otherwise, impacting the quality of such clinical supplies leading to loss of GMP status and the resulting inability to use such clinical supplies in clinical trials which may result in clinical interruptions and delays in the commencement of planned clinical trials;</w:t>
      </w:r>
    </w:p>
    <w:p>
      <w:pPr>
        <w:spacing w:after="0" w:line="62" w:lineRule="exact"/>
        <w:rPr>
          <w:rFonts w:ascii="Times New Roman" w:cs="Times New Roman" w:eastAsia="Times New Roman" w:hAnsi="Times New Roman"/>
          <w:sz w:val="18"/>
          <w:szCs w:val="18"/>
          <w:color w:val="auto"/>
        </w:rPr>
      </w:pPr>
    </w:p>
    <w:p>
      <w:pPr>
        <w:ind w:left="1020" w:right="320" w:hanging="503"/>
        <w:spacing w:after="0" w:line="286"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clinical supplies not being delivered to clinical sites on time, leading to clinical trial interruptions, or of drug supplies not being distributed to commercial vendors in a timely manner, resulting in lost sales; and</w:t>
      </w:r>
    </w:p>
    <w:p>
      <w:pPr>
        <w:spacing w:after="0" w:line="32"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the misappropriation or unauthorized disclosure of our intellectual property or other proprietary information, including our trade secrets and know-how.</w:t>
      </w:r>
    </w:p>
    <w:p>
      <w:pPr>
        <w:spacing w:after="0" w:line="6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 particular, we have relied on third parties located in China to manufacture and supply certain materials for our current product candidates, and we expect to continue to use such third-party manufacturers. Any disruption in production or inability of our manufacturers in China to produce adequate quantities to meet our needs, whether as a result of a natural disaster, pandemics, trade disruptions or other causes, could impair our ability to operate our business on a day-to-day basis and to continue our research and development of our product candidates. For example, the Uyghur Forced Labor Prevention Act bans imports from China’s Xinjiang region unless it can be shown that the goods were not produced using forced labor and this legislation may have an adverse effect on global supply chains which could adversely impact our business and results of operations.</w:t>
      </w:r>
    </w:p>
    <w:p>
      <w:pPr>
        <w:spacing w:after="0" w:line="67"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regulations and similar regulatory requirements for manufacturing both active drug substances and finished drug products. Third -party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authorization for their manufacturing facilities. In addition, we do not have control over the ability of our contract manufacturers to maintain adequate quality control, quality assurance and qualified personnel. If the FDA or a comparable foreign regulatory authority does not authorize these facilities for the manufacture of our product candidates or if it withdraws any such authorization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72" w:lineRule="exact"/>
        <w:rPr>
          <w:sz w:val="20"/>
          <w:szCs w:val="20"/>
          <w:color w:val="auto"/>
        </w:rPr>
      </w:pPr>
    </w:p>
    <w:p>
      <w:pPr>
        <w:ind w:right="620"/>
        <w:spacing w:after="0" w:line="309" w:lineRule="auto"/>
        <w:rPr>
          <w:sz w:val="20"/>
          <w:szCs w:val="20"/>
          <w:color w:val="auto"/>
        </w:rPr>
      </w:pPr>
      <w:r>
        <w:rPr>
          <w:rFonts w:ascii="Arial" w:cs="Arial" w:eastAsia="Arial" w:hAnsi="Arial"/>
          <w:sz w:val="17"/>
          <w:szCs w:val="17"/>
          <w:b w:val="1"/>
          <w:bCs w:val="1"/>
          <w:i w:val="1"/>
          <w:iCs w:val="1"/>
          <w:color w:val="auto"/>
        </w:rPr>
        <w:t>Our third-party manufacturers may be unable to successfully scale up manufacturing of our product candidates in sufficient quality and quantity, which may impair the clinical advancement and commercialization of our product candidates.</w:t>
      </w:r>
    </w:p>
    <w:p>
      <w:pPr>
        <w:spacing w:after="0" w:line="2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In order to conduct clinical trials of our product candidates and commercialize any approved product, our manufacturers need to manufacture them in large quantities. However, they may be unable to successfully increase the manufacturing capacity for any of our product candidates or products in a timely or cost-effective manner, or at all. In addition, quality issues may arise during scale-up activities. If we, or any manufacturers are unable to successfully scale up the manufacture of our product candidates in sufficient quality and quantity, the development, testing and clinical trials of these product candidates may be delayed or infeasible, and regulatory approval or commercial launch of any resulting products may be delayed or not obtained, which could significantly harm our business. Supply sources could be interrupted from time to time and, if interrupted, would disrupt our manufacturers’ ability to manufacture our product candidates at the scale required. If we are unable to meet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5" w:name="page66"/>
    <w:bookmarkEnd w:id="65"/>
    <w:p>
      <w:pPr>
        <w:ind w:right="80"/>
        <w:spacing w:after="0" w:line="287" w:lineRule="auto"/>
        <w:rPr>
          <w:sz w:val="20"/>
          <w:szCs w:val="20"/>
          <w:color w:val="auto"/>
        </w:rPr>
      </w:pPr>
      <w:r>
        <w:rPr>
          <w:rFonts w:ascii="Arial" w:cs="Arial" w:eastAsia="Arial" w:hAnsi="Arial"/>
          <w:sz w:val="18"/>
          <w:szCs w:val="18"/>
          <w:color w:val="auto"/>
        </w:rPr>
        <w:t>clinical or commercial supply need for our product candidates, or to do so on commercially reasonable terms, we may not be able to develop and commercialize our product candidates successfully.</w:t>
      </w:r>
    </w:p>
    <w:p>
      <w:pPr>
        <w:spacing w:after="0" w:line="33"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We do not have multiple sources of supply for some of the components used in our product candidates, nor long-term supply contracts, and certain of our suppliers are critical to our production. If we were to lose a critical supplier, it could have a material adverse effect on our ability to complete the development of our product candidates. If we obtain regulatory approval for any of our product candidates, we would need to expand the supply of their components in order to commercialize them.</w:t>
      </w:r>
    </w:p>
    <w:p>
      <w:pPr>
        <w:spacing w:after="0" w:line="5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We do not have multiple sources of supply for each of the components used in the manufacturing of bemnifosbuvir, AT-752 or ruzasvir or any of our other product candidates. For each of our product candidates, we have sole suppliers located in China for our active pharmaceutical ingredients. We do not have long-term supply agreements with any of our component suppliers. We may not be able to establish additional sources of supply for our product candidates, or may be unable to do so on acceptable terms. Manufacturing suppliers are subject to cGMP quality and regulatory requirements and similar regulatory requirements, covering manufacturing, testing, quality control and record keeping relating to our product candidates and subject to ongoing inspections by applicable regulatory authorities. Manufacturing suppliers are also subject to local, state and federal regulations and licensing requirements. Failure by any of our suppliers to comply with all applicable regulations and requirements may result in long delays and interruptions in supply.</w:t>
      </w:r>
    </w:p>
    <w:p>
      <w:pPr>
        <w:spacing w:after="0" w:line="85"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The number of suppliers of the components of our product candidates is limited. In the event it is necessary or desirable to acquire supplies from alternative suppliers, we might not be able to obtain them on commercially reasonable terms, if at all. It could also require significant time and expense to redesign our manufacturing processes to work with another company and redesign of processes can trigger the need for conducting additional studies such as comparability or bridging studies. Additionally, certain of our suppliers are critical to our production, and the loss of these suppliers to one of our competitors or otherwise would materially and adversely affect our development and commercialization efforts.</w:t>
      </w:r>
    </w:p>
    <w:p>
      <w:pPr>
        <w:spacing w:after="0" w:line="82"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As part of any marketing approval, regulatory authorities conduct inspections that must be successful prior to the approval of the product. Failure of manufacturing suppliers to successfully complete these regulatory inspections will result in delays. If supply from the approved supplier is interrupted, there could be a significant disruption in commercial supply. An alternative vendor would need to be qualified through a NDA amendment or supplement, which could result in further delay. The FDA or other regulatory authorities outside of the United States may also require additional studies if a new supplier is relied upon for commercial production. Switching vendors may involve substantial costs and is likely to result in a delay in our desired clinical and commercial timelines.</w:t>
      </w:r>
    </w:p>
    <w:p>
      <w:pPr>
        <w:spacing w:after="0" w:line="5" w:lineRule="exact"/>
        <w:rPr>
          <w:sz w:val="20"/>
          <w:szCs w:val="20"/>
          <w:color w:val="auto"/>
        </w:rPr>
      </w:pPr>
    </w:p>
    <w:p>
      <w:pPr>
        <w:ind w:right="460"/>
        <w:spacing w:after="0" w:line="250" w:lineRule="auto"/>
        <w:rPr>
          <w:sz w:val="20"/>
          <w:szCs w:val="20"/>
          <w:color w:val="auto"/>
        </w:rPr>
      </w:pPr>
      <w:r>
        <w:rPr>
          <w:rFonts w:ascii="Arial" w:cs="Arial" w:eastAsia="Arial" w:hAnsi="Arial"/>
          <w:sz w:val="18"/>
          <w:szCs w:val="18"/>
          <w:color w:val="auto"/>
        </w:rPr>
        <w:t>If we are unable to obtain the supplies we need at a reasonable price or on a timely basis, it could have a material adverse effect on our ability to complete the development of our product candidates or, if we obtain regulatory approval for our product candidates, to commercialize them.</w:t>
      </w:r>
    </w:p>
    <w:p>
      <w:pPr>
        <w:spacing w:after="0" w:line="66"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Any failure by a third-party to conduct the clinical trials according to GCPs and in a timely manner may delay or prevent our ability to seek or obtain regulatory approval for or commercialize our product candidates.</w:t>
      </w:r>
    </w:p>
    <w:p>
      <w:pPr>
        <w:spacing w:after="0" w:line="4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We are dependent on third parties to conduct critical aspects of our preclinical studies and clinical trials, and we expect to rely on third parties to conduct future clinical trials and preclinical studies for our product candidates. Specifically, we have used and relied on, and intend to continue to use and rely on, medical institutions, clinical investigators, CROs and consultants to conduct our clinical trials in accordance with our clinical protocols and regulatory requirements. These CROs, investigators and other third parties play a significant role in the conduct and timing of these trials and subsequent collection and analysis of data. While we have agreements governing the activities of our third-party contractors, we have limited influence over their actual performance. Nevertheless, we are responsible for ensuring that each of our clinical trials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and comparable foreign regulatory authorities for all of our product candidates in clinical development. 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or research activities complies with GCP regulations. In addition, our clinical trials must be conducted with product produced under cGMP or similar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6" w:name="page67"/>
    <w:bookmarkEnd w:id="66"/>
    <w:p>
      <w:pPr>
        <w:ind w:right="140"/>
        <w:spacing w:after="0" w:line="287" w:lineRule="auto"/>
        <w:rPr>
          <w:sz w:val="20"/>
          <w:szCs w:val="20"/>
          <w:color w:val="auto"/>
        </w:rPr>
      </w:pPr>
      <w:r>
        <w:rPr>
          <w:rFonts w:ascii="Arial" w:cs="Arial" w:eastAsia="Arial" w:hAnsi="Arial"/>
          <w:sz w:val="18"/>
          <w:szCs w:val="18"/>
          <w:color w:val="auto"/>
        </w:rPr>
        <w:t>regulations outside the United States. Our failure to comply with these regulations may require us to repeat clinical trials, which would delay the regulatory approval process.</w:t>
      </w:r>
    </w:p>
    <w:p>
      <w:pPr>
        <w:spacing w:after="0" w:line="3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Any third parties conducting our clinical trials or preclinical studies are not and will not be our employees and, except for remedies available to us under our agreements with such third parties, we cannot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 In addition, many of the third parties with whom we contract may also have relationships with other commercial entities, including our competitors, for whom they may also be conducting clinical trials or other drug development activities that could harm our competitive position. In addition, principal investigators for our clinical trials may serve as scientific advisors or consultants to us from time to time and may receive cash and cash equivalents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trial, the integrity of the data generated at the applicable clinical trial site may be questioned, and the utility of the clinical trial itself may be jeopardized, which could result in the delay or rejection of any NDA or similar applications we submit to the FDA or foreign regulatory authorities. Any such delay or rejection could prevent us from commercializing our product candidates.</w:t>
      </w:r>
    </w:p>
    <w:p>
      <w:pPr>
        <w:spacing w:after="0" w:line="70"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and substantially all our clinical trial sites have an ability to terminate their respective agreements with us if it can be reasonably demonstrated that the safety of the subjects participating in our clinical trials warrants such termination.</w:t>
      </w:r>
    </w:p>
    <w:p>
      <w:pPr>
        <w:spacing w:after="0" w:line="54"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occur, which could materially impact our ability to meet our desired clinical development timelines. Though we carefully manage our relationships with our CROs, investigators and other third parties, there can be no assurance that we will not encounter challenges or delays in the future or that these delays or challenges will not have a material adverse impact on our business, financial condition and prospects.</w:t>
      </w:r>
    </w:p>
    <w:p>
      <w:pPr>
        <w:spacing w:after="0" w:line="69"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We may collaborate with third parties for the development and commercialization of our candidates. We may not succeed in establishing and maintaining collaborative relationships, which may significantly limit our ability to develop and commercialize our product candidates successfully, if at all.</w:t>
      </w:r>
    </w:p>
    <w:p>
      <w:pPr>
        <w:spacing w:after="0" w:line="65"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We may seek collaborative relationships for the development and commercialization of our product candidates. If we enter into any collaborative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product revenue from any collaborations will depend on our collaborators’ abilities to successfully perform the functions assigned to them. We cannot predict the success of any collaboration that we enter into.</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Collaborations involving our product candidates involve many risks, including:</w:t>
      </w:r>
    </w:p>
    <w:p>
      <w:pPr>
        <w:spacing w:after="0" w:line="117" w:lineRule="exact"/>
        <w:rPr>
          <w:sz w:val="20"/>
          <w:szCs w:val="20"/>
          <w:color w:val="auto"/>
        </w:rPr>
      </w:pPr>
    </w:p>
    <w:p>
      <w:pPr>
        <w:ind w:left="1020" w:right="840" w:hanging="503"/>
        <w:spacing w:after="0" w:line="270"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generally have significant discretion in determining the efforts and resources that they will apply to these collaborations;</w:t>
      </w:r>
    </w:p>
    <w:p>
      <w:pPr>
        <w:spacing w:after="0" w:line="46" w:lineRule="exact"/>
        <w:rPr>
          <w:rFonts w:ascii="Times New Roman" w:cs="Times New Roman" w:eastAsia="Times New Roman" w:hAnsi="Times New Roman"/>
          <w:sz w:val="18"/>
          <w:szCs w:val="18"/>
          <w:color w:val="auto"/>
        </w:rPr>
      </w:pPr>
    </w:p>
    <w:p>
      <w:pPr>
        <w:ind w:left="1020" w:right="4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may use our proprietary information inappropriately or in such a way as to expose us to potential litigation or other intellectual property-related proceedings, including proceedings challenging the scope, ownership, validity and enforceability of our intellectual property;</w:t>
      </w:r>
    </w:p>
    <w:p>
      <w:pPr>
        <w:spacing w:after="0" w:line="74" w:lineRule="exact"/>
        <w:rPr>
          <w:rFonts w:ascii="Times New Roman" w:cs="Times New Roman" w:eastAsia="Times New Roman" w:hAnsi="Times New Roman"/>
          <w:sz w:val="18"/>
          <w:szCs w:val="18"/>
          <w:color w:val="auto"/>
        </w:rPr>
      </w:pPr>
    </w:p>
    <w:p>
      <w:pPr>
        <w:jc w:val="both"/>
        <w:ind w:left="1020" w:right="200" w:hanging="503"/>
        <w:spacing w:after="0" w:line="252"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own or co-own intellectual property rights covering our product candidates that result from our collaboration with them, and in such cases, we may not have the exclusive right to commercialize such intellectual property or such product candidates;</w:t>
      </w:r>
    </w:p>
    <w:p>
      <w:pPr>
        <w:spacing w:after="0" w:line="6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with respect to the ownership of intellectual property developed pursuant to collaborations;</w:t>
      </w: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67" w:name="page68"/>
    <w:bookmarkEnd w:id="67"/>
    <w:p>
      <w:pPr>
        <w:ind w:left="1020" w:right="24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3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59" w:lineRule="exact"/>
        <w:rPr>
          <w:rFonts w:ascii="Times New Roman" w:cs="Times New Roman" w:eastAsia="Times New Roman" w:hAnsi="Times New Roman"/>
          <w:sz w:val="18"/>
          <w:szCs w:val="18"/>
          <w:color w:val="auto"/>
        </w:rPr>
      </w:pPr>
    </w:p>
    <w:p>
      <w:pPr>
        <w:ind w:left="1020" w:right="6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that result in costly litigation or arbitration that diverts management attention and resources;</w:t>
      </w:r>
    </w:p>
    <w:p>
      <w:pPr>
        <w:spacing w:after="0" w:line="76"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terminate the collaboration, and, as a result, we may not be able to develop a product candidate or we will have to use our own clinical resources and capital to continue development of the product candidate;</w:t>
      </w:r>
    </w:p>
    <w:p>
      <w:pPr>
        <w:spacing w:after="0" w:line="46"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decide not to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61" w:lineRule="exact"/>
        <w:rPr>
          <w:rFonts w:ascii="Times New Roman" w:cs="Times New Roman" w:eastAsia="Times New Roman" w:hAnsi="Times New Roman"/>
          <w:sz w:val="18"/>
          <w:szCs w:val="18"/>
          <w:color w:val="auto"/>
        </w:rPr>
      </w:pPr>
    </w:p>
    <w:p>
      <w:pPr>
        <w:ind w:left="1020" w:right="44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delay clinical trials, provide insufficient funding for a clinical trial, stop a clinical trial or abandon a product candidate, repeat or conduct new clinical trials, or require a new formulation of a product candidate for clinical testing;</w:t>
      </w:r>
    </w:p>
    <w:p>
      <w:pPr>
        <w:spacing w:after="0" w:line="32" w:lineRule="exact"/>
        <w:rPr>
          <w:rFonts w:ascii="Times New Roman" w:cs="Times New Roman" w:eastAsia="Times New Roman" w:hAnsi="Times New Roman"/>
          <w:sz w:val="18"/>
          <w:szCs w:val="18"/>
          <w:color w:val="auto"/>
        </w:rPr>
      </w:pPr>
    </w:p>
    <w:p>
      <w:pPr>
        <w:ind w:left="1020" w:right="140" w:hanging="503"/>
        <w:spacing w:after="0" w:line="26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w:t>
      </w:r>
    </w:p>
    <w:p>
      <w:pPr>
        <w:spacing w:after="0" w:line="5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59" w:lineRule="exact"/>
        <w:rPr>
          <w:rFonts w:ascii="Times New Roman" w:cs="Times New Roman" w:eastAsia="Times New Roman" w:hAnsi="Times New Roman"/>
          <w:sz w:val="18"/>
          <w:szCs w:val="18"/>
          <w:color w:val="auto"/>
        </w:rPr>
      </w:pPr>
    </w:p>
    <w:p>
      <w:pPr>
        <w:ind w:left="1020" w:right="34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46" w:lineRule="exact"/>
        <w:rPr>
          <w:rFonts w:ascii="Times New Roman" w:cs="Times New Roman" w:eastAsia="Times New Roman" w:hAnsi="Times New Roman"/>
          <w:sz w:val="18"/>
          <w:szCs w:val="18"/>
          <w:color w:val="auto"/>
        </w:rPr>
      </w:pPr>
    </w:p>
    <w:p>
      <w:pPr>
        <w:ind w:left="1020" w:right="2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undergo a change of control and the new owners may decide to take the collaboration in a direction that is not in our best interest;</w:t>
      </w:r>
    </w:p>
    <w:p>
      <w:pPr>
        <w:spacing w:after="0" w:line="32"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become party to a business combination transaction and the continued pursuit and emphasis on our development or commercialization program by the resulting entity under our existing collaboration could be delayed, diminished or terminated;</w:t>
      </w:r>
    </w:p>
    <w:p>
      <w:pPr>
        <w:spacing w:after="0" w:line="76" w:lineRule="exact"/>
        <w:rPr>
          <w:rFonts w:ascii="Times New Roman" w:cs="Times New Roman" w:eastAsia="Times New Roman" w:hAnsi="Times New Roman"/>
          <w:sz w:val="18"/>
          <w:szCs w:val="18"/>
          <w:color w:val="auto"/>
        </w:rPr>
      </w:pPr>
    </w:p>
    <w:p>
      <w:pPr>
        <w:ind w:left="1020" w:right="16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devices, materials, know-how or intellectual property of the collaborator relating to our product candidates;</w:t>
      </w:r>
    </w:p>
    <w:p>
      <w:pPr>
        <w:spacing w:after="0" w:line="76" w:lineRule="exact"/>
        <w:rPr>
          <w:rFonts w:ascii="Times New Roman" w:cs="Times New Roman" w:eastAsia="Times New Roman" w:hAnsi="Times New Roman"/>
          <w:sz w:val="18"/>
          <w:szCs w:val="18"/>
          <w:color w:val="auto"/>
        </w:rPr>
      </w:pPr>
    </w:p>
    <w:p>
      <w:pPr>
        <w:ind w:left="1020" w:right="102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46" w:lineRule="exact"/>
        <w:rPr>
          <w:rFonts w:ascii="Times New Roman" w:cs="Times New Roman" w:eastAsia="Times New Roman" w:hAnsi="Times New Roman"/>
          <w:sz w:val="18"/>
          <w:szCs w:val="18"/>
          <w:color w:val="auto"/>
        </w:rPr>
      </w:pPr>
    </w:p>
    <w:p>
      <w:pPr>
        <w:ind w:left="1020" w:right="100" w:hanging="503"/>
        <w:spacing w:after="0" w:line="286"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32"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or result in delays to development or commercialization of the applicable product candidates; and</w:t>
      </w:r>
    </w:p>
    <w:p>
      <w:pPr>
        <w:spacing w:after="0" w:line="59" w:lineRule="exact"/>
        <w:rPr>
          <w:rFonts w:ascii="Times New Roman" w:cs="Times New Roman" w:eastAsia="Times New Roman" w:hAnsi="Times New Roman"/>
          <w:sz w:val="18"/>
          <w:szCs w:val="18"/>
          <w:color w:val="auto"/>
        </w:rPr>
      </w:pPr>
    </w:p>
    <w:p>
      <w:pPr>
        <w:ind w:left="1020" w:right="100" w:hanging="503"/>
        <w:spacing w:after="0" w:line="270"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w:t>
      </w:r>
    </w:p>
    <w:p>
      <w:pPr>
        <w:spacing w:after="0" w:line="46"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For example, in February 2022, the Roche License Agreement under which we granted to Roche an exclusive license related to bemnifosbuvir for certain development rights and commercialization rights outside of the United States terminated. As a result, substantially all activities that Roche was conducting in connection with the development and manufacture of bemnifosbuvir, including global manufacture of clinical trial material and certain operations necessary for the conduct of clinical trials, ceased. Substantially all of these activities are necessary for the continued global development of a bemnifosbuvir COV19 product candidate and we are now solely responsible for the conduct and cost of such activities.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8" w:name="page69"/>
    <w:bookmarkEnd w:id="68"/>
    <w:p>
      <w:pPr>
        <w:spacing w:after="0" w:line="246" w:lineRule="auto"/>
        <w:rPr>
          <w:sz w:val="20"/>
          <w:szCs w:val="20"/>
          <w:color w:val="auto"/>
        </w:rPr>
      </w:pPr>
      <w:r>
        <w:rPr>
          <w:rFonts w:ascii="Arial" w:cs="Arial" w:eastAsia="Arial" w:hAnsi="Arial"/>
          <w:sz w:val="18"/>
          <w:szCs w:val="18"/>
          <w:color w:val="auto"/>
        </w:rPr>
        <w:t>We may face significant competition in seeking appropriate collaborations.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7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For example, if the Merck License Agreement was terminated, we would be required to discontinue the development, manufacture and commercialization of ruzasvir in combination with bemnifosbuvir, our lead product candidate for the treatment of HCV, unless we could enter into another agreement with Merck potentially at a premium.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spacing w:after="0" w:line="89"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b w:val="1"/>
          <w:bCs w:val="1"/>
          <w:i w:val="1"/>
          <w:iCs w:val="1"/>
          <w:color w:val="auto"/>
        </w:rPr>
        <w:t>Data provided by collaborators and others upon which we rely that have not been independently verified could turn out to be false, misleading or incomplete.</w:t>
      </w:r>
    </w:p>
    <w:p>
      <w:pPr>
        <w:spacing w:after="0" w:line="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rely on third-party vendors, such as CROs, scientists and collaborators to provide us with significant data and other information related to our programs, preclinical studies or clinical trials and our business. If such third parties provide inaccurate, misleading or incomplete data, our business, prospects and results of operations could be materially adversely affected.</w:t>
      </w:r>
    </w:p>
    <w:p>
      <w:pPr>
        <w:spacing w:after="0" w:line="5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CROs, consultants, vendors and any third parties we may engage in connection with research, development, regulatory, manufacturing, quality assurance and other pharmaceutical functions and commercialization may engage in misconduct or other improper activities, including noncompliance with regulatory standards and requirements, which could have a material adverse effect on our business.</w:t>
      </w:r>
    </w:p>
    <w:p>
      <w:pPr>
        <w:spacing w:after="0" w:line="53"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Misconduct by our employees and independent contractors, including principal investigators, CROs, consultants, vendors and any third parties we may engage in connection with research, development, regulatory, manufacturing, quality assurance and other pharmaceutical functions and commercialization,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anti-corruption,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preclinical studies or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69" w:name="page70"/>
    <w:bookmarkEnd w:id="69"/>
    <w:p>
      <w:pPr>
        <w:ind w:right="200"/>
        <w:spacing w:after="0" w:line="251" w:lineRule="auto"/>
        <w:rPr>
          <w:sz w:val="20"/>
          <w:szCs w:val="20"/>
          <w:color w:val="auto"/>
        </w:rPr>
      </w:pPr>
      <w:r>
        <w:rPr>
          <w:rFonts w:ascii="Arial" w:cs="Arial" w:eastAsia="Arial" w:hAnsi="Arial"/>
          <w:sz w:val="18"/>
          <w:szCs w:val="18"/>
          <w:color w:val="auto"/>
        </w:rPr>
        <w:t>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67" w:lineRule="exact"/>
        <w:rPr>
          <w:sz w:val="20"/>
          <w:szCs w:val="20"/>
          <w:color w:val="auto"/>
        </w:rPr>
      </w:pPr>
    </w:p>
    <w:p>
      <w:pPr>
        <w:ind w:right="20"/>
        <w:spacing w:after="0" w:line="278" w:lineRule="auto"/>
        <w:rPr>
          <w:sz w:val="20"/>
          <w:szCs w:val="20"/>
          <w:color w:val="auto"/>
        </w:rPr>
      </w:pPr>
      <w:r>
        <w:rPr>
          <w:rFonts w:ascii="Arial" w:cs="Arial" w:eastAsia="Arial" w:hAnsi="Arial"/>
          <w:sz w:val="18"/>
          <w:szCs w:val="18"/>
          <w:b w:val="1"/>
          <w:bCs w:val="1"/>
          <w:i w:val="1"/>
          <w:iCs w:val="1"/>
          <w:color w:val="auto"/>
        </w:rPr>
        <w:t>If our CMOs and CROs use hazardous and biological materials in a manner that causes injury or violates applicable law, we may be liable for damages.</w:t>
      </w:r>
    </w:p>
    <w:p>
      <w:pPr>
        <w:spacing w:after="0" w:line="45"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materials by our CMOs and biological materials by our CROs. Our CMOs and CROs are subject to federal, state and local laws and regulations in the United States and in the countries in which they operate governing the use, manufacture, storage, handling and disposal of medical and hazardous materials. Although we believe that our manufacturers’ and CROs’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Generally, we do not have any insurance for liabilities arising from the improper handling of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06"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b w:val="1"/>
          <w:bCs w:val="1"/>
          <w:i w:val="1"/>
          <w:iCs w:val="1"/>
          <w:color w:val="auto"/>
        </w:rPr>
        <w:t>If we are unable to obtain, maintain, enforce and adequately protect our intellectual property rights with respect to our technology and product candidates, or if the scope of the patent or other intellectual property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spacing w:after="0" w:line="67"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our intellectual property and prevent others from duplicating AT-511 (the free base of bemnifosbuvir), bemnifosbuvir, AT-281 (the free base of bemnifosbuvir), bemnifosbuvir and our in-licensed compound ruzasvir and their use or manufacture, or any of our other pipeline product candidates and any future product candidates. Our success depends in large part on our ability to obtain and maintain patent protection in the United States and other countries with respect to such product candidates.</w:t>
      </w:r>
    </w:p>
    <w:p>
      <w:pPr>
        <w:spacing w:after="0" w:line="69"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patent prosecution process is expensive, time-consuming, and complex, and we may not be able to file, prosecute, maintain, enforce, or license all necessary or desirable patent applications at a reasonable cost or in a timely manner. Although we enter into confidentiality agreements with parties who have access to confidential or patentable aspects of our research and development output, such as our employees, CROs, consultants, scientific advisors and other contractors,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United States and other jurisdictions are typically not published until 18 months after filing, and some remain so until issued. Therefore, we cannot be certain that we were the first to make the inventions claimed in our patents or pending patent applications, or that we were the first to file any patent application related to an invention or product candidate. Further, if we encounter delays in regulatory approvals, the period of time during which we could market a product candidate under patent protection could be reduced.</w:t>
      </w:r>
    </w:p>
    <w:p>
      <w:pPr>
        <w:spacing w:after="0" w:line="69"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The strength of patents in the pharmaceutical field involves complex legal, factual and scientific questions and can be uncertain. It is possible that we will fail to identify patentable aspects of our research and development output before it is too late to obtain patent protection. The patent applications that we own may fail to result in issued patents with claims that cover our product candidates in the United States or in other foreign countries. There is no assurance that all of the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 inventorship, ownership, validity, enforceability or scope of such patents, which may result in such patents being narrowed or invalidated, or being held unenforceable. Our pending and future patent applications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0" w:name="page71"/>
    <w:bookmarkEnd w:id="70"/>
    <w:p>
      <w:pPr>
        <w:spacing w:after="0" w:line="251" w:lineRule="auto"/>
        <w:rPr>
          <w:sz w:val="20"/>
          <w:szCs w:val="20"/>
          <w:color w:val="auto"/>
        </w:rPr>
      </w:pPr>
      <w:r>
        <w:rPr>
          <w:rFonts w:ascii="Arial" w:cs="Arial" w:eastAsia="Arial" w:hAnsi="Arial"/>
          <w:sz w:val="18"/>
          <w:szCs w:val="18"/>
          <w:color w:val="auto"/>
        </w:rPr>
        <w:t>may not result in patents being issued which protect our technology or product candidates or which effectively prevent others from commercializing competitive technologies and product candidates. Additionally, any U.S. provisional patent application that we file is not eligible to become an issued patent until, among other things, we file a non-provisional patent application within 12 months of filing the related provisional patent application. If we do not timely file any non-provisional patent application, we may lose our priority date with respect to the provisional patent application and any patent protection on the inventions disclosed in the provisional patent application.</w:t>
      </w:r>
    </w:p>
    <w:p>
      <w:pPr>
        <w:spacing w:after="0" w:line="65" w:lineRule="exact"/>
        <w:rPr>
          <w:sz w:val="20"/>
          <w:szCs w:val="20"/>
          <w:color w:val="auto"/>
        </w:rPr>
      </w:pPr>
    </w:p>
    <w:p>
      <w:pPr>
        <w:jc w:val="both"/>
        <w:ind w:right="80"/>
        <w:spacing w:after="0" w:line="258" w:lineRule="auto"/>
        <w:rPr>
          <w:sz w:val="20"/>
          <w:szCs w:val="20"/>
          <w:color w:val="auto"/>
        </w:rPr>
      </w:pPr>
      <w:r>
        <w:rPr>
          <w:rFonts w:ascii="Arial" w:cs="Arial" w:eastAsia="Arial" w:hAnsi="Arial"/>
          <w:sz w:val="17"/>
          <w:szCs w:val="17"/>
          <w:color w:val="auto"/>
        </w:rPr>
        <w:t>Furthermore, even if they are unchallenged, our patents and patent applications may not adequately protect our intellectual property, provide exclusivity for our product candidates or prevent others from designing around our claims. In addition, no assurances can be given that third parties will not create similar or alternative products or methods that achieve similar results without infringing upon our patents. Any of these outcomes could impair our ability to prevent competition from third parties, which may have an adverse impact on our business.</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If the patent applications we hold with respect to our programs or product candidates fail to issue, if the breadth or strength of protection of our current or future issued patents is threatened, or if they fail to provide meaningful exclusivity for our product candidates, it could dissuade companies from collaborating with us to develop product candidates, or threaten our ability to commercialize our current or future product candidates. Several patent applications covering our product candidates have been filed recently by us. We cannot offer any assurances about which, if any, will result in issued patents, the breadth of any such patents or whether any issued patents will be found invalid or unenforceable or will be threatened by third parties. Any successful opposition to these patents or any other patents owned by us could deprive us of rights necessary for the successful commercialization of any product candidates that we may develop.</w:t>
      </w:r>
    </w:p>
    <w:p>
      <w:pPr>
        <w:spacing w:after="0" w:line="74" w:lineRule="exact"/>
        <w:rPr>
          <w:sz w:val="20"/>
          <w:szCs w:val="20"/>
          <w:color w:val="auto"/>
        </w:rPr>
      </w:pPr>
    </w:p>
    <w:p>
      <w:pPr>
        <w:ind w:right="360"/>
        <w:spacing w:after="0" w:line="252" w:lineRule="auto"/>
        <w:rPr>
          <w:sz w:val="20"/>
          <w:szCs w:val="20"/>
          <w:color w:val="auto"/>
        </w:rPr>
      </w:pPr>
      <w:r>
        <w:rPr>
          <w:rFonts w:ascii="Arial" w:cs="Arial" w:eastAsia="Arial" w:hAnsi="Arial"/>
          <w:sz w:val="18"/>
          <w:szCs w:val="18"/>
          <w:color w:val="auto"/>
        </w:rPr>
        <w:t>The issuance of a patent is not conclusive as to its inventorship, ownership, scope, validity or enforceability, and our patents may be challenged in courts or patent offices in the United States and abroad. In addition, the issuance of a patent does not give us the right to practice the patented invention, as third parties may have blocking patents that could prevent us from marketing our product candidate, if approved, or practicing our own patented technology.</w:t>
      </w:r>
    </w:p>
    <w:p>
      <w:pPr>
        <w:spacing w:after="0" w:line="76"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Wide-ranging patent reform legislation in the United States, including the Leahy-Smith America Invents Act of 2011, (the “Leahy-Smith Act”), may increase the uncertainty of the strength or enforceability of our intellectual property and the cost to defend it. The Leahy-Smith Act includes a number of significant changes to U.S. patent law, including provisions that affect the way patent applications are prosecuted and also affect patent litigation. Under the Leahy-Smith Act, the United States transitioned from a “first-to-invent” to a “first-to-file” system for deciding which party should be granted a patent when two or more patent applications are filed by different parties claiming the same invention. This will require us to be prompt going forward during the time from invention to filing of a patent application and to be diligent in filing patent applications, but circumstances could prevent us from promptly filing or prosecuting patent applications on our inventions. The Leahy-Smith Act also enlarged the scope of disclosures that qualify as prior art. Furthermore, if a third-party filed a patent application before effectiveness of applicable provisions of the Leahy-Smith Act, on March 16, 2013, an interference proceeding in the United States can be initiated by a third-party to determine if it was the first to invent any of the subject matter covered by the claims of our patent applications. We may also be subject to a third-party preissuance submission of prior art to the U.S. Patent and Trademark Office, (the “USPTO”).</w:t>
      </w:r>
    </w:p>
    <w:p>
      <w:pPr>
        <w:spacing w:after="0" w:line="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Leahy-Smith Act created for the first time new procedures to challenge issued patents in the United States, including post-grant review, inter partes review and derivation proceedings, which are adversarial proceedings conducted at the USPTO, which some third parties have been using to cause the cancellation of selected or all claims of issued patents of competitors. For a patent with a priority date of March 16, 2013 or later, which all of our patent filings have, a petition for post-grant review can be filed by a third-party in a nine-month window from issuance of the patent. A petition for inter partes review can be filed immediately following the issuance of a patent if the patent was filed prior to March 16, 2013. A petition for inter partes review can be filed after the nine-month period for filing a post-grant review petition has expired for a patent with a priority date of March 16, 2013 or later. Post-grant review proceedings can be brought on any ground of challenge, whereas inter partes review proceedings can only be brought to raise a challenge based on published prior art. These adversarial actions at the USPTO include review of patent claims without the presumption of validity afforded to U.S. patents in lawsuits in U.S. federal courts. The USPTO issued a final rule effective November 13, 2018 announcing that it will now use the same claim construction standard currently used in the U.S. federal courts to interpret patent claims in USPTO proceedings, which is the plain and ordinary meaning of words used. If any of our patents are challenged by a third-party in such a USPTO proceeding, there is no guarantee that we will be successful in defending the patent, which would result in a loss of the challenged patent right to us, including loss of exclusivity, or in patent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1" w:name="page72"/>
    <w:bookmarkEnd w:id="71"/>
    <w:p>
      <w:pPr>
        <w:ind w:right="20"/>
        <w:spacing w:after="0" w:line="252" w:lineRule="auto"/>
        <w:rPr>
          <w:sz w:val="20"/>
          <w:szCs w:val="20"/>
          <w:color w:val="auto"/>
        </w:rPr>
      </w:pPr>
      <w:r>
        <w:rPr>
          <w:rFonts w:ascii="Arial" w:cs="Arial" w:eastAsia="Arial" w:hAnsi="Arial"/>
          <w:sz w:val="18"/>
          <w:szCs w:val="18"/>
          <w:color w:val="auto"/>
        </w:rPr>
        <w:t>claims being narrowed, invalidated, or held unenforceable,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scientists and management, even if the eventual outcome is favorable to us.</w:t>
      </w:r>
    </w:p>
    <w:p>
      <w:pPr>
        <w:spacing w:after="0" w:line="76"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As a result of all of the foregoing, the issuance, scope, validity, enforceability and commercial value of our patent rights are highly uncertain, which could have a material adverse effect on our business, financial condition, results of operations, and prospects.</w:t>
      </w:r>
    </w:p>
    <w:p>
      <w:pPr>
        <w:spacing w:after="0" w:line="48" w:lineRule="exact"/>
        <w:rPr>
          <w:sz w:val="20"/>
          <w:szCs w:val="20"/>
          <w:color w:val="auto"/>
        </w:rPr>
      </w:pPr>
    </w:p>
    <w:p>
      <w:pPr>
        <w:ind w:right="540"/>
        <w:spacing w:after="0" w:line="294" w:lineRule="auto"/>
        <w:rPr>
          <w:sz w:val="20"/>
          <w:szCs w:val="20"/>
          <w:color w:val="auto"/>
        </w:rPr>
      </w:pPr>
      <w:r>
        <w:rPr>
          <w:rFonts w:ascii="Arial" w:cs="Arial" w:eastAsia="Arial" w:hAnsi="Arial"/>
          <w:sz w:val="18"/>
          <w:szCs w:val="18"/>
          <w:b w:val="1"/>
          <w:bCs w:val="1"/>
          <w:i w:val="1"/>
          <w:iCs w:val="1"/>
          <w:color w:val="auto"/>
        </w:rPr>
        <w:t>Third-party claims of intellectual property infringement, misappropriation or other violation may result in substantial costs or prevent or delay our development and commercialization efforts.</w:t>
      </w:r>
    </w:p>
    <w:p>
      <w:pPr>
        <w:spacing w:after="0" w:line="1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Our commercial success depends in part on our avoiding actual and allegations of infringement, misappropriation or other violation of the patents and other proprietary rights of third parties. There is a substantial amount of litigation, both within and outside the United States, involving patent and other intellectual property rights in the pharmaceutical industry, including patent infringement lawsuits, interferences, oppositions, re-examination, and post-grant and inter partes review proceedings before the USPTO and similar proceedings in foreign jurisdictions, such as oppositions before the European Patent Office, (the “EPO”). Numerous U.S. and foreign issued patents and pending patent applications, which are owned by third parties, exist in the fields in which we are pursuing development candidates. Many companies in intellectual property-dependent industries, including the pharmaceutical industry, have employed intellectual property litigation as a means to gain an advantage over their competitors. As the pharmaceutical industry expands and more patents are issued, and as we gain greater visibility and market exposure as a public company, the risk increases that our product candidates may be subject to claims of infringement of the patent rights of third parties.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w:t>
      </w:r>
    </w:p>
    <w:p>
      <w:pPr>
        <w:spacing w:after="0" w:line="87"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Third parties may assert that we are employing their proprietary technology without authorization. There may be third-party patents or patent applications with claims to composition of matter, drug delivery, methods of manufacture or methods for treatment related to the use or manufacture of our product candidates. We cannot guarantee that our technologies, products, compositions and their uses do not or will not infringe, misappropriate or otherwise violate third-party patent or other intellectual property rights. Because patent applications can take many years to issue, there may be currently pending patent applications which may later result in issued patents that our product candidates may infringe. In addition, third parties may obtain patents in the future and claim that use of our technologies infringes upon these patents. Pending patent applications that have been published can, or subject to certain limitations, later present claims in a manner that could cover our product candidates or the use of our product candidates.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In order to successfully challenge the validity of a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third-party patents were held by a court of competent jurisdiction to cover the composition of matter of any of our product candidates, the manufacturing process of any of our product candidates or the method of use for any of our product candidates, the holders of any such patents may be able to block our ability to commercialize such product candidate unless we obtained a license under the applicable patents, which may not be available at all or on commercially reasonable terms, or until such patents expire.</w:t>
      </w:r>
    </w:p>
    <w:p>
      <w:pPr>
        <w:spacing w:after="0" w:line="70"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the merit of such claims. We may not be aware of all intellectual property rights potentially relating to our technology and product candidates and their uses, or we may incorrectly conclude that third-party intellectual property is invalid or that our activities and product candidates do not infringe, misappropriate or otherwise violate such intellectual property. Thus, we do not know with certainty that our technology and product candidates, or our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2" w:name="page73"/>
    <w:bookmarkEnd w:id="72"/>
    <w:p>
      <w:pPr>
        <w:ind w:right="440"/>
        <w:spacing w:after="0" w:line="287" w:lineRule="auto"/>
        <w:rPr>
          <w:sz w:val="20"/>
          <w:szCs w:val="20"/>
          <w:color w:val="auto"/>
        </w:rPr>
      </w:pPr>
      <w:r>
        <w:rPr>
          <w:rFonts w:ascii="Arial" w:cs="Arial" w:eastAsia="Arial" w:hAnsi="Arial"/>
          <w:sz w:val="18"/>
          <w:szCs w:val="18"/>
          <w:color w:val="auto"/>
        </w:rPr>
        <w:t>development and commercialization thereof, do not and will not infringe, misappropriate or otherwise violate any third-party’s intellectual property.</w:t>
      </w:r>
    </w:p>
    <w:p>
      <w:pPr>
        <w:spacing w:after="0" w:line="3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Parties making claims against us may obtain injunctive or other equitable relief, which could effectively block our ability to further develop and commercialize one or more of our product candidates and/or harm our reputation and financial results. Defense of these claims, regardless of their merit, could involve substantial litigation expense and could be a substantial diversion of management and employee resources from our business.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In the event of a successful claim of infringement against us, we may have to pay substantial damages, including treble damages and attorneys’ fees for willful infringement, pay royalties, redesign our infringing products, in the case of claims concerning registered trademarks, rename our product candidates, or obtain one or more licenses from third parties, which may require substantial time and monetary expenditure, and which might be impossible or technically infeasible. Furthermore, we may not be able to obtain any required license on commercially reasonable terms or at all. Even if we were able to obtain a license, it could be non-exclusive, thereby giving our competitors and other third parties access to the same technologies licensed to us; alternatively or additionally it could include terms that impede or destroy our ability to compete successfully in the commercial marketplace. Any of the foregoing could have a material adverse effect on our business, financial condition, results of operations, and prospects.</w:t>
      </w:r>
    </w:p>
    <w:p>
      <w:pPr>
        <w:spacing w:after="0" w:line="7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A number of companies and universities file and obtain patents in the same area as our products, which are nucleotide prodrugs, and these patent filings could be asserted against us, which may affect our business, and if successful, could lead to expensive litigation, affect the profitability of our products and/or prohibit the sale of a product or its use.</w:t>
      </w:r>
    </w:p>
    <w:p>
      <w:pPr>
        <w:spacing w:after="0" w:line="4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Our product candidates are predominantly nucleotide prodrugs, or nucleotide phosphoramidates. A number of companies and universities have patent applications and issued patents in this general area, including for viral indications, such as, for example, Gilead Pharmasset, LLC.; Gilead Sciences, Inc.; Merck &amp; Co.; Bristol Myers Squibb; F. Hoffmann-La Roche; University of Cardiff; University College Cardiff Consultants; NuCana, plc; Alios Biopharma; Medivir; and others. If any of these companies or universities, or others, assert that a patent it holds is infringed by any of our product candidates or their use or manufacture, we may be drawn into expensive litigation, which may affect our business, take the time of and distract the attention of our employees, and if the litigation is successful, could affect the profitability of our products or prohibit their sale. On June 3, 2019, we received an anonymous third-party Observation filed in connection with our international Patent Cooperation Treaty patent application for our second patent family, which covers the hemisulfate salt form of AT-511, or bemnifosbuvir. The Observation generally challenges the patentability of the hemisulfate salt bemnifosbuvir over the free base AT-511. On August 1, 2019, we filed a response to the Observation describing that the bemnifosbuvir hemisulfate salt of AT-511 is not obvious in view of the AT-511 free base because bemnifosbuvir disproportionately concentrates in the liver over the heart, as shown in vivo in a dog model, which can provide an increased therapeutic effect to treat HCV, and decreased toxicity because hepatitis C is a disease of the liver. Further, while not raised in the response to the Observation, we have now also shown that bemnifosbuvir has a longer half-life and higher concentration in the lung than in the liver in vivo in monkeys, which is relevant to our COVID19 indication. On August 10, 2020, an anonymous party filed a third-party Observation against our Patent Cooperation Treaty patent application covering a method to treat HCV patients with compensated or decompensated cirrhosis using our drug bemnifosbuvir. The anonymous party asserted that it would have been obvious that the hemisulfate salt of AT-511 (bemnifosbuvir) would be effective to treat HCV-infected cirrhotic patients. We filed a response to the Observation on October 2, 2020, wherein we disagreed for several reasons, including that the hemisulfate salt of AT-511 had not been publicly disclosed at the time of the filing of our method of treatment of cirrhosis application and further noted that it is not straightforward that a treatment for patients with compensated cirrhosis would also be effective for patients with decompensated cirrhosis. Our Patent Cooperation Treaty patent application provides human data that supports the efficacy of using bemnifosbuvir to treat cirrhotic HCV-infected patients. The Observations by anonymous third parties as well as our responses are placed in the file and available to be read and considered by any country examining our respective patent applications. In December 2019, the U.S. Patent Office issued a patent to us covering the composition of matter of bemnifosbuvir. However, other than the foregoing issued U.S. patent, there can be no assurance that the Observations will not adversely affect our ability to obtain issued patents from national-stage filings of such Patent Cooperation Treaty patent applications in any jurisdictions. We may not be aware of patent claims that are currently or may in the future be pending that affect our business by the competitors working in this area. Patent applications are typically published between six and eighteen months from filing, and the presentation of new claims in already pending applications can sometimes not be visible to the public, including to us, for a period of time, or if publicly available, not yet seen by us. We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3" w:name="page74"/>
    <w:bookmarkEnd w:id="73"/>
    <w:p>
      <w:pPr>
        <w:ind w:right="320"/>
        <w:spacing w:after="0" w:line="252" w:lineRule="auto"/>
        <w:rPr>
          <w:sz w:val="20"/>
          <w:szCs w:val="20"/>
          <w:color w:val="auto"/>
        </w:rPr>
      </w:pPr>
      <w:r>
        <w:rPr>
          <w:rFonts w:ascii="Arial" w:cs="Arial" w:eastAsia="Arial" w:hAnsi="Arial"/>
          <w:sz w:val="18"/>
          <w:szCs w:val="18"/>
          <w:color w:val="auto"/>
        </w:rPr>
        <w:t>cannot provide any assurance that a third-party practicing in the general area of our technology will not present a patent claim that covers one or more of our products or their methods of use or manufacture at any time, including before or during this registration period. If that does occur, we may have to take steps to try to invalidate such patent or application, and we may either choose not to or may not be successful in such attempt. A license to the patent or application may not be available on commercially reasonable terms or at all.</w:t>
      </w:r>
    </w:p>
    <w:p>
      <w:pPr>
        <w:spacing w:after="0" w:line="7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b w:val="1"/>
          <w:bCs w:val="1"/>
          <w:i w:val="1"/>
          <w:iCs w:val="1"/>
          <w:color w:val="auto"/>
        </w:rPr>
        <w:t>Our products are subject to The Drug Price Competition and Patent Term Restoration Act of 1984, as amended (also referred to as the Hatch-Waxman Act), in the United States, that can increase the risk of litigation with generic companies trying to sell our products, and may cause us to lose patent protection.</w:t>
      </w:r>
    </w:p>
    <w:p>
      <w:pPr>
        <w:spacing w:after="0" w:line="65"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Because our clinical candidates are pharmaceutical molecules reviewed by the Center for Drug Evaluation and Research of the FDA, after commercialization they will be subject in the United States to the patent litigation process of the Hatch-Waxman Act, as currently amended, which allows a generic company to submit an Abbreviated New Drug Application, (“ANDA”) to the FDA to obtain approval to sell our drug using bioequivalence data only. Under the Hatch-Waxman Act, we will have the opportunity to list our patents that cover our drug product or its method of use in the FDA’s compendium of “Approved Drug Products with Therapeutic Equivalence Evaluation,” sometimes referred to as the FDA’s Orange Book.</w:t>
      </w:r>
    </w:p>
    <w:p>
      <w:pPr>
        <w:spacing w:after="0" w:line="69"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Currently, in the United States, the FDA may grant five years of exclusivity for new chemical entities (“NCEs”) for which all of our products may qualify. An NCE is a drug that contains no active moiety that has been approved by the FDA in any other NDA. A generic company can submit an ANDA to the FDA four years after approval of our product. The submission of the ANDA by a generic company is considered a technical act of patent infringement. The generic company can certify that it will wait until the natural expiration date of our listed patents to sell a generic version of our product or can certify that one or more of our listed patents are invalid, unenforceable or not infringed. If the latter, we will have 45 days to bring a patent infringement lawsuit against the generic company. This will initiate a challenge to one or more of our Orange Book-listed patents based on arguments from the generic company that our listed patents are invalid, unenforceable or not infringed. Under the Hatch-Waxman Act, if a lawsuit is brought, the FDA is prevented from issuing a final approval on the generic drug until 30 months after the end of our data exclusivity period, or a final decision of a court holding that our asserted patent claims are invalid, unenforceable or not infringed. If we do not properly list our relevant patents in the Orange Book, do not timely file a lawsuit in response to a certification from a generic company under an ANDA, or if we do not prevail in the resulting patent litigation, we can lose our proprietary protection, and our product can rapidly become generic. Further, even if we do correctly list our relevant patents in the Orange Book, bring a lawsuit in a timely manner and prevail in that lawsuit, the generic litigation may be at a very significant cost to us of attorneys’ fees and employee time and distraction over a long period. Further, it is common for more than one generic company to try to sell an innovator drug at the same time, and so we may be faced with the cost and distraction of multiple lawsuits. We may also determine it is necessary to settle the lawsuit in a manner that allows the generic company to enter our market prior to the expiration of our patent or otherwise in a manner that adversely affects the strength, validity or enforceability of our patent.</w:t>
      </w:r>
    </w:p>
    <w:p>
      <w:pPr>
        <w:spacing w:after="0" w:line="8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b w:val="1"/>
          <w:bCs w:val="1"/>
          <w:i w:val="1"/>
          <w:iCs w:val="1"/>
          <w:color w:val="auto"/>
        </w:rPr>
        <w:t>A number of pharmaceutical companies have been the subject of intense review by the FTC or a corresponding agency in another country based on how they have conducted or settled drug patent litigation, and certain reviews have led to an allegation of an antitrust violation, sometimes resulting in a fine or loss of rights. We cannot be sure that we would not also be subject to such a review or that the result of the review would be favorable to us, which could result in a fine or penalty.</w:t>
      </w:r>
    </w:p>
    <w:p>
      <w:pPr>
        <w:spacing w:after="0" w:line="53"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FTC has brought a number of lawsuits in federal court in the past few years to challenge Hatch-Waxman Act ANDA litigation settlements between innovator companies and generic companies as anti-competitive. As an example, the FTC has taken an aggressive position that anything of value is a payment, whether money is paid or not. Under its approach, if an innovator as part of a patent settlement agrees not to launch or delay launch of an authorized generic during the 180-day period granted to the first generic company to challenge an Orange Book-listed patent covering an innovator drug, or negotiates a delay in entry without payment, the FTC may consider it an unacceptable reverse payment. The pharmaceutical industry argues that such agreements are rational business decisions to dismiss risk and are immune from antitrust attack if the terms of the settlement are within the scope of the exclusionary potential of the patent. In 2013, the U.S. Supreme Court, in a five-to-three decision in FTC v. Actavis, Inc., rejected both the pharmaceutical industry’s and FTC’s arguments with regard to so-called reverse payments, and held that whether a “reverse payment” settlement involving the exchange of consideration for a delay in entry is subject to an anticompetitive analysis depends on five considerations: (a) the potential for genuine adverse effects on competition; (b) the justification of payment; (c) the patentee’s ability to bring about anticompetitive harm; (d) whether the size of the payment is a workable surrogate for the patent’s weakness; and (e) that antitrust liability for large unjustified payments does not prevent litigating parties from settling their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4" w:name="page75"/>
    <w:bookmarkEnd w:id="74"/>
    <w:p>
      <w:pPr>
        <w:ind w:right="40"/>
        <w:spacing w:after="0" w:line="246" w:lineRule="auto"/>
        <w:rPr>
          <w:sz w:val="20"/>
          <w:szCs w:val="20"/>
          <w:color w:val="auto"/>
        </w:rPr>
      </w:pPr>
      <w:r>
        <w:rPr>
          <w:rFonts w:ascii="Arial" w:cs="Arial" w:eastAsia="Arial" w:hAnsi="Arial"/>
          <w:sz w:val="18"/>
          <w:szCs w:val="18"/>
          <w:color w:val="auto"/>
        </w:rPr>
        <w:t>lawsuits, for example, by allowing the generic to enter the market before the patent expires without the patentee’s paying the generic. Furthermore, whether a reverse payment is justified depends upon its size, its scale in relation to the patentee’s anticipated future litigation costs, its independence from other services for which it might represent payment, as was the case in Actavis, and the lack of any other convincing justification. The Court held that reverse payment settlements can potentially violate antitrust laws and are subject to the standard antitrust rule-of-reason analysis, with the burden of proving that an agreement is unlawful on the FTC, leaving to lower courts the structuring of such rule of reason analysis. If we are faced with drug patent litigation, including Hatch-Waxman Act litigation with a generic company, we could be faced with such an FTC challenge based on that activity, including how or whether we settle the case, and even if we strongly disagree with the FTC’s position, we could face a significant expense or penalty.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products for an adequate amount of time.</w:t>
      </w:r>
    </w:p>
    <w:p>
      <w:pPr>
        <w:spacing w:after="0" w:line="10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The term of any individual patent depends on applicable law in the country where the patent is granted. In the United States, provided all maintenance fees are timely paid, a patent generally has a term of 20 years from its application filing date or earliest claimed non-provisional filing date. Extensions may be available under certain circumstances, but the life of a patent and, correspondingly, the protection it affords is limited. Given the amount of time required for the development, testing and regulatory review of new product candidates, patents protecting such candidates might expire before or shortly after such candidates are commercialized. For patents that are eligible for extension of patent term, we expect to seek extensions of patent terms in the United States and, if available, in other countries, however there can be no assurance that we will be granted any patent term extension we seek, or that any such patent term extension will provide us with any competitive advantage.</w:t>
      </w:r>
    </w:p>
    <w:p>
      <w:pPr>
        <w:spacing w:after="0" w:line="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Hatch-Waxman Act in the United States provides for the opportunity to seek a patent term extension on one selected patent for each of our products, and the length of that patent term extension, if at all, is subject to review and approval by the USPTO and the FDA.</w:t>
      </w:r>
    </w:p>
    <w:p>
      <w:pPr>
        <w:spacing w:after="0" w:line="65"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In the United States, the Hatch-Waxman Act permits one patent term extension of up to five years beyond the normal expiration of one patent per product, which if a method of treatment patent, is limited to the approved indication (or any additional indications approved during the period of extension). The length of the patent term extension is typically calculated as one half of the clinical trial period plus the entire period of time during the review of the NDA by the FDA, minus any time of delay by us during these periods. There is also a limit on the patent term extension to a term that is no greater than fourteen years from drug approval. Therefore, if we select and are granted a patent term extension on a recently filed and issued patent, we may not receive the full benefit of a possible patent term extension, if at all. We might also not be granted a patent term extension at all, because of, for example, failure to apply within the applicable period, failure to apply prior to the expiration of relevant patents or otherwise failure to satisfy any of the numerous applicable requirements. Moreover, the applicable authorities, including the FDA and the USPTO in the United States, and any equivalent regulatory authorities in other countries, may not agree with our assessment of whether such extensions are available, may refuse to grant extensions to our patents, or may grant more limited extensions than we request. If this occurs, our competitors may be able to obtain approval of competing products following our patent expiration by referencing our clinical and preclinical data and launch their product earlier than might otherwise be the case. If this were to occur, it could have a material adverse effect on our ability to generate product revenue.</w:t>
      </w:r>
    </w:p>
    <w:p>
      <w:pPr>
        <w:spacing w:after="0" w:line="92"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In 1997, as part of the Food &amp; Drug Administration Modernization Act, (the “FDAMA”), Congress enacted a law that provides incentives to drug manufacturers who conduct studies of drugs in children. The law, which provides six months of exclusivity in return for conducting pediatric studies, is referred to as the pediatric exclusivity provision. If clinical studies are carried out by us that comply with the FDAMA, we may receive an additional six-month term added to our regulatory data exclusivity period and our patent term extension period, if received, on our product. However, if we choose not to carry out pediatric studies that comply with the FDAMA, or are not accepted by the FDA for this purpose, we would not receive this additional six-month exclusivity extension to our data exclusivity or our patent term extension.</w:t>
      </w:r>
    </w:p>
    <w:p>
      <w:pPr>
        <w:spacing w:after="0" w:line="82"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In Europe, supplementary protection certificates are available to extend a patent term up to five years to compensate for patent term lost during regulatory review, and can be extended for an additional six months if data from clinical trials is obtained in accordance with an agreed-upon pediatric investigation plan. Although all countries in Europe must provide supplementary protection certificates, there is no unified legislation among European countries and so supplementary protection certificates must be applied for and granted on a country-by-country basis. This can lead to a substantial cost to apply for and receive these certificates, which may vary among countries or not be provided at all.</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75" w:name="page76"/>
    <w:bookmarkEnd w:id="75"/>
    <w:p>
      <w:pPr>
        <w:ind w:right="820"/>
        <w:spacing w:after="0" w:line="294" w:lineRule="auto"/>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or fail to comply with our obligations under such agreements, our business could be harmed.</w:t>
      </w:r>
    </w:p>
    <w:p>
      <w:pPr>
        <w:spacing w:after="0" w:line="17"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It may be necessary for us to use the patented or other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or otherwise controlling such intellectual property rights could seek either an injunction prohibiting our sales or an obligation on our part to pay royalties and/or other forms of compensation. Even if we are able to obtain a license, it may be non-exclusive, thereby giving our competitors and other third parties access to the same technologies licensed to us.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w:t>
      </w:r>
    </w:p>
    <w:p>
      <w:pPr>
        <w:spacing w:after="0" w:line="7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6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Additionally, if we fail to comply with our obligations under any future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87" w:lineRule="exact"/>
        <w:rPr>
          <w:sz w:val="20"/>
          <w:szCs w:val="20"/>
          <w:color w:val="auto"/>
        </w:rPr>
      </w:pPr>
    </w:p>
    <w:p>
      <w:pPr>
        <w:ind w:right="400"/>
        <w:spacing w:after="0" w:line="278" w:lineRule="auto"/>
        <w:rPr>
          <w:sz w:val="20"/>
          <w:szCs w:val="20"/>
          <w:color w:val="auto"/>
        </w:rPr>
      </w:pPr>
      <w:r>
        <w:rPr>
          <w:rFonts w:ascii="Arial" w:cs="Arial" w:eastAsia="Arial" w:hAnsi="Arial"/>
          <w:sz w:val="18"/>
          <w:szCs w:val="18"/>
          <w:b w:val="1"/>
          <w:bCs w:val="1"/>
          <w:i w:val="1"/>
          <w:iCs w:val="1"/>
          <w:color w:val="auto"/>
        </w:rPr>
        <w:t>Although we are not currently involved in any relevant litigation, we may become involved in lawsuits to protect or enforce our patents or other intellectual property, which could be expensive, time-consuming and unsuccessful.</w:t>
      </w:r>
    </w:p>
    <w:p>
      <w:pPr>
        <w:spacing w:after="0" w:line="31"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Competitors and other third parties may infringe, misappropriate or otherwise violate our or our future licensors’ patents, trademarks, copyrights or other intellectual property. As a result, we may need to file infringement, misappropriation or other intellectual property-related claims against third parties. To counter infringement or other unauthorized use, we may be required to file claims on a country-by-country basis, which can be expensive and time-consuming and divert the time and attention of our management and scientific personnel. There can be no assurance that we will have sufficient financial or other resources to file and pursue such claims, which often last for years before they are concluded.</w:t>
      </w:r>
    </w:p>
    <w:p>
      <w:pPr>
        <w:spacing w:after="0" w:line="107"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Any claims we assert against third parties could also provoke these parties to assert counterclaims against us alleging that we infringe, misappropriate or otherwise violate their intellectual property. In addition, in a patent infringement proceeding, such parties could counterclaim that the patents we have asserted are invalid or unenforceable, or both.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inter partes review, interference proceedings, derivation proceedings and equivalent proceedings in foreign jurisdictions (e.g., opposition proceedings). The outcome following legal assertions of invalidity and unenforceability is unpredictable.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3" w:right="359" w:bottom="1440" w:gutter="0" w:footer="0" w:header="0"/>
        </w:sectPr>
      </w:pPr>
    </w:p>
    <w:bookmarkStart w:id="76" w:name="page77"/>
    <w:bookmarkEnd w:id="76"/>
    <w:p>
      <w:pPr>
        <w:spacing w:after="0" w:line="245" w:lineRule="auto"/>
        <w:rPr>
          <w:sz w:val="20"/>
          <w:szCs w:val="20"/>
          <w:color w:val="auto"/>
        </w:rPr>
      </w:pPr>
      <w:r>
        <w:rPr>
          <w:rFonts w:ascii="Arial" w:cs="Arial" w:eastAsia="Arial" w:hAnsi="Arial"/>
          <w:sz w:val="18"/>
          <w:szCs w:val="18"/>
          <w:color w:val="auto"/>
        </w:rPr>
        <w:t>In any such proceeding, a court may decide that a patent of ours, or a patent that we in-license, is not valid, is unenforceable and/or is not infringed, or may construe such patent’s claims narrowly or refuse to stop the other party from using the technology at issue on the grounds that our patents do not cover the technology in question. An adverse result in any litigation or defense proceedings could put one or more of our patents at risk of being invalidated, interpreted narrowly or held unenforceable in whole or in part, could put our patent applications at risk of not issuing, and could limit our ability to assert those patents against those parties or other competitors and curtail or preclude our ability to exclude third parties from making and selling similar or competitive products.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69"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Even if we establish infringement, misappropriation or other violation of our intellectual property, the court may decide not to grant an injunction against further such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have a material adverse effect on our business, financial condition, results of operations, and prospects.</w:t>
      </w:r>
    </w:p>
    <w:p>
      <w:pPr>
        <w:spacing w:after="0" w:line="6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On April 12, 2022, we received notification of a Pre-Grant Opposition from the Controller General of Patents, Designs, and Trademarks at the Indian Patent Office. The Opposition was filed by Sankalp Rehabilitation Trust and challenges our pending patent claims to AT-511 or a pharmaceutically acceptable salt thereof. While we intend to vigorously defend our patent claims on AT-511 and its use to treat hepatitis C, we cannot guarantee that the Indian Patent Office will decide in our favor and allow our patent claims to grant. In addition, Pre-Grant Oppositions in India can proceed very slowly, and therefore this proceeding may not be resolved for several years. Our patent application will not issue as a patent on AT-511 or its use to treat HCV in India unless and until this Pre-Grant Opposition is resolved in our favor. If it is not resolved in our favor, we may not receive a patent on AT-511 in India.</w:t>
      </w:r>
    </w:p>
    <w:p>
      <w:pPr>
        <w:spacing w:after="0" w:line="83"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51"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USPTO, EPO and other patent agencies require compliance with a number of procedural, documentary, fee payment and other similar provisions during the patent application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have systems in place to remind us to pay these fees, and we employ an outside firm and rely on our outside counsel to pay such fees due to non-U.S. patent agencies. While, in many cases, an inadvertent lapse can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In such an event, our competitors or other third parties might be able to enter the market with similar or identical products or technology, which could have a material adverse effect on our business, financial condition, results of operations, and prospects.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115" w:lineRule="exact"/>
        <w:rPr>
          <w:sz w:val="20"/>
          <w:szCs w:val="20"/>
          <w:color w:val="auto"/>
        </w:rPr>
      </w:pPr>
    </w:p>
    <w:p>
      <w:pPr>
        <w:ind w:right="100"/>
        <w:spacing w:after="0" w:line="243" w:lineRule="auto"/>
        <w:rPr>
          <w:sz w:val="20"/>
          <w:szCs w:val="20"/>
          <w:color w:val="auto"/>
        </w:rPr>
      </w:pPr>
      <w:r>
        <w:rPr>
          <w:rFonts w:ascii="Arial" w:cs="Arial" w:eastAsia="Arial" w:hAnsi="Arial"/>
          <w:sz w:val="18"/>
          <w:szCs w:val="18"/>
          <w:color w:val="auto"/>
        </w:rPr>
        <w:t>Filing, prosecuting and defending patents on our product candidates in all countries throughout the world would be prohibitively expensive. Therefore, we may choose not to pursue or maintain protection for certain intellectual property in certain jurisdictions. The requirements for patentability may differ in certain countries, particularly in developing countries. Competitors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3" w:right="359" w:bottom="1440" w:gutter="0" w:footer="0" w:header="0"/>
        </w:sectPr>
      </w:pPr>
    </w:p>
    <w:bookmarkStart w:id="77" w:name="page78"/>
    <w:bookmarkEnd w:id="77"/>
    <w:p>
      <w:pPr>
        <w:ind w:right="240"/>
        <w:spacing w:after="0" w:line="251"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may not favor the enforcement of our patents and other intellectual property rights.</w:t>
      </w:r>
    </w:p>
    <w:p>
      <w:pPr>
        <w:spacing w:after="0" w:line="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This could make it difficult for us to stop the infringement of our patents or the misappropriation or other violation of our other intellectual property rights. A number of foreign countries have stated that they are willing to issue compulsory licenses to patents held by innovator companies on approved drugs to allow the government or one or more third-party companies to sell the approved drug without the permission of the innovator patentee where the foreign government concludes it is in the public interest. India, for example, has used such a procedure to allow domestic companies to make and sell patented drugs without innovator approval. There is no guarantee that patents covering any of our drugs will not be subject to a compulsory license in a foreign country, or that we will have any influence over if or how such a compulsory license is granted. Further, Brazil allows its regulatory agency ANVISA to participate in deciding whether to grant a drug patent in Brazil, and patent grant decisions are made based on several factors, including whether the patent meets the requirements for a patent and whether such a patent is deemed in the country’s interest. In addition, several other countries have created laws that make it more difficult to enforce drug patents than patents on other kinds of technologies. Further, under the treaty on the Trade-Related Aspects of Intellectual Property (the “TRIPS”), as interpreted by the Doha Declaration, countries in which drugs are manufactured are required to allow exportation of the drug to a developing country that lacks adequate manufacturing capability. Therefore, our drug markets in the United States or foreign countries may be affected by the influence of current public policy on patent issuance, enforcement or involuntary licensing in the healthcare area.</w:t>
      </w:r>
    </w:p>
    <w:p>
      <w:pPr>
        <w:spacing w:after="0" w:line="75"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in November 2015, members of the World Trade Organization (the “WTO”), which administers TRIPS, voted to extend the exemption against enforcing pharmaceutical drug patents in least developed countries until 2033. We currently have no patent applications filed in least developed countries, and our current intent is not to file in these countries in the future, at least in part due to this WTO pharmaceutical patent exemption.</w:t>
      </w:r>
    </w:p>
    <w:p>
      <w:pPr>
        <w:spacing w:after="0" w:line="76"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color w:val="auto"/>
        </w:rPr>
        <w:t>Furthermore, the WTO is currently considering a waiver of intellectual property rights for COVID-19 vaccines and the U.S. government recently took a stance in support of the waiver. The current proposal is for a temporary waiver of intellectual property rights that cover COVID-19 vaccines, however, the ultimate timing and scope of the waiver, if approved, is unknown. The scope and timing of such waiver will likely be subject to extensive negotiations given the complexity of the matter, which may result in prolonged uncertainty and therefore could adversely affect our business. If a waiver is approved and covers COVID-19 treatments, such as bemnifosbuvir, our ability to successfully commercialize bemnifosbuvir and protect our related technology could be adversely affected.</w:t>
      </w:r>
    </w:p>
    <w:p>
      <w:pPr>
        <w:spacing w:after="0" w:line="7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b w:val="1"/>
          <w:bCs w:val="1"/>
          <w:i w:val="1"/>
          <w:iCs w:val="1"/>
          <w:color w:val="auto"/>
        </w:rPr>
        <w:t>We rely on our ability to stop others from competing by enforcing our patents, however some jurisdictions may require us to grant licenses to third parties. Such compulsory licenses could be extended to include some of our product candidates, which may limit our potential revenue opportunities.</w:t>
      </w:r>
    </w:p>
    <w:p>
      <w:pPr>
        <w:spacing w:after="0" w:line="44"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Many foreign countries have compulsory licensing laws under which a patent owner must grant licenses to third parties, in certain circumstances. For example, compulsory licensing, or the threat of compulsory licensing, of life-saving products and expensive products is becoming increasingly popular in developing countries, either through direct legislation or international initiatives. Compulsory licenses could be extended to include some of our product candidates, if they receive marketing approval, which may limit our potential revenue opportunities. Consequently, we may not be able to prevent third parties from practicing our inventions in certain countries outside the United States and Europe. Competitors may also use our technologies in jurisdictions where we have not obtained patent protection to develop their own products and, further, may export otherwise infringing products to territories where we have patent protection, if our ability to enforce our patents to stop infringing activities is inadequate. These products may compete with our products, and our patents or other intellectual property rights may not be effective or sufficient to prevent them from competing. Proceedings to enforce our patent rights in foreign jurisdictions, whether or not successful, could result in substantial costs and divert our efforts and resources from other aspects of our business. Furthermore, while we intend to protect our intellectual property rights in major markets for our products where such patent rights exist,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31" w:right="379" w:bottom="1440" w:gutter="0" w:footer="0" w:header="0"/>
        </w:sectPr>
      </w:pPr>
    </w:p>
    <w:bookmarkStart w:id="78" w:name="page79"/>
    <w:bookmarkEnd w:id="78"/>
    <w:p>
      <w:pPr>
        <w:ind w:right="40"/>
        <w:spacing w:after="0" w:line="261" w:lineRule="auto"/>
        <w:rPr>
          <w:sz w:val="20"/>
          <w:szCs w:val="20"/>
          <w:color w:val="auto"/>
        </w:rPr>
      </w:pPr>
      <w:r>
        <w:rPr>
          <w:rFonts w:ascii="Arial" w:cs="Arial" w:eastAsia="Arial" w:hAnsi="Arial"/>
          <w:sz w:val="18"/>
          <w:szCs w:val="18"/>
          <w:color w:val="auto"/>
        </w:rPr>
        <w:t>In addition, some countries limit the enforceability of patents against government agencies or government contractors. In these countries, the patent owner may be limited to monetary relief and may be unable to enjoin infringement if a government is the infringer, which could materially diminish the value of the patent.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5"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addition to the protection afforded by patents, we rely on trade secret protection and confidentiality agreements to protect proprietary know-how that is either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parties who have access to them, such as our employees, CROs, consultants, scientific advisors and other contractors. We cannot guarantee that we have entered into such agreements with each party that may have or have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our trade secrets could be disclosed, and we may not have adequate remedies for any such breach. Enforcing a claim that a party illegally disclosed or misappropriated a trade secret is difficult, expensive and time-consuming, and the outcome is unpredictable. In addition, some courts inside and outside the United States are less willing or unwilling to protect trade secrets. Misappropriation or unauthorized disclosure of our trade secrets or other confidential proprietary information could cause us to lose trade secret protection, impair our competitive position and have a material adverse effect on our business. Additionally, if the steps taken to maintain our trade secrets or other confidential proprietary information are deemed inadequate, we may have insufficient recourse against third parties for misappropriating the trade secret or other confidential proprietary information.</w:t>
      </w:r>
    </w:p>
    <w:p>
      <w:pPr>
        <w:spacing w:after="0" w:line="90"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Further, we cannot provide any assurances that competitors or other third parties will not otherwise gain access to our trade secrets and other confidential proprietary information or independently discover or develop substantially equivalent technology and processes. If we are unable to prevent disclosure of the trade secrets and other non-patented intellectual property related to our product candidates and technologies to third parties, there is no guarantee that we will have any such enforceable trade secret protection and we may not be able to establish or maintain a competitive advantage in our market, which could materially adversely affect our business, results of operations and financial condition.</w:t>
      </w:r>
    </w:p>
    <w:p>
      <w:pPr>
        <w:spacing w:after="0" w:line="71"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that our employees have wrongfully used or disclosed alleged trade secrets of their former employers, or asserting ownership of what we regard as our own intellectual property.</w:t>
      </w:r>
    </w:p>
    <w:p>
      <w:pPr>
        <w:spacing w:after="0" w:line="44"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We have employed, and may in the future employ,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any of such individuals’ former employers or other third parties. Litigation may be necessary to defend against these claims. If we fail in defending any such claims, in addition to paying monetary damages, we may lose valuable intellectual property rights or personnel, or our ability to hire personnel, which, in any case of the foregoing, could adversely impact our business. Even if we are successful in defending against such claims, litigation could result in substantial costs and be a distraction to management and other employees.</w:t>
      </w:r>
    </w:p>
    <w:p>
      <w:pPr>
        <w:spacing w:after="0" w:line="69"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Although it is our policy to require all of our employees and consultants to assign their inventions to us, to the extent that employees or consultants use intellectual property owned by others in their work for us, disputes may arise as to the rights in related or resulting know-how and inventions. We may also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79" w:name="page80"/>
    <w:bookmarkEnd w:id="79"/>
    <w:p>
      <w:pPr>
        <w:ind w:right="40"/>
        <w:spacing w:after="0" w:line="294" w:lineRule="auto"/>
        <w:rPr>
          <w:sz w:val="20"/>
          <w:szCs w:val="20"/>
          <w:color w:val="auto"/>
        </w:rPr>
      </w:pPr>
      <w:r>
        <w:rPr>
          <w:rFonts w:ascii="Arial" w:cs="Arial" w:eastAsia="Arial" w:hAnsi="Arial"/>
          <w:sz w:val="18"/>
          <w:szCs w:val="18"/>
          <w:b w:val="1"/>
          <w:bCs w:val="1"/>
          <w:i w:val="1"/>
          <w:iCs w:val="1"/>
          <w:color w:val="auto"/>
        </w:rPr>
        <w:t>Our proprietary rights may not adequately protect our technologies and product candidates, and intellectual property rights do not necessarily address all potential threats to our competitive advantage.</w:t>
      </w:r>
    </w:p>
    <w:p>
      <w:pPr>
        <w:spacing w:after="0" w:line="17" w:lineRule="exact"/>
        <w:rPr>
          <w:sz w:val="20"/>
          <w:szCs w:val="20"/>
          <w:color w:val="auto"/>
        </w:rPr>
      </w:pPr>
    </w:p>
    <w:p>
      <w:pPr>
        <w:jc w:val="both"/>
        <w:ind w:right="240"/>
        <w:spacing w:after="0" w:line="271"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9" w:lineRule="exact"/>
        <w:rPr>
          <w:sz w:val="20"/>
          <w:szCs w:val="20"/>
          <w:color w:val="auto"/>
        </w:rPr>
      </w:pPr>
    </w:p>
    <w:p>
      <w:pPr>
        <w:ind w:left="1020" w:right="20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be able to make products that are the same as or similar to our product candidates but that are not covered by the claims of our patents;</w:t>
      </w:r>
    </w:p>
    <w:p>
      <w:pPr>
        <w:spacing w:after="0" w:line="46" w:lineRule="exact"/>
        <w:rPr>
          <w:rFonts w:ascii="Times New Roman" w:cs="Times New Roman" w:eastAsia="Times New Roman" w:hAnsi="Times New Roman"/>
          <w:sz w:val="18"/>
          <w:szCs w:val="18"/>
          <w:color w:val="auto"/>
        </w:rPr>
      </w:pPr>
    </w:p>
    <w:p>
      <w:pPr>
        <w:ind w:left="1020" w:right="400" w:hanging="503"/>
        <w:spacing w:after="0" w:line="26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others, including inventors or developers of our patented technologies who may become involved with competitors, may independently develop similar technologies that function as alternatives or replacements for any of our technologies without infringing, misappropriating or otherwise violating our intellectual property rights;</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conceive and reduce to practice the inventions covered by our patents or patent applications;</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might not have been the first to file patent applications covering certain of our inventions;</w:t>
      </w:r>
    </w:p>
    <w:p>
      <w:pPr>
        <w:spacing w:after="0" w:line="116"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intellectual property;</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pending patent applications might not result in issued patents;</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there might be prior public disclosures that could invalidate our patents;</w:t>
      </w:r>
    </w:p>
    <w:p>
      <w:pPr>
        <w:spacing w:after="0" w:line="102"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issued patents may not provide us with any commercially viable products or competitive advantage, or may be held invalid or unenforceable, as a result of legal challenges by our competitors or other third parties;</w:t>
      </w:r>
    </w:p>
    <w:p>
      <w:pPr>
        <w:spacing w:after="0" w:line="59" w:lineRule="exact"/>
        <w:rPr>
          <w:rFonts w:ascii="Times New Roman" w:cs="Times New Roman" w:eastAsia="Times New Roman" w:hAnsi="Times New Roman"/>
          <w:sz w:val="18"/>
          <w:szCs w:val="18"/>
          <w:color w:val="auto"/>
        </w:rPr>
      </w:pPr>
    </w:p>
    <w:p>
      <w:pPr>
        <w:ind w:left="1020" w:right="320" w:hanging="503"/>
        <w:spacing w:after="0" w:line="270"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Supreme Court of the United States, other U.S. federal courts, Congress, the USPTO or similar foreign authorities may change the standards of patentability and any such changes could narrow or invalidate, or change the scope of, our patents;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patent terms may be inadequate to protect our competitive position on our product candidates for an adequate amount of time;</w:t>
      </w:r>
    </w:p>
    <w:p>
      <w:pPr>
        <w:spacing w:after="0" w:line="116"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our competitors or other third parties might conduct research and development activities in countries where we do not have patent rights, or in countries where research and development safe harbor laws exist, and then use the information learned from such activities to develop competitive products for sale in our major commercial markets;</w:t>
      </w:r>
    </w:p>
    <w:p>
      <w:pPr>
        <w:spacing w:after="0" w:line="7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ownership, validity or enforceability of our patents or patent applications may be challenged by third parties; and</w:t>
      </w:r>
    </w:p>
    <w:p>
      <w:pPr>
        <w:spacing w:after="0" w:line="102"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Arial" w:cs="Arial" w:eastAsia="Arial" w:hAnsi="Arial"/>
          <w:sz w:val="18"/>
          <w:szCs w:val="18"/>
          <w:color w:val="auto"/>
        </w:rPr>
        <w:t>the patents or pending or future applications of third parties, if issued, may have an adverse effect on our business.</w:t>
      </w:r>
    </w:p>
    <w:p>
      <w:pPr>
        <w:spacing w:after="0" w:line="10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Should any of these events occur, they could have a material adverse effect on our business, financial condition, results of operations, and prospects.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06" w:lineRule="exact"/>
        <w:rPr>
          <w:sz w:val="20"/>
          <w:szCs w:val="20"/>
          <w:color w:val="auto"/>
        </w:rPr>
      </w:pPr>
    </w:p>
    <w:p>
      <w:pPr>
        <w:ind w:right="460"/>
        <w:spacing w:after="0" w:line="278" w:lineRule="auto"/>
        <w:rPr>
          <w:sz w:val="20"/>
          <w:szCs w:val="20"/>
          <w:color w:val="auto"/>
        </w:rPr>
      </w:pPr>
      <w:r>
        <w:rPr>
          <w:rFonts w:ascii="Arial" w:cs="Arial" w:eastAsia="Arial" w:hAnsi="Arial"/>
          <w:sz w:val="18"/>
          <w:szCs w:val="18"/>
          <w:b w:val="1"/>
          <w:bCs w:val="1"/>
          <w:i w:val="1"/>
          <w:iCs w:val="1"/>
          <w:color w:val="auto"/>
        </w:rPr>
        <w:t>We will need to expand our organization, and we may experience difficulties in managing this growth, which could disrupt our operations.</w:t>
      </w:r>
    </w:p>
    <w:p>
      <w:pPr>
        <w:spacing w:after="0" w:line="45"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expect to experience significant growth over time in the number of our employees and the scope of our operations, particularly in the areas of product candidate development, regulatory and clinical affairs and sales, marketing and distribution. To manage our growth activities,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As we expand our organization, we may have difficulty identifying, hiring and integrating new personnel. Future growth would impose significant additional responsibilities on our management, including but not limited to:</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3" w:right="359" w:bottom="1440" w:gutter="0" w:footer="0" w:header="0"/>
        </w:sectPr>
      </w:pPr>
    </w:p>
    <w:bookmarkStart w:id="80" w:name="page81"/>
    <w:bookmarkEnd w:id="80"/>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the need to identify, recruit, maintain, motivate and integrate additional employees, consultants and contractors;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Arial" w:cs="Arial" w:eastAsia="Arial" w:hAnsi="Arial"/>
          <w:sz w:val="18"/>
          <w:szCs w:val="18"/>
          <w:color w:val="auto"/>
        </w:rPr>
        <w:t>maintaining our operational, financial and management controls, reporting systems and procedures.</w:t>
      </w:r>
    </w:p>
    <w:p>
      <w:pPr>
        <w:spacing w:after="0" w:line="103"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Our expected growth could require significant capital expenditures and may divert financial resources from other projects, such as the development of product candidates. If our management is unable to effectively manage our growth, our expenses may increase more than expected, our ability to generate and/or grow product revenues could be reduced, and we may not be able to implement our business strategy. Our future financial performance and our ability to commercialize our product candidates and compete effectively will depend, in part, on our ability to effectively manage any future growth.</w:t>
      </w:r>
    </w:p>
    <w:p>
      <w:pPr>
        <w:spacing w:after="0" w:line="72"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substantially all aspects of clinical trial conduct and execution, and manufacturing. There can be no assurance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or we are not able to effectively build out new facilities to accommodate this expansion, we may not be able to successfully implement the tasks necessary to further develop and commercialize our product candidates and, accordingly, may not achieve our research, development and commercialization goals.</w:t>
      </w:r>
    </w:p>
    <w:p>
      <w:pPr>
        <w:spacing w:after="0" w:line="7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high-quality personnel and consultants, the rate and success at which we can discover and develop product candidates and operate our business will be limited.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only have a limited number of employees to manage and operate our business.</w:t>
      </w:r>
    </w:p>
    <w:p>
      <w:pPr>
        <w:spacing w:after="0" w:line="102"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As of August 1, 2022, we had 63 full-time employees. Our focus on the development of product candidates in three distinct disease indications requires us to manage and operate our business in a highly efficient manner. We cannot assure you that we will be able to hire and/or retain adequate staffing levels to develop our product candidates or run our operations and/or to accomplish all of the objectives that we otherwise would seek to accomplish.</w:t>
      </w:r>
    </w:p>
    <w:p>
      <w:pPr>
        <w:spacing w:after="0" w:line="78"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If we lose key management or scientific personnel, cannot recruit qualified employees, directors, officers or other significant personnel or experience increases in our compensation costs, our business may materially suffer.</w:t>
      </w:r>
    </w:p>
    <w:p>
      <w:pPr>
        <w:spacing w:after="0" w:line="31"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are highly dependent on our executive management and directors. Due to the specialized knowledge each of our officers, directors and key employees possesses with respect to our product candidates and our operations, the loss of service of any of our officers or directors could delay or prevent the successful enrollment and completion of our clinical trials. We do not carry key person life insurance on any officers or directors. In general, the employment arrangements that we have with our executive officers do not prevent them from terminating their employment with us at any time.</w:t>
      </w:r>
    </w:p>
    <w:p>
      <w:pPr>
        <w:spacing w:after="0" w:line="6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In addition, our future success and growth will depend in part on the continued service of our directors, employees and management personnel and our ability to identify, hire and retain additional personnel. If we lose one or more of our executive officers or key employees, our ability to implement our business strategy successfully could be seriously harmed. Furthermore, replacing executive officers and key employees may be difficult or costly and may take an extended period of time because of the limited number of individuals in our industry with the breadth of skills and experience required to develop, gain regulatory approval of and commercialize product candidates successfully. Competition to hire from this limited pool is intense, and we may be unable to hire, train, retain or effectively incentivize these additional key personnel on acceptable terms given the competition among numerous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1" w:name="page82"/>
    <w:bookmarkEnd w:id="81"/>
    <w:p>
      <w:pPr>
        <w:ind w:right="240"/>
        <w:spacing w:after="0" w:line="248" w:lineRule="auto"/>
        <w:rPr>
          <w:sz w:val="20"/>
          <w:szCs w:val="20"/>
          <w:color w:val="auto"/>
        </w:rPr>
      </w:pPr>
      <w:r>
        <w:rPr>
          <w:rFonts w:ascii="Arial" w:cs="Arial" w:eastAsia="Arial" w:hAnsi="Arial"/>
          <w:sz w:val="18"/>
          <w:szCs w:val="18"/>
          <w:color w:val="auto"/>
        </w:rPr>
        <w:t>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engaged by entities other than us and may have commitments under consulting or advisory contracts with other entities that may limit their availability to us. If we are unable to continue to attract and retain high quality personnel, our ability to develop and commercialize product candidates will be limited.</w:t>
      </w:r>
    </w:p>
    <w:p>
      <w:pPr>
        <w:spacing w:after="0" w:line="67"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Many of our key employees are vested in a substantial amount of our common stock or options to purchase our common stock. Our employees, including our key employees, may be more likely to leave us if the shares they own have significantly appreciated in value relative to the original purchase prices of the shares, or if the exercise prices of the options that they hold are significantly below the market price of our common stock. Our future success also depends on our ability to continue to attract and retain additional executive officers and other key employees.</w:t>
      </w:r>
    </w:p>
    <w:p>
      <w:pPr>
        <w:spacing w:after="0" w:line="84" w:lineRule="exact"/>
        <w:rPr>
          <w:sz w:val="20"/>
          <w:szCs w:val="20"/>
          <w:color w:val="auto"/>
        </w:rPr>
      </w:pPr>
    </w:p>
    <w:p>
      <w:pPr>
        <w:ind w:right="520"/>
        <w:spacing w:after="0" w:line="278" w:lineRule="auto"/>
        <w:rPr>
          <w:sz w:val="20"/>
          <w:szCs w:val="20"/>
          <w:color w:val="auto"/>
        </w:rPr>
      </w:pPr>
      <w:r>
        <w:rPr>
          <w:rFonts w:ascii="Arial" w:cs="Arial" w:eastAsia="Arial" w:hAnsi="Arial"/>
          <w:sz w:val="18"/>
          <w:szCs w:val="18"/>
          <w:b w:val="1"/>
          <w:bCs w:val="1"/>
          <w:i w:val="1"/>
          <w:iCs w:val="1"/>
          <w:color w:val="auto"/>
        </w:rPr>
        <w:t>Unstable market and economic conditions may have serious adverse consequences on our business, financial condition and share price.</w:t>
      </w:r>
    </w:p>
    <w:p>
      <w:pPr>
        <w:spacing w:after="0" w:line="3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The global economy, including credit and financial markets, has experienced extreme volatility and disruptions, including severely diminished liquidity and credit availability, declines in consumer confidence, declines in economic growth, increases in unemployment rates, increases in inflation rates and uncertainty about economic stability. For example, the COVID-19 pandemic resulted in widespread unemployment, economic slowdown and extreme volatility in the capital markets. Similarly, the current conflict between Ukraine and Russia has created extreme volatility in the capital markets and is expected to have further global economic consequences. If the equity and credit markets deteriorate, including as a result of a resurgence of COVID-19, political unrest or war, it may make any necessary debt or equity financing more difficult to obtain in a timely manner or on favorable terms, more costly or more dilutive. Political unrest, such as the current situation with Ukraine and Russia, may also cause volatility and disruption in the global economy. In addition, there is a risk that one or more of our CROs, suppliers, CMOs or other third-party providers may not survive an economic downturn. As a result, our business, results of operations and price of our common stock may be adversely affected.</w:t>
      </w:r>
    </w:p>
    <w:p>
      <w:pPr>
        <w:spacing w:after="0" w:line="85"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The United Kingdom’s withdrawal from the European Union may have a negative effect on global economic conditions, financial markets, and our business, which could reduce our share price.</w:t>
      </w:r>
    </w:p>
    <w:p>
      <w:pPr>
        <w:spacing w:after="0" w:line="3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The UK left the EU on January 31, 2020, following which existing EU legislation continued to apply in the UK during a transition period under the terms of the EU-UK Withdrawal Agreement. The transition period, which ended on December 31, 2020, maintained access to the EU single market and to global trade deals negotiated by the EU on behalf of its members. The transition period provided time for the UK and EU to negotiate a framework for partnership for the future, which was then crystallized in the Trade and Cooperation Agreement (“TCA”) and became effective on the January 1, 2021. While agreement on the terms of the TCA has avoided a “no deal” Brexit scenario, and provides in principle for quota and tariff free trading of goods, it is nevertheless expected that the TCA will result in the creation of non-tariff barriers (such as increased shipping and regulatory costs and complexities) to the trade in goods between the UK and EU. Further, the TCA does not provide for the continued free movement of services between the UK and EU and also grants each of the UK and EU the ability, in certain circumstances, to unilaterally impose tariffs on one another. The TCA does provide for the mutual recognition of GMP inspections of manufacturing facilities for medicinal products and cGMP documents issued. However, it is important to note that significant regulatory gaps still exist and the TCA does not contain wholesale mutual recognition of UK and EU pharmaceutical regulations and product standards between the parties, for example, in relation to batch testing and pharmacovigilance, which remain subject to further discussions.</w:t>
      </w:r>
    </w:p>
    <w:p>
      <w:pPr>
        <w:spacing w:after="0" w:line="7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long term effects of Brexit on our business in the UK, the EU and worldwide will depend on the effects of the implementation and application of the TCA and any other relevant agreements between the UK and the EU. EU laws which have been transposed into UK law through secondary legislation continue to be applicable as “retained EU law”. However, new legislation will not be applicable. The UK government has passed a new Medicines and Medical Devices Act 2021, which introduces delegated powers in favor of the Secretary of State or an ‘appropriate authority’ to amend or supplement existing regulations in the area of medical devices. This allows new rules to be introduced in the future by way of secondary legislation, which aims to allow flexibility in addressing regulatory gaps. There is a possibility that over time, national laws will be amended and that consequently the regulatory framework in Great Britain will diverge from that of the EU. As of January 1, 2021, the MHRA is the UK’s standalone medicines and medical devices regulator. As a result of the Northern Ireland protocol, different rules will apply in Northern Ireland than in England, Wales, and Scotland, together, Great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Britain; broadly, Northern Ireland will continue to follow the EU regulatory regime, but its national competent authority will remain the MHRA.</w:t>
      </w:r>
    </w:p>
    <w:p>
      <w:pPr>
        <w:spacing w:after="0" w:line="117"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These developments have had and may continue to have a significant adverse effect on global economic conditions and the stability of global financial markets, and could significantly reduce global market liquidity and restrict the ability of key market participants to operate in certain financial markets. In particular, it could also lead to a period of considerable uncertainty in relation to the UK financial and banking markets, as well as on the regulatory process in the UK and in Europe. As a result of this uncertainty, global financial markets could experience significant volatility, which could adversely affect the market price of our common stock. Asset valuations, currency exchange rates, and credit ratings may also be subject to increased market volatility. Lack of clarity about future UK laws and regulations as the UK determines which EU rules and regulations to replace or replicate after withdrawal, including financial laws and regulations, tax and free trade agreements, intellectual property rights, data protection laws, supply chain logistics, environmental, health, and safety laws and regulations, immigration laws, and employment laws, could decrease foreign direct investment in the UK, increase costs, depress economic activity, and restrict our access to capital. If the UK and the EU are unable to negotiate acceptable withdrawal terms or if other EU member states pursue withdrawal, barrier-free access between the UK and other EU member states or among the EEA overall could be diminished or eliminated.</w:t>
      </w:r>
    </w:p>
    <w:p>
      <w:pPr>
        <w:spacing w:after="0" w:line="7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As a result of Brexit and new regulatory regimes, we may also face new regulatory costs and challenges that could have an adverse effect on our operations. In addition, currency exchange rates between the pound sterling, the euro and the U.S. dollar have already been, and may continue to be, affected by Brexit.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06" w:lineRule="exact"/>
        <w:rPr>
          <w:sz w:val="20"/>
          <w:szCs w:val="20"/>
          <w:color w:val="auto"/>
        </w:rPr>
      </w:pPr>
    </w:p>
    <w:p>
      <w:pPr>
        <w:ind w:right="780"/>
        <w:spacing w:after="0" w:line="294"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shares of common stock and could exert significant influence over matters subject to stockholder approval.</w:t>
      </w:r>
    </w:p>
    <w:p>
      <w:pPr>
        <w:spacing w:after="0" w:line="17"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Our executive officers, directors, and &gt;5% stockholders beneficially own a significant percentage of our common stock as of June 30, 2022. Therefore, these stockholders may, if acting together, have the ability to influence us through this ownership position. These stockholders may be able to determine matters requiring stockholders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shares of common stock that you may feel are in your best interest as one of our stockholders.</w:t>
      </w:r>
    </w:p>
    <w:p>
      <w:pPr>
        <w:spacing w:after="0" w:line="69" w:lineRule="exact"/>
        <w:rPr>
          <w:sz w:val="20"/>
          <w:szCs w:val="20"/>
          <w:color w:val="auto"/>
        </w:rPr>
      </w:pPr>
    </w:p>
    <w:p>
      <w:pPr>
        <w:ind w:right="200"/>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 even if our business is doing well.</w:t>
      </w:r>
    </w:p>
    <w:p>
      <w:pPr>
        <w:spacing w:after="0" w:line="31"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publish about us or our business. We currently have limited research coverage by securities and industry analysts. If any of the analysts who cover us, or may cover us, downgrades our common stock or issues an adverse or misleading opinion regarding us, our business model, our intellectual property or our stock performance, or if our target preclinical studies or clinical trials and operating results fail to meet the expectations of analysts, our stock price would likely decline as it did following the downgrades by covering analysts in the fourth quarter of 2021. This included certain downgrades after we reported on the data from the Phase 2 MOONSONG clinical trial, which failed to meet the primary study endpoint in the overall patient population and other events. If one or more of these analysts ceases coverage of us or fails to publish reports on us regularly, we could lose visibility in the financial markets, which in turn could cause our stock price or trading volume to decline</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44" w:lineRule="exact"/>
        <w:rPr>
          <w:sz w:val="20"/>
          <w:szCs w:val="20"/>
          <w:color w:val="auto"/>
        </w:rPr>
      </w:pPr>
    </w:p>
    <w:p>
      <w:pPr>
        <w:ind w:right="320"/>
        <w:spacing w:after="0" w:line="245" w:lineRule="auto"/>
        <w:rPr>
          <w:sz w:val="20"/>
          <w:szCs w:val="20"/>
          <w:color w:val="auto"/>
        </w:rPr>
      </w:pPr>
      <w:r>
        <w:rPr>
          <w:rFonts w:ascii="Arial" w:cs="Arial" w:eastAsia="Arial" w:hAnsi="Arial"/>
          <w:sz w:val="18"/>
          <w:szCs w:val="18"/>
          <w:color w:val="auto"/>
        </w:rPr>
        <w:t>Provisions in our restated certificate of incorporation and our amended and restated bylaws may discourage, delay or prevent a merger, acquisition or other change in control of our company that stockholders may consider favorable, including transactions in which you might otherwise receive a premium for your shares. These provisions may also limit the price that investors are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t>stockholders to replace members of our board of directors. Among other things, these provisions include those establishing:</w:t>
      </w:r>
    </w:p>
    <w:p>
      <w:pPr>
        <w:spacing w:after="0" w:line="117" w:lineRule="exact"/>
        <w:rPr>
          <w:sz w:val="20"/>
          <w:szCs w:val="20"/>
          <w:color w:val="auto"/>
        </w:rPr>
      </w:pPr>
    </w:p>
    <w:p>
      <w:pPr>
        <w:ind w:left="1020" w:right="620" w:hanging="503"/>
        <w:spacing w:after="0" w:line="27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a majority of our board of directors;</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6" w:lineRule="exact"/>
        <w:rPr>
          <w:rFonts w:ascii="Times New Roman" w:cs="Times New Roman" w:eastAsia="Times New Roman" w:hAnsi="Times New Roman"/>
          <w:sz w:val="18"/>
          <w:szCs w:val="18"/>
          <w:color w:val="auto"/>
        </w:rPr>
      </w:pPr>
    </w:p>
    <w:p>
      <w:pPr>
        <w:ind w:left="1020" w:right="80" w:hanging="503"/>
        <w:spacing w:after="0" w:line="300" w:lineRule="auto"/>
        <w:tabs>
          <w:tab w:leader="none" w:pos="1020" w:val="left"/>
        </w:tabs>
        <w:numPr>
          <w:ilvl w:val="0"/>
          <w:numId w:val="42"/>
        </w:numPr>
        <w:rPr>
          <w:rFonts w:ascii="Times New Roman" w:cs="Times New Roman" w:eastAsia="Times New Roman" w:hAnsi="Times New Roman"/>
          <w:sz w:val="17"/>
          <w:szCs w:val="17"/>
          <w:color w:val="auto"/>
        </w:rPr>
      </w:pPr>
      <w:r>
        <w:rPr>
          <w:rFonts w:ascii="Arial" w:cs="Arial" w:eastAsia="Arial" w:hAnsi="Arial"/>
          <w:sz w:val="17"/>
          <w:szCs w:val="17"/>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23" w:lineRule="exact"/>
        <w:rPr>
          <w:rFonts w:ascii="Times New Roman" w:cs="Times New Roman" w:eastAsia="Times New Roman" w:hAnsi="Times New Roman"/>
          <w:sz w:val="17"/>
          <w:szCs w:val="17"/>
          <w:color w:val="auto"/>
        </w:rPr>
      </w:pPr>
    </w:p>
    <w:p>
      <w:pPr>
        <w:ind w:left="1020" w:right="30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5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our board of directors to alter our bylaws without obtaining stockholder approval;</w:t>
      </w:r>
    </w:p>
    <w:p>
      <w:pPr>
        <w:spacing w:after="0" w:line="102" w:lineRule="exact"/>
        <w:rPr>
          <w:rFonts w:ascii="Times New Roman" w:cs="Times New Roman" w:eastAsia="Times New Roman" w:hAnsi="Times New Roman"/>
          <w:sz w:val="18"/>
          <w:szCs w:val="18"/>
          <w:color w:val="auto"/>
        </w:rPr>
      </w:pPr>
    </w:p>
    <w:p>
      <w:pPr>
        <w:jc w:val="both"/>
        <w:ind w:left="1020" w:right="58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required approval of the holders of at least two-thirds of the shares entitled to vote at an election of directors to adopt, amend or repeal our bylaws or repeal the provisions of our restated certificate of incorporation regarding the election and removal of directors;</w:t>
      </w:r>
    </w:p>
    <w:p>
      <w:pPr>
        <w:spacing w:after="0" w:line="55" w:lineRule="exact"/>
        <w:rPr>
          <w:rFonts w:ascii="Times New Roman" w:cs="Times New Roman" w:eastAsia="Times New Roman" w:hAnsi="Times New Roman"/>
          <w:sz w:val="18"/>
          <w:szCs w:val="18"/>
          <w:color w:val="auto"/>
        </w:rPr>
      </w:pPr>
    </w:p>
    <w:p>
      <w:pPr>
        <w:ind w:left="1020" w:right="560" w:hanging="503"/>
        <w:spacing w:after="0" w:line="286"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32" w:lineRule="exact"/>
        <w:rPr>
          <w:rFonts w:ascii="Times New Roman" w:cs="Times New Roman" w:eastAsia="Times New Roman" w:hAnsi="Times New Roman"/>
          <w:sz w:val="18"/>
          <w:szCs w:val="18"/>
          <w:color w:val="auto"/>
        </w:rPr>
      </w:pPr>
    </w:p>
    <w:p>
      <w:pPr>
        <w:ind w:left="1020" w:right="2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55" w:lineRule="exact"/>
        <w:rPr>
          <w:rFonts w:ascii="Times New Roman" w:cs="Times New Roman" w:eastAsia="Times New Roman" w:hAnsi="Times New Roman"/>
          <w:sz w:val="18"/>
          <w:szCs w:val="18"/>
          <w:color w:val="auto"/>
        </w:rPr>
      </w:pPr>
    </w:p>
    <w:p>
      <w:pPr>
        <w:ind w:left="1020" w:right="200" w:hanging="503"/>
        <w:spacing w:after="0" w:line="260" w:lineRule="auto"/>
        <w:tabs>
          <w:tab w:leader="none" w:pos="102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55" w:lineRule="exact"/>
        <w:rPr>
          <w:sz w:val="20"/>
          <w:szCs w:val="20"/>
          <w:color w:val="auto"/>
        </w:rPr>
      </w:pPr>
    </w:p>
    <w:p>
      <w:pPr>
        <w:jc w:val="both"/>
        <w:ind w:right="80"/>
        <w:spacing w:after="0" w:line="252"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64"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Our restated certificate of incorporation designates specific courts as the exclusive forum for certain litigation that may be initiated by our stockholders, which could limit our stockholders’ ability to obtain a favorable judicial forum for disputes with us.</w:t>
      </w:r>
    </w:p>
    <w:p>
      <w:pPr>
        <w:spacing w:after="0" w:line="45" w:lineRule="exact"/>
        <w:rPr>
          <w:sz w:val="20"/>
          <w:szCs w:val="20"/>
          <w:color w:val="auto"/>
        </w:rPr>
      </w:pPr>
    </w:p>
    <w:p>
      <w:pPr>
        <w:ind w:right="40"/>
        <w:spacing w:after="0" w:line="243" w:lineRule="auto"/>
        <w:rPr>
          <w:sz w:val="20"/>
          <w:szCs w:val="20"/>
          <w:color w:val="auto"/>
        </w:rPr>
      </w:pPr>
      <w:r>
        <w:rPr>
          <w:rFonts w:ascii="Arial" w:cs="Arial" w:eastAsia="Arial" w:hAnsi="Arial"/>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other than suits brought to enforce any liability or duty created by the Exchange Act or any other claim for which the federal courts have exclusive jurisdiction and any action that the Court of Chancery of the State of Delaware has dismissed for lack of subject matter jurisdiction, which may be brought in another state or federal court sitting in the State of Delaware. Our restated certificate of incorporation also specifies that unless we consent in writing to the selection of an alternate forum, the federal district courts of the United States shall be the exclusive forum for the resolution of any complaint asserting a cause of action arising under the Securities Act of 1933. Any person or entity purchasing or otherwise acquiring any interest in shares of our capital stock shall be deemed to have notice of and to have consented to the provisions of our restated certificate of incorporation described above.</w:t>
      </w:r>
    </w:p>
    <w:p>
      <w:pPr>
        <w:spacing w:after="0" w:line="85"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We believe this provision benefits us by providing increased consistency in the application of Delaware law by chancellors particularly experienced in resolving corporate disputes or federal judges experienced in resolving Securities Act disputes, efficient administration of cases on a more expedited schedule relative to other forums and protection against the burdens of multi-forum litigation. However, the provision may have the effect of discouraging lawsuits against our directors, officers, employees and agents as it may limit any stockholder’s ability to bring a claim in a judicial forum that such stockholder finds favorable for disputes with us or our directors,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84" w:name="page85"/>
    <w:bookmarkEnd w:id="84"/>
    <w:p>
      <w:pPr>
        <w:ind w:right="60"/>
        <w:spacing w:after="0" w:line="248" w:lineRule="auto"/>
        <w:rPr>
          <w:sz w:val="20"/>
          <w:szCs w:val="20"/>
          <w:color w:val="auto"/>
        </w:rPr>
      </w:pPr>
      <w:r>
        <w:rPr>
          <w:rFonts w:ascii="Arial" w:cs="Arial" w:eastAsia="Arial" w:hAnsi="Arial"/>
          <w:sz w:val="18"/>
          <w:szCs w:val="18"/>
          <w:color w:val="auto"/>
        </w:rPr>
        <w:t>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9"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b w:val="1"/>
          <w:bCs w:val="1"/>
          <w:i w:val="1"/>
          <w:iCs w:val="1"/>
          <w:color w:val="auto"/>
        </w:rPr>
        <w:t>Raising additional capital may cause additional dilution to our stockholders, restrict our operations, require us to relinquish rights to our technologies or product candidates, and could cause our share price to fall.</w:t>
      </w:r>
    </w:p>
    <w:p>
      <w:pPr>
        <w:spacing w:after="0" w:line="3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Until such time, if ever, as we can generate substantial revenue from product sales, we may finance our cash needs through a combination of equity offerings, debt financings, marketing and distribution arrangements and other collaborations, strategic alliances and licensing arrangements. In addition, we may seek additional capital due to favorable market conditions or strategic considerations, even if we believe that we have sufficient funds for our current or future operating plans.</w:t>
      </w:r>
    </w:p>
    <w:p>
      <w:pPr>
        <w:spacing w:after="0" w:line="62"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operations, our ability to take specific actions, such as incurring additional debt, making capital expenditures, declaring dividends, redeeming our stock, making certain investments and engaging in certain merger, consolidation or asset sale transactions, among other restrictions. If we raise additional funds through collaborations, strategic alliances or marketing, distribution or licensing arrangements with third parties, we may be required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85" w:lineRule="exact"/>
        <w:rPr>
          <w:sz w:val="20"/>
          <w:szCs w:val="20"/>
          <w:color w:val="auto"/>
        </w:rPr>
      </w:pPr>
    </w:p>
    <w:p>
      <w:pPr>
        <w:ind w:right="300"/>
        <w:spacing w:after="0" w:line="278" w:lineRule="auto"/>
        <w:rPr>
          <w:sz w:val="20"/>
          <w:szCs w:val="20"/>
          <w:color w:val="auto"/>
        </w:rPr>
      </w:pPr>
      <w:r>
        <w:rPr>
          <w:rFonts w:ascii="Arial" w:cs="Arial" w:eastAsia="Arial" w:hAnsi="Arial"/>
          <w:sz w:val="18"/>
          <w:szCs w:val="18"/>
          <w:b w:val="1"/>
          <w:bCs w:val="1"/>
          <w:i w:val="1"/>
          <w:iCs w:val="1"/>
          <w:color w:val="auto"/>
        </w:rPr>
        <w:t>Weakening patent laws and enforcement by courts and other authorities in the United States and other jurisdictions may impact our ability to protect our patents.</w:t>
      </w:r>
    </w:p>
    <w:p>
      <w:pPr>
        <w:spacing w:after="0" w:line="3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color w:val="auto"/>
        </w:rPr>
        <w:t>The U.S. Supreme Court has issued opinions in patent cases in the last few years that many consider may weaken patent protection in the United States, either by narrowing the scope of patent protection available in certain circumstances, holding that certain kinds of innovations are not patentable or generally otherwise making it easier to invalidate patents in court.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and other bodies in other countries, the laws and regulations governing patents could change in unpredictable ways that would weaken our ability to obtain new patents or to enforce and defend our existing patents and patents that we might obtain in the future.</w:t>
      </w:r>
    </w:p>
    <w:p>
      <w:pPr>
        <w:spacing w:after="0" w:line="85"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The laws of some foreign jurisdictions do not protect intellectual property rights to the same extent as in the United States and many companies have encountered significant difficulties in protecting and defending such rights in foreign jurisdictions. If we encounter such difficulties in protecting or are otherwise precluded from effectively protecting our intellectual property rights in foreign jurisdictions, our business prospects could be substantially harmed. For example, we have been notified that a pre-grant opposition has been filed with the Controller General Patents, Design, and Trademarks at the Indian Patient Office. While we intend to defend our patent claims for AT-511, we cannot provide any assurance that we will succeed or that the Indian patent office will allow the patent claims to grant. If so, uncertainties resulting from the initiation and continuation of such proceedings could have a material adverse effect on our ability to compete in the marketplace. The cost of foreign adversarial proceedings can also be substantial, and in many foreign jurisdictions, the losing party must pay the attorney fees of the winning party.</w:t>
      </w:r>
    </w:p>
    <w:p>
      <w:pPr>
        <w:spacing w:after="0" w:line="73" w:lineRule="exact"/>
        <w:rPr>
          <w:sz w:val="20"/>
          <w:szCs w:val="20"/>
          <w:color w:val="auto"/>
        </w:rPr>
      </w:pPr>
    </w:p>
    <w:p>
      <w:pPr>
        <w:ind w:right="420"/>
        <w:spacing w:after="0" w:line="294" w:lineRule="auto"/>
        <w:rPr>
          <w:sz w:val="20"/>
          <w:szCs w:val="20"/>
          <w:color w:val="auto"/>
        </w:rPr>
      </w:pPr>
      <w:r>
        <w:rPr>
          <w:rFonts w:ascii="Arial" w:cs="Arial" w:eastAsia="Arial" w:hAnsi="Arial"/>
          <w:sz w:val="18"/>
          <w:szCs w:val="18"/>
          <w:b w:val="1"/>
          <w:bCs w:val="1"/>
          <w:i w:val="1"/>
          <w:iCs w:val="1"/>
          <w:color w:val="auto"/>
        </w:rPr>
        <w:t>We may engage in acquisitions or strategic collaborations that could disrupt our business, cause dilution to our stockholders, reduce our financial resources, cause us to incur debt or assume contingent liabilities, and subject us to other risks.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5" w:name="page86"/>
    <w:bookmarkEnd w:id="85"/>
    <w:p>
      <w:pPr>
        <w:ind w:right="20"/>
        <w:spacing w:after="0" w:line="243" w:lineRule="auto"/>
        <w:rPr>
          <w:sz w:val="20"/>
          <w:szCs w:val="20"/>
          <w:color w:val="auto"/>
        </w:rPr>
      </w:pPr>
      <w:r>
        <w:rPr>
          <w:rFonts w:ascii="Arial" w:cs="Arial" w:eastAsia="Arial" w:hAnsi="Arial"/>
          <w:sz w:val="18"/>
          <w:szCs w:val="18"/>
          <w:color w:val="auto"/>
        </w:rPr>
        <w:t>In the future, we may enter into transactions to acquire other businesses, products or technologies or enter into strategic collaborations, including licensing. If we do identify suitable acquisition or collaboration candidates, we may not be able to complete such acquisitions or collaborations on favorable terms, or at all. Any acquisitions or collaborations may not strengthen our competitive position, and these transactions may be viewed negatively by customers or investors, and we may never realize the anticipated benefits of such acquisitions or collaborations. We may decide to incur debt in connection with an acquisition or issue our common stock or other equity securities to the stockholders of the acquired company, which would reduce the percentage ownership of our existing stockholders. We could incur losses resulting from undiscovered liabilities of the acquired business or collaboration that are not covered by the indemnification we may obtain from the seller or our collaborator. In addition, we may not be able to successfully integrate any acquired personnel, technologies and operations into our existing business in an effective, timely and non-disruptive manner. Acquisitions or collaborations may also divert management attention from day-to-day responsibilities, lead to a loss of key personnel, increase our expenses and reduce our cash and cash equivalents available for operations and other uses. We cannot predict the number, timing or size of future acquisitions or collaborations or the effect that any such transactions might have on our operating results.</w:t>
      </w:r>
    </w:p>
    <w:p>
      <w:pPr>
        <w:spacing w:after="0" w:line="79" w:lineRule="exact"/>
        <w:rPr>
          <w:sz w:val="20"/>
          <w:szCs w:val="20"/>
          <w:color w:val="auto"/>
        </w:rPr>
      </w:pPr>
    </w:p>
    <w:p>
      <w:pPr>
        <w:ind w:right="480"/>
        <w:spacing w:after="0" w:line="278"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or pandemics and our business continuity and disaster recovery plans may not adequately protect us from a serious disaster.</w:t>
      </w:r>
    </w:p>
    <w:p>
      <w:pPr>
        <w:spacing w:after="0" w:line="45" w:lineRule="exact"/>
        <w:rPr>
          <w:sz w:val="20"/>
          <w:szCs w:val="20"/>
          <w:color w:val="auto"/>
        </w:rPr>
      </w:pPr>
    </w:p>
    <w:p>
      <w:pPr>
        <w:ind w:right="120"/>
        <w:spacing w:after="0" w:line="244" w:lineRule="auto"/>
        <w:rPr>
          <w:sz w:val="20"/>
          <w:szCs w:val="20"/>
          <w:color w:val="auto"/>
        </w:rPr>
      </w:pPr>
      <w:r>
        <w:rPr>
          <w:rFonts w:ascii="Arial" w:cs="Arial" w:eastAsia="Arial" w:hAnsi="Arial"/>
          <w:sz w:val="18"/>
          <w:szCs w:val="18"/>
          <w:color w:val="auto"/>
        </w:rPr>
        <w:t>Natural disasters or pandemics, other than or in addition to COVID-19, could severely disrupt our operations and have a material adverse effect on our business, results of operations, financial condition and prospects. If a natural disaster, power outage, pandemic, such as the COVID-19 pandemic, or other event occurred that prevented us from using all or a significant portion of our headquarters or the virtual network capabilities upon which our employees depend to collaborate and access critical business records,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against us could be costly and time-consuming to defend and could result in additional liabilities.</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We may from time to time be subject to legal proceedings and claims that arise in the ordinary course of business or otherwise, such as claims brought by our customers or third parties in connection with commercial disputes and employment claims made by our current or former employees. Claims may also be asserted by or on behalf of a variety of other parties, including government agencies, patients or vendors of our customers, or stockholders. In the past, securities class action litigation has often been brought against a company following a decline in the market price of its securities. This risk is especially relevant for us given our significant stock price volatility in 2021.</w:t>
      </w:r>
    </w:p>
    <w:p>
      <w:pPr>
        <w:spacing w:after="0" w:line="69" w:lineRule="exact"/>
        <w:rPr>
          <w:sz w:val="20"/>
          <w:szCs w:val="20"/>
          <w:color w:val="auto"/>
        </w:rPr>
      </w:pPr>
    </w:p>
    <w:p>
      <w:pPr>
        <w:ind w:right="140"/>
        <w:spacing w:after="0" w:line="247" w:lineRule="auto"/>
        <w:rPr>
          <w:sz w:val="20"/>
          <w:szCs w:val="20"/>
          <w:color w:val="auto"/>
        </w:rPr>
      </w:pPr>
      <w:r>
        <w:rPr>
          <w:rFonts w:ascii="Arial" w:cs="Arial" w:eastAsia="Arial" w:hAnsi="Arial"/>
          <w:sz w:val="18"/>
          <w:szCs w:val="18"/>
          <w:color w:val="auto"/>
        </w:rPr>
        <w:t>Any litigation involving us may result in substantial costs, operationally restrict our business, and may divert management’s attention and resources, which may seriously harm our business, overall financial condition and results of operations.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impacting our results of operations and resulting in a reduction in the trading price of our stock.</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has been volatile and may fluctuate substantially.</w:t>
      </w:r>
    </w:p>
    <w:p>
      <w:pPr>
        <w:spacing w:after="0" w:line="102"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Our stock price has been and is likely to remain volatile. Extreme fluctuations have occurred in our stock price with closing prices in 2021 ranging from a high of $88.44 on February 8, 2021 to a low of $7.67 on November 23, 2021 and in 2022, to a low of $5.33 on May 9, 2022.</w:t>
      </w:r>
    </w:p>
    <w:p>
      <w:pPr>
        <w:spacing w:after="0" w:line="5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stock market in general, The Nasdaq Global Select Market and biopharmaceutical companies in particular have experienced extreme volatility in trading volume that exacerbates, is disproportionate to or in some cases has been unrelated to the operating performance of particular companies. As a result of this volatility, you may not be able to sell your common stock at a profit. The market price for our common stock may be influenced by many factors, including but not limited to:</w:t>
      </w:r>
    </w:p>
    <w:p>
      <w:pPr>
        <w:spacing w:after="0" w:line="62" w:lineRule="exact"/>
        <w:rPr>
          <w:sz w:val="20"/>
          <w:szCs w:val="20"/>
          <w:color w:val="auto"/>
        </w:rPr>
      </w:pPr>
    </w:p>
    <w:p>
      <w:pPr>
        <w:ind w:left="1020" w:hanging="503"/>
        <w:spacing w:after="0"/>
        <w:tabs>
          <w:tab w:leader="none" w:pos="1020" w:val="left"/>
        </w:tabs>
        <w:numPr>
          <w:ilvl w:val="0"/>
          <w:numId w:val="43"/>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competitive products or technologies;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6" w:name="page87"/>
    <w:bookmarkEnd w:id="86"/>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expected changes in our growth rate relative to our competitors;</w:t>
      </w:r>
    </w:p>
    <w:p>
      <w:pPr>
        <w:spacing w:after="0" w:line="116" w:lineRule="exact"/>
        <w:rPr>
          <w:rFonts w:ascii="Times New Roman" w:cs="Times New Roman" w:eastAsia="Times New Roman" w:hAnsi="Times New Roman"/>
          <w:sz w:val="18"/>
          <w:szCs w:val="18"/>
          <w:color w:val="auto"/>
        </w:rPr>
      </w:pPr>
    </w:p>
    <w:p>
      <w:pPr>
        <w:ind w:left="503" w:hanging="503"/>
        <w:spacing w:after="0" w:line="270" w:lineRule="auto"/>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our ongoing, planned or any future preclinical studies, clinical trials or clinical development of our product candidates or those of our competitors;</w:t>
      </w:r>
    </w:p>
    <w:p>
      <w:pPr>
        <w:spacing w:after="0" w:line="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related to our existing or any future collaborations;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our manufacturers or our manufacturing plans;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 of third-party product candidates that may address our markets and make our product candidates less attractive;</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physician, hospital or healthcare provider practices that may make our product candidates less useful;</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to commercialize our product candidates;</w:t>
      </w:r>
    </w:p>
    <w:p>
      <w:pPr>
        <w:spacing w:after="0" w:line="102" w:lineRule="exact"/>
        <w:rPr>
          <w:rFonts w:ascii="Times New Roman" w:cs="Times New Roman" w:eastAsia="Times New Roman" w:hAnsi="Times New Roman"/>
          <w:sz w:val="18"/>
          <w:szCs w:val="18"/>
          <w:color w:val="auto"/>
        </w:rPr>
      </w:pPr>
    </w:p>
    <w:p>
      <w:pPr>
        <w:ind w:left="503" w:right="620" w:hanging="503"/>
        <w:spacing w:after="0" w:line="286" w:lineRule="auto"/>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our partners or our competitors of significant acquisitions, strategic partnerships, joint ventures, collaborations or capital commitments;</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 applications, issued patents or other intellectual property or proprietary rights;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scientific or management personnel;</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meet or exceed financial estimates and projections of the investment community or that we provide to the public;</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practices;</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trading volume of our common stock;</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cash and cash equivalents position;</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effectively manage our growth;</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 in the future;</w:t>
      </w:r>
    </w:p>
    <w:p>
      <w:pPr>
        <w:spacing w:after="0" w:line="102" w:lineRule="exact"/>
        <w:rPr>
          <w:rFonts w:ascii="Times New Roman" w:cs="Times New Roman" w:eastAsia="Times New Roman" w:hAnsi="Times New Roman"/>
          <w:sz w:val="18"/>
          <w:szCs w:val="18"/>
          <w:color w:val="auto"/>
        </w:rPr>
      </w:pPr>
    </w:p>
    <w:p>
      <w:pPr>
        <w:ind w:left="503" w:right="280" w:hanging="503"/>
        <w:spacing w:after="0" w:line="270" w:lineRule="auto"/>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publication of research reports about us or our industry, or positive or negative recommendations or withdrawal of research coverage by securities analysts;</w:t>
      </w:r>
    </w:p>
    <w:p>
      <w:pPr>
        <w:spacing w:after="0" w:line="4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ineffectiveness of our internal controls;</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02" w:lineRule="exact"/>
        <w:rPr>
          <w:rFonts w:ascii="Times New Roman" w:cs="Times New Roman" w:eastAsia="Times New Roman" w:hAnsi="Times New Roman"/>
          <w:sz w:val="18"/>
          <w:szCs w:val="18"/>
          <w:color w:val="auto"/>
        </w:rPr>
      </w:pPr>
    </w:p>
    <w:p>
      <w:pPr>
        <w:ind w:left="503" w:right="460" w:hanging="503"/>
        <w:spacing w:after="0" w:line="286" w:lineRule="auto"/>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expected changes in estimates as to financial results, development timelines or recommendations by securities analysts;</w:t>
      </w:r>
    </w:p>
    <w:p>
      <w:pPr>
        <w:spacing w:after="0" w:line="3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02"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116"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211" w:lineRule="exact"/>
        <w:rPr>
          <w:sz w:val="20"/>
          <w:szCs w:val="20"/>
          <w:color w:val="auto"/>
        </w:rPr>
      </w:pPr>
    </w:p>
    <w:p>
      <w:pPr>
        <w:jc w:val="center"/>
        <w:ind w:right="317"/>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3"/>
          </w:cols>
          <w:pgMar w:left="837" w:top="431" w:right="519" w:bottom="1440" w:gutter="0" w:footer="0" w:header="0"/>
        </w:sectPr>
      </w:pPr>
    </w:p>
    <w:bookmarkStart w:id="87" w:name="page88"/>
    <w:bookmarkEnd w:id="87"/>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rising inflation and interest rates; and</w:t>
      </w:r>
    </w:p>
    <w:p>
      <w:pPr>
        <w:spacing w:after="0" w:line="11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5"/>
        </w:numPr>
        <w:rPr>
          <w:rFonts w:ascii="Times New Roman" w:cs="Times New Roman" w:eastAsia="Times New Roman" w:hAnsi="Times New Roman"/>
          <w:sz w:val="18"/>
          <w:szCs w:val="18"/>
          <w:color w:val="auto"/>
        </w:rPr>
      </w:pPr>
      <w:r>
        <w:rPr>
          <w:rFonts w:ascii="Arial" w:cs="Arial" w:eastAsia="Arial" w:hAnsi="Arial"/>
          <w:sz w:val="18"/>
          <w:szCs w:val="18"/>
          <w:color w:val="auto"/>
        </w:rPr>
        <w:t>the other factors described in this “Risk Factors” section.</w:t>
      </w:r>
    </w:p>
    <w:p>
      <w:pPr>
        <w:spacing w:after="0" w:line="103"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harm our business, financial condition and results of operations.</w:t>
      </w:r>
    </w:p>
    <w:p>
      <w:pPr>
        <w:spacing w:after="0" w:line="6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We have incurred and may continue to incur increased costs as a result of operating as a public company, and our management has been and will continue to be required to devote substantial time to new compliance initiatives and corporate governance practices.</w:t>
      </w:r>
    </w:p>
    <w:p>
      <w:pPr>
        <w:spacing w:after="0" w:line="44"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As a public company, we are incurring significant legal, accounting and other expenses that we did not incur before we became a public company in October 2020. The Sarbanes-Oxley Act of 2002,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are devoting a substantial amount of time to these compliance initiatives. Moreover, these rules and regulations have and will continue to increase our legal and financial compliance costs and will make some activities more time-consuming and costly. For example, these rules and regulations have made it more difficult and more expensive for us to obtain director and officer liability insurance, which in turn could make it more difficult for us to attract and retain qualified members of our board of directors.</w:t>
      </w:r>
    </w:p>
    <w:p>
      <w:pPr>
        <w:spacing w:after="0" w:line="74" w:lineRule="exact"/>
        <w:rPr>
          <w:sz w:val="20"/>
          <w:szCs w:val="20"/>
          <w:color w:val="auto"/>
        </w:rPr>
      </w:pPr>
    </w:p>
    <w:p>
      <w:pPr>
        <w:jc w:val="both"/>
        <w:ind w:right="300"/>
        <w:spacing w:after="0" w:line="247" w:lineRule="auto"/>
        <w:rPr>
          <w:sz w:val="20"/>
          <w:szCs w:val="20"/>
          <w:color w:val="auto"/>
        </w:rPr>
      </w:pPr>
      <w:r>
        <w:rPr>
          <w:rFonts w:ascii="Arial" w:cs="Arial" w:eastAsia="Arial" w:hAnsi="Arial"/>
          <w:sz w:val="18"/>
          <w:szCs w:val="18"/>
          <w:color w:val="auto"/>
        </w:rPr>
        <w:t>We will continue to monitor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6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Pursuant to Section 404 of the Sarbanes-Oxley Act of 2002 (“Section 404”), we are required to furnish a report by our management on our internal control over financial reporting in our Annual Report on Form 10-K. In addition, we are required to include an attestation report on internal control over financial reporting issued by our independent registered public accounting firm. At such time, our independent registered public accounting firm may issue a report that is adverse in the event material weaknesses have been identified in our internal control over financial reporting. To achieve compliance with Section 404 within the prescribed period, we are engaged in a process to document and evaluate our internal control over financial reporting, which is both costly and challenging. In this regard, we need to continue to dedicate internal resources, engage outside consultants, adopt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We may discover significant deficiencies or material weaknesses in our internal control over financial reporting, which we may not successfully remediate on a timely basis or at all. Any failure to remediate any significant deficiencies or material weaknesses identified by us or to implement required new or improved controls, or difficulties encountered in their implementation, could cause us to fail to meet our reporting obligations or result in material misstatements in our financial statements. If we identify one or more material weaknesses, it could result in an adverse reaction in the financial markets due to a loss of confidence in the reliability of our financial statements.</w:t>
      </w:r>
    </w:p>
    <w:p>
      <w:pPr>
        <w:spacing w:after="0" w:line="7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and effective disclosure controls and procedures, we may not be able to accurately report our financial results in a timely manner or prevent fraud, which may adversely affect investor confidence in our company.</w:t>
      </w:r>
    </w:p>
    <w:p>
      <w:pPr>
        <w:spacing w:after="0" w:line="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required to comply with the SEC’s rules implementing Sections 302 and 404 of the Sarbanes-Oxley Act, which require management to certify financial and other information in our quarterly and annual reports and provide an annual management report on the effectiveness of controls over financial reporting. In addition, our independent registered public accounting firm will be required to attest to the effectiveness of our internal control over financial reporting pursuant to Section 404 for the year ending December 31, 2022. Our independent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1" w:right="339" w:bottom="1440" w:gutter="0" w:footer="0" w:header="0"/>
        </w:sectPr>
      </w:pPr>
    </w:p>
    <w:bookmarkStart w:id="88" w:name="page89"/>
    <w:bookmarkEnd w:id="88"/>
    <w:p>
      <w:pPr>
        <w:ind w:right="360"/>
        <w:spacing w:after="0" w:line="287" w:lineRule="auto"/>
        <w:rPr>
          <w:sz w:val="20"/>
          <w:szCs w:val="20"/>
          <w:color w:val="auto"/>
        </w:rPr>
      </w:pPr>
      <w:r>
        <w:rPr>
          <w:rFonts w:ascii="Arial" w:cs="Arial" w:eastAsia="Arial" w:hAnsi="Arial"/>
          <w:sz w:val="18"/>
          <w:szCs w:val="18"/>
          <w:color w:val="auto"/>
        </w:rPr>
        <w:t>registered public accounting firm may issue a report that is adverse in the event material weaknesses have been identified in our internal control over financial reporting.</w:t>
      </w:r>
    </w:p>
    <w:p>
      <w:pPr>
        <w:spacing w:after="0" w:line="3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To comply with the requirements of being a public company, we have undertaken and will need to undertake additional actions, such as implementing new internal controls and procedures and hiring additional accounting or internal audit staff. Testing and maintaining internal control can divert our management’s attention from other matters that are also important to the operation of our business. In addition, when evaluating our internal control over financial reporting, we may identify material weaknesses that we may not be able to remediate in time to meet the applicable deadline imposed upon us for compliance with the requirements of Section 404. If we identify any material weaknesses in our internal controls over financial reporting or we are unable to comply with the requirements of Section 404 in a timely manner or assert that our internal control over financial reporting is effective, or if our independent registered public accounting firm is unable to express an opinion as to the effectiveness of our internal control over financial reporting, investors may lose confidence in the accuracy and completeness of our financial reports. As a result, the market price of our common stock could be materially adversely affected.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2"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are continuing to refine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8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64"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is likely to be your sole source of gain.</w:t>
      </w:r>
    </w:p>
    <w:p>
      <w:pPr>
        <w:spacing w:after="0" w:line="45" w:lineRule="exact"/>
        <w:rPr>
          <w:sz w:val="20"/>
          <w:szCs w:val="20"/>
          <w:color w:val="auto"/>
        </w:rPr>
      </w:pPr>
    </w:p>
    <w:p>
      <w:pPr>
        <w:ind w:right="120"/>
        <w:spacing w:after="0" w:line="24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all available funds and future earnings for the development, operation and expansion of our business and do not anticipate declaring or paying any cash dividends for the foreseeable future. As a result, capital appreciation, if any, of our common stock is likely to be your sole source of gain on an investment in our common stock for the foreseeable future.</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right="1920"/>
        <w:spacing w:after="0" w:line="412" w:lineRule="auto"/>
        <w:rPr>
          <w:sz w:val="20"/>
          <w:szCs w:val="20"/>
          <w:color w:val="auto"/>
        </w:rPr>
      </w:pPr>
      <w:r>
        <w:rPr>
          <w:rFonts w:ascii="Arial" w:cs="Arial" w:eastAsia="Arial" w:hAnsi="Arial"/>
          <w:sz w:val="18"/>
          <w:szCs w:val="18"/>
          <w:b w:val="1"/>
          <w:bCs w:val="1"/>
          <w:color w:val="auto"/>
        </w:rPr>
        <w:t xml:space="preserve">Recent Sales of Unregistered Securities; Purchases of Equity Securities by the Issuer or Affiliated Purchaser </w:t>
      </w:r>
      <w:r>
        <w:rPr>
          <w:rFonts w:ascii="Arial" w:cs="Arial" w:eastAsia="Arial" w:hAnsi="Arial"/>
          <w:sz w:val="18"/>
          <w:szCs w:val="18"/>
          <w:color w:val="auto"/>
        </w:rPr>
        <w:t>None.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10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On November 3, 2020, we completed the initial public offering (“IPO”) of our common stock pursuant to which we issued and sold 14,375,000 shares of our common stock at a price to the public of $24.00 per share.</w:t>
      </w:r>
    </w:p>
    <w:p>
      <w:pPr>
        <w:spacing w:after="0" w:line="31"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All shares issued and sold in the initial public offering were registered under the Securities Act pursuant to a Registration Statement on Form S-1 (File No.333-249404), as amended (the “Registration Statement”), declared effective by the SEC on October 29, 2020.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We received net proceeds of approximately $317.6 million after deducting underwriting discounts and commissions and offering expenses.</w:t>
      </w:r>
    </w:p>
    <w:p>
      <w:pPr>
        <w:spacing w:after="0" w:line="10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The remaining net proceeds from our IPO have been invested primarily in money market accounts. There has been no material change in the expected use of the net proceeds from our initial public offering as described in our Prospectus filed pursuant to Rule 424(b)(4) under the Securities Act with the SEC on October 29, 2020.</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1" w:right="35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39" w:right="1440"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Item 6. Exhibits.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80" w:type="dxa"/>
            <w:vAlign w:val="bottom"/>
            <w:gridSpan w:val="15"/>
            <w:vMerge w:val="restart"/>
          </w:tcPr>
          <w:p>
            <w:pPr>
              <w:ind w:left="152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1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80" w:type="dxa"/>
            <w:vAlign w:val="bottom"/>
          </w:tcPr>
          <w:p>
            <w:pPr>
              <w:ind w:left="2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tcBorders>
              <w:bottom w:val="single" w:sz="8" w:color="4343EB"/>
            </w:tcBorders>
            <w:gridSpan w:val="5"/>
          </w:tcPr>
          <w:p>
            <w:pPr>
              <w:spacing w:after="0"/>
              <w:rPr>
                <w:rFonts w:ascii="Arial" w:cs="Arial" w:eastAsia="Arial" w:hAnsi="Arial"/>
                <w:sz w:val="18"/>
                <w:szCs w:val="18"/>
                <w:color w:val="4343EB"/>
                <w:w w:val="99"/>
              </w:rPr>
            </w:pPr>
            <w:hyperlink r:id="rId137">
              <w:r>
                <w:rPr>
                  <w:rFonts w:ascii="Arial" w:cs="Arial" w:eastAsia="Arial" w:hAnsi="Arial"/>
                  <w:sz w:val="18"/>
                  <w:szCs w:val="18"/>
                  <w:color w:val="4343EB"/>
                  <w:w w:val="99"/>
                </w:rPr>
                <w:t>Restated Certificate of Incorporation.</w:t>
              </w:r>
            </w:hyperlink>
          </w:p>
        </w:tc>
        <w:tc>
          <w:tcPr>
            <w:tcW w:w="1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rFonts w:ascii="Arial" w:cs="Arial" w:eastAsia="Arial" w:hAnsi="Arial"/>
                <w:sz w:val="18"/>
                <w:szCs w:val="18"/>
                <w:color w:val="4343EB"/>
              </w:rPr>
            </w:pPr>
            <w:hyperlink r:id="rId138">
              <w:r>
                <w:rPr>
                  <w:rFonts w:ascii="Arial" w:cs="Arial" w:eastAsia="Arial" w:hAnsi="Arial"/>
                  <w:sz w:val="18"/>
                  <w:szCs w:val="18"/>
                  <w:color w:val="4343EB"/>
                </w:rPr>
                <w:t>Amended and Restated Bylaws.</w:t>
              </w:r>
            </w:hyperlink>
          </w:p>
        </w:tc>
        <w:tc>
          <w:tcPr>
            <w:tcW w:w="0" w:type="dxa"/>
            <w:vAlign w:val="bottom"/>
          </w:tcPr>
          <w:p>
            <w:pPr>
              <w:spacing w:after="0"/>
              <w:rPr>
                <w:sz w:val="1"/>
                <w:szCs w:val="1"/>
                <w:color w:val="auto"/>
              </w:rPr>
            </w:pPr>
          </w:p>
        </w:tc>
      </w:tr>
      <w:tr>
        <w:trPr>
          <w:trHeight w:val="20"/>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Borders>
              <w:right w:val="single" w:sz="8" w:color="4343EB"/>
            </w:tcBorders>
            <w:shd w:val="clear" w:color="auto" w:fill="4343EB"/>
          </w:tcPr>
          <w:p>
            <w:pPr>
              <w:spacing w:after="0" w:line="20" w:lineRule="exact"/>
              <w:rPr>
                <w:sz w:val="1"/>
                <w:szCs w:val="1"/>
                <w:color w:val="auto"/>
              </w:rPr>
            </w:pPr>
          </w:p>
        </w:tc>
        <w:tc>
          <w:tcPr>
            <w:tcW w:w="400" w:type="dxa"/>
            <w:vAlign w:val="bottom"/>
            <w:tcBorders>
              <w:right w:val="single" w:sz="8" w:color="4343EB"/>
            </w:tcBorders>
            <w:shd w:val="clear" w:color="auto" w:fill="4343EB"/>
          </w:tcPr>
          <w:p>
            <w:pPr>
              <w:spacing w:after="0" w:line="20" w:lineRule="exact"/>
              <w:rPr>
                <w:sz w:val="1"/>
                <w:szCs w:val="1"/>
                <w:color w:val="auto"/>
              </w:rPr>
            </w:pPr>
          </w:p>
        </w:tc>
        <w:tc>
          <w:tcPr>
            <w:tcW w:w="480" w:type="dxa"/>
            <w:vAlign w:val="bottom"/>
            <w:tcBorders>
              <w:right w:val="single" w:sz="8" w:color="0000EE"/>
            </w:tcBorders>
            <w:shd w:val="clear" w:color="auto" w:fill="4343EB"/>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4343EB"/>
              </w:rPr>
              <w:t>Amendment to Sublease Agreement dated April 11,</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160" w:type="dxa"/>
            <w:vAlign w:val="bottom"/>
            <w:tcBorders>
              <w:top w:val="single" w:sz="8" w:color="4343EB"/>
            </w:tcBorders>
            <w:gridSpan w:val="10"/>
          </w:tcPr>
          <w:p>
            <w:pPr>
              <w:spacing w:after="0" w:line="169" w:lineRule="exact"/>
              <w:rPr>
                <w:sz w:val="20"/>
                <w:szCs w:val="20"/>
                <w:color w:val="auto"/>
              </w:rPr>
            </w:pPr>
            <w:r>
              <w:rPr>
                <w:rFonts w:ascii="Arial" w:cs="Arial" w:eastAsia="Arial" w:hAnsi="Arial"/>
                <w:sz w:val="18"/>
                <w:szCs w:val="18"/>
                <w:color w:val="4343EB"/>
              </w:rPr>
              <w:t>2022 between the Company and DataRobot, Inc.</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Borders>
              <w:right w:val="single" w:sz="8" w:color="4343EB"/>
            </w:tcBorders>
            <w:shd w:val="clear" w:color="auto" w:fill="4343EB"/>
          </w:tcPr>
          <w:p>
            <w:pPr>
              <w:spacing w:after="0" w:line="20" w:lineRule="exact"/>
              <w:rPr>
                <w:sz w:val="1"/>
                <w:szCs w:val="1"/>
                <w:color w:val="auto"/>
              </w:rPr>
            </w:pPr>
          </w:p>
        </w:tc>
        <w:tc>
          <w:tcPr>
            <w:tcW w:w="400" w:type="dxa"/>
            <w:vAlign w:val="bottom"/>
            <w:tcBorders>
              <w:right w:val="single" w:sz="8" w:color="4343EB"/>
            </w:tcBorders>
            <w:shd w:val="clear" w:color="auto" w:fill="4343EB"/>
          </w:tcPr>
          <w:p>
            <w:pPr>
              <w:spacing w:after="0" w:line="20" w:lineRule="exact"/>
              <w:rPr>
                <w:sz w:val="1"/>
                <w:szCs w:val="1"/>
                <w:color w:val="auto"/>
              </w:rPr>
            </w:pPr>
          </w:p>
        </w:tc>
        <w:tc>
          <w:tcPr>
            <w:tcW w:w="1620" w:type="dxa"/>
            <w:vAlign w:val="bottom"/>
            <w:gridSpan w:val="3"/>
            <w:shd w:val="clear" w:color="auto" w:fill="4343EB"/>
          </w:tcPr>
          <w:p>
            <w:pPr>
              <w:spacing w:after="0" w:line="20" w:lineRule="exact"/>
              <w:rPr>
                <w:sz w:val="1"/>
                <w:szCs w:val="1"/>
                <w:color w:val="auto"/>
              </w:rPr>
            </w:pPr>
          </w:p>
        </w:tc>
        <w:tc>
          <w:tcPr>
            <w:tcW w:w="20" w:type="dxa"/>
            <w:vAlign w:val="bottom"/>
            <w:shd w:val="clear" w:color="auto" w:fill="4343EB"/>
          </w:tcPr>
          <w:p>
            <w:pPr>
              <w:spacing w:after="0" w:line="20" w:lineRule="exact"/>
              <w:rPr>
                <w:sz w:val="1"/>
                <w:szCs w:val="1"/>
                <w:color w:val="auto"/>
              </w:rPr>
            </w:pPr>
          </w:p>
        </w:tc>
        <w:tc>
          <w:tcPr>
            <w:tcW w:w="180" w:type="dxa"/>
            <w:vAlign w:val="bottom"/>
            <w:tcBorders>
              <w:right w:val="single" w:sz="8" w:color="0000EE"/>
            </w:tcBorders>
            <w:shd w:val="clear" w:color="auto" w:fill="4343EB"/>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4343EB"/>
              </w:rPr>
              <w:t>Consulting Agreement dated June 10, 2022, by and</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720" w:type="dxa"/>
            <w:vAlign w:val="bottom"/>
            <w:tcBorders>
              <w:top w:val="single" w:sz="8" w:color="4343EB"/>
              <w:bottom w:val="single" w:sz="8" w:color="4343EB"/>
            </w:tcBorders>
            <w:gridSpan w:val="6"/>
          </w:tcPr>
          <w:p>
            <w:pPr>
              <w:spacing w:after="0" w:line="169" w:lineRule="exact"/>
              <w:rPr>
                <w:sz w:val="20"/>
                <w:szCs w:val="20"/>
                <w:color w:val="auto"/>
              </w:rPr>
            </w:pPr>
            <w:r>
              <w:rPr>
                <w:rFonts w:ascii="Arial" w:cs="Arial" w:eastAsia="Arial" w:hAnsi="Arial"/>
                <w:sz w:val="18"/>
                <w:szCs w:val="18"/>
                <w:color w:val="4343EB"/>
                <w:w w:val="99"/>
              </w:rPr>
              <w:t>between the Company and Bruce Polsky, M.D.</w:t>
            </w:r>
          </w:p>
        </w:tc>
        <w:tc>
          <w:tcPr>
            <w:tcW w:w="20" w:type="dxa"/>
            <w:vAlign w:val="bottom"/>
            <w:tcBorders>
              <w:top w:val="single" w:sz="8" w:color="4343EB"/>
              <w:bottom w:val="single" w:sz="8" w:color="0000EE"/>
            </w:tcBorders>
          </w:tcPr>
          <w:p>
            <w:pPr>
              <w:spacing w:after="0"/>
              <w:rPr>
                <w:sz w:val="14"/>
                <w:szCs w:val="14"/>
                <w:color w:val="auto"/>
              </w:rPr>
            </w:pPr>
          </w:p>
        </w:tc>
        <w:tc>
          <w:tcPr>
            <w:tcW w:w="440" w:type="dxa"/>
            <w:vAlign w:val="bottom"/>
            <w:tcBorders>
              <w:top w:val="single" w:sz="8" w:color="4343EB"/>
            </w:tcBorders>
            <w:gridSpan w:val="4"/>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4343EB"/>
              </w:rPr>
              <w:t>Certification of Chief Executive Officer pursuant to</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top w:val="single" w:sz="8" w:color="4343EB"/>
            </w:tcBorders>
            <w:gridSpan w:val="9"/>
          </w:tcPr>
          <w:p>
            <w:pPr>
              <w:spacing w:after="0" w:line="169" w:lineRule="exact"/>
              <w:rPr>
                <w:sz w:val="20"/>
                <w:szCs w:val="20"/>
                <w:color w:val="auto"/>
              </w:rPr>
            </w:pPr>
            <w:r>
              <w:rPr>
                <w:rFonts w:ascii="Arial" w:cs="Arial" w:eastAsia="Arial" w:hAnsi="Arial"/>
                <w:sz w:val="18"/>
                <w:szCs w:val="18"/>
                <w:color w:val="4343EB"/>
              </w:rPr>
              <w:t>Rule 13a-14(a)/15d-14(a).</w:t>
            </w:r>
          </w:p>
        </w:tc>
        <w:tc>
          <w:tcPr>
            <w:tcW w:w="20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Borders>
              <w:right w:val="single" w:sz="8" w:color="4343EB"/>
            </w:tcBorders>
            <w:shd w:val="clear" w:color="auto" w:fill="4343EB"/>
          </w:tcPr>
          <w:p>
            <w:pPr>
              <w:spacing w:after="0" w:line="20" w:lineRule="exact"/>
              <w:rPr>
                <w:sz w:val="1"/>
                <w:szCs w:val="1"/>
                <w:color w:val="auto"/>
              </w:rPr>
            </w:pPr>
          </w:p>
        </w:tc>
        <w:tc>
          <w:tcPr>
            <w:tcW w:w="400" w:type="dxa"/>
            <w:vAlign w:val="bottom"/>
            <w:tcBorders>
              <w:right w:val="single" w:sz="8" w:color="0000EE"/>
            </w:tcBorders>
            <w:shd w:val="clear" w:color="auto" w:fill="4343EB"/>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4343EB"/>
              </w:rPr>
              <w:t>Certification of Chief Financial Officer pursuant to Rule</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360" w:type="dxa"/>
            <w:vAlign w:val="bottom"/>
            <w:tcBorders>
              <w:top w:val="single" w:sz="8" w:color="4343EB"/>
            </w:tcBorders>
            <w:gridSpan w:val="14"/>
          </w:tcPr>
          <w:p>
            <w:pPr>
              <w:spacing w:after="0" w:line="169" w:lineRule="exact"/>
              <w:rPr>
                <w:sz w:val="20"/>
                <w:szCs w:val="20"/>
                <w:color w:val="auto"/>
              </w:rPr>
            </w:pPr>
            <w:r>
              <w:rPr>
                <w:rFonts w:ascii="Arial" w:cs="Arial" w:eastAsia="Arial" w:hAnsi="Arial"/>
                <w:sz w:val="18"/>
                <w:szCs w:val="18"/>
                <w:color w:val="4343EB"/>
              </w:rPr>
              <w:t>13a-14(a)/15d-14(a).</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shd w:val="clear" w:color="auto" w:fill="4343EB"/>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4343EB"/>
              </w:rPr>
              <w:t>Certification of Chief Executive Officer pursuant to 18</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80" w:type="dxa"/>
            <w:vAlign w:val="bottom"/>
            <w:tcBorders>
              <w:top w:val="single" w:sz="8" w:color="4343EB"/>
            </w:tcBorders>
            <w:gridSpan w:val="13"/>
          </w:tcPr>
          <w:p>
            <w:pPr>
              <w:spacing w:after="0" w:line="169" w:lineRule="exact"/>
              <w:rPr>
                <w:sz w:val="20"/>
                <w:szCs w:val="20"/>
                <w:color w:val="auto"/>
              </w:rPr>
            </w:pPr>
            <w:r>
              <w:rPr>
                <w:rFonts w:ascii="Arial" w:cs="Arial" w:eastAsia="Arial" w:hAnsi="Arial"/>
                <w:sz w:val="18"/>
                <w:szCs w:val="18"/>
                <w:color w:val="4343EB"/>
              </w:rPr>
              <w:t>U.S.C. Section 1350.</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right w:val="single" w:sz="8" w:color="0000EE"/>
            </w:tcBorders>
            <w:gridSpan w:val="2"/>
            <w:shd w:val="clear" w:color="auto" w:fill="4343EB"/>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80" w:type="dxa"/>
            <w:vAlign w:val="bottom"/>
            <w:gridSpan w:val="15"/>
          </w:tcPr>
          <w:p>
            <w:pPr>
              <w:spacing w:after="0" w:line="196" w:lineRule="exact"/>
              <w:rPr>
                <w:sz w:val="20"/>
                <w:szCs w:val="20"/>
                <w:color w:val="auto"/>
              </w:rPr>
            </w:pPr>
            <w:r>
              <w:rPr>
                <w:rFonts w:ascii="Arial" w:cs="Arial" w:eastAsia="Arial" w:hAnsi="Arial"/>
                <w:sz w:val="18"/>
                <w:szCs w:val="18"/>
                <w:color w:val="4343EB"/>
              </w:rPr>
              <w:t>Certification of Chief Financial Officer pursuant to 18</w:t>
            </w:r>
          </w:p>
        </w:tc>
        <w:tc>
          <w:tcPr>
            <w:tcW w:w="0" w:type="dxa"/>
            <w:vAlign w:val="bottom"/>
          </w:tcPr>
          <w:p>
            <w:pPr>
              <w:spacing w:after="0"/>
              <w:rPr>
                <w:sz w:val="1"/>
                <w:szCs w:val="1"/>
                <w:color w:val="auto"/>
              </w:rPr>
            </w:pPr>
          </w:p>
        </w:tc>
      </w:tr>
      <w:tr>
        <w:trPr>
          <w:trHeight w:val="169"/>
        </w:trPr>
        <w:tc>
          <w:tcPr>
            <w:tcW w:w="108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20" w:type="dxa"/>
            <w:vAlign w:val="bottom"/>
            <w:tcBorders>
              <w:top w:val="single" w:sz="8" w:color="4343EB"/>
            </w:tcBorders>
            <w:gridSpan w:val="12"/>
          </w:tcPr>
          <w:p>
            <w:pPr>
              <w:spacing w:after="0" w:line="169" w:lineRule="exact"/>
              <w:rPr>
                <w:sz w:val="20"/>
                <w:szCs w:val="20"/>
                <w:color w:val="auto"/>
              </w:rPr>
            </w:pPr>
            <w:r>
              <w:rPr>
                <w:rFonts w:ascii="Arial" w:cs="Arial" w:eastAsia="Arial" w:hAnsi="Arial"/>
                <w:sz w:val="18"/>
                <w:szCs w:val="18"/>
                <w:color w:val="4343EB"/>
              </w:rPr>
              <w:t>U.S.C. Section 1350.</w:t>
            </w:r>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Borders>
              <w:right w:val="single" w:sz="8" w:color="0000EE"/>
            </w:tcBorders>
            <w:gridSpan w:val="2"/>
            <w:shd w:val="clear" w:color="auto" w:fill="4343EB"/>
          </w:tcPr>
          <w:p>
            <w:pPr>
              <w:spacing w:after="0" w:line="20" w:lineRule="exact"/>
              <w:rPr>
                <w:sz w:val="1"/>
                <w:szCs w:val="1"/>
                <w:color w:val="auto"/>
              </w:rPr>
            </w:pPr>
          </w:p>
        </w:tc>
        <w:tc>
          <w:tcPr>
            <w:tcW w:w="26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91" w:lineRule="exact"/>
              <w:rPr>
                <w:sz w:val="20"/>
                <w:szCs w:val="20"/>
                <w:color w:val="auto"/>
              </w:rPr>
            </w:pPr>
            <w:r>
              <w:rPr>
                <w:rFonts w:ascii="Arial" w:cs="Arial" w:eastAsia="Arial" w:hAnsi="Arial"/>
                <w:sz w:val="18"/>
                <w:szCs w:val="18"/>
                <w:color w:val="auto"/>
              </w:rPr>
              <w:t>Inline XBRL Instance Document - the instance</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89" w:lineRule="exact"/>
              <w:rPr>
                <w:sz w:val="20"/>
                <w:szCs w:val="20"/>
                <w:color w:val="auto"/>
              </w:rPr>
            </w:pPr>
            <w:r>
              <w:rPr>
                <w:rFonts w:ascii="Arial" w:cs="Arial" w:eastAsia="Arial" w:hAnsi="Arial"/>
                <w:sz w:val="18"/>
                <w:szCs w:val="18"/>
                <w:color w:val="auto"/>
              </w:rPr>
              <w:t>document does not appear in the Interactive Data File</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89" w:lineRule="exact"/>
              <w:rPr>
                <w:sz w:val="20"/>
                <w:szCs w:val="20"/>
                <w:color w:val="auto"/>
              </w:rPr>
            </w:pPr>
            <w:r>
              <w:rPr>
                <w:rFonts w:ascii="Arial" w:cs="Arial" w:eastAsia="Arial" w:hAnsi="Arial"/>
                <w:sz w:val="18"/>
                <w:szCs w:val="18"/>
                <w:color w:val="auto"/>
              </w:rPr>
              <w:t>because its XBRL tags are embedded within the Inline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5"/>
          </w:tcPr>
          <w:p>
            <w:pPr>
              <w:spacing w:after="0"/>
              <w:rPr>
                <w:sz w:val="20"/>
                <w:szCs w:val="20"/>
                <w:color w:val="auto"/>
              </w:rPr>
            </w:pPr>
            <w:r>
              <w:rPr>
                <w:rFonts w:ascii="Arial" w:cs="Arial" w:eastAsia="Arial" w:hAnsi="Arial"/>
                <w:sz w:val="18"/>
                <w:szCs w:val="18"/>
                <w:color w:val="auto"/>
              </w:rPr>
              <w:t>XBRL document.</w:t>
            </w:r>
          </w:p>
        </w:tc>
        <w:tc>
          <w:tcPr>
            <w:tcW w:w="0" w:type="dxa"/>
            <w:vAlign w:val="bottom"/>
          </w:tcPr>
          <w:p>
            <w:pPr>
              <w:spacing w:after="0"/>
              <w:rPr>
                <w:sz w:val="1"/>
                <w:szCs w:val="1"/>
                <w:color w:val="auto"/>
              </w:rPr>
            </w:pPr>
          </w:p>
        </w:tc>
      </w:tr>
      <w:tr>
        <w:trPr>
          <w:trHeight w:val="216"/>
        </w:trPr>
        <w:tc>
          <w:tcPr>
            <w:tcW w:w="1080" w:type="dxa"/>
            <w:vAlign w:val="bottom"/>
          </w:tcPr>
          <w:p>
            <w:pPr>
              <w:ind w:left="2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5"/>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89" w:lineRule="exact"/>
              <w:rPr>
                <w:sz w:val="20"/>
                <w:szCs w:val="20"/>
                <w:color w:val="auto"/>
              </w:rPr>
            </w:pPr>
            <w:r>
              <w:rPr>
                <w:rFonts w:ascii="Arial" w:cs="Arial" w:eastAsia="Arial" w:hAnsi="Arial"/>
                <w:sz w:val="18"/>
                <w:szCs w:val="18"/>
                <w:color w:val="auto"/>
              </w:rPr>
              <w:t>Inline XBRL Taxonomy Extension Calculation</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101.DEF</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89" w:lineRule="exact"/>
              <w:rPr>
                <w:sz w:val="20"/>
                <w:szCs w:val="20"/>
                <w:color w:val="auto"/>
              </w:rPr>
            </w:pPr>
            <w:r>
              <w:rPr>
                <w:rFonts w:ascii="Arial" w:cs="Arial" w:eastAsia="Arial" w:hAnsi="Arial"/>
                <w:sz w:val="18"/>
                <w:szCs w:val="18"/>
                <w:color w:val="auto"/>
              </w:rPr>
              <w:t>Inline XBRL Taxonomy Extension Definition Linkbase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89" w:lineRule="exact"/>
              <w:rPr>
                <w:sz w:val="20"/>
                <w:szCs w:val="20"/>
                <w:color w:val="auto"/>
              </w:rPr>
            </w:pPr>
            <w:r>
              <w:rPr>
                <w:rFonts w:ascii="Arial" w:cs="Arial" w:eastAsia="Arial" w:hAnsi="Arial"/>
                <w:sz w:val="18"/>
                <w:szCs w:val="18"/>
                <w:color w:val="auto"/>
              </w:rPr>
              <w:t>Inline XBRL Taxonomy Extension Label Linkbase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380" w:type="dxa"/>
            <w:vAlign w:val="bottom"/>
            <w:gridSpan w:val="15"/>
          </w:tcPr>
          <w:p>
            <w:pPr>
              <w:spacing w:after="0"/>
              <w:rPr>
                <w:sz w:val="20"/>
                <w:szCs w:val="20"/>
                <w:color w:val="auto"/>
              </w:rPr>
            </w:pPr>
            <w:r>
              <w:rPr>
                <w:rFonts w:ascii="Arial" w:cs="Arial" w:eastAsia="Arial" w:hAnsi="Arial"/>
                <w:sz w:val="18"/>
                <w:szCs w:val="18"/>
                <w:color w:val="auto"/>
              </w:rPr>
              <w:t>Document</w:t>
            </w:r>
          </w:p>
        </w:tc>
        <w:tc>
          <w:tcPr>
            <w:tcW w:w="0" w:type="dxa"/>
            <w:vAlign w:val="bottom"/>
          </w:tcPr>
          <w:p>
            <w:pPr>
              <w:spacing w:after="0"/>
              <w:rPr>
                <w:sz w:val="1"/>
                <w:szCs w:val="1"/>
                <w:color w:val="auto"/>
              </w:rPr>
            </w:pPr>
          </w:p>
        </w:tc>
      </w:tr>
      <w:tr>
        <w:trPr>
          <w:trHeight w:val="189"/>
        </w:trPr>
        <w:tc>
          <w:tcPr>
            <w:tcW w:w="1080" w:type="dxa"/>
            <w:vAlign w:val="bottom"/>
          </w:tcPr>
          <w:p>
            <w:pPr>
              <w:ind w:left="20"/>
              <w:spacing w:after="0" w:line="189" w:lineRule="exact"/>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80" w:type="dxa"/>
            <w:vAlign w:val="bottom"/>
            <w:gridSpan w:val="15"/>
          </w:tcPr>
          <w:p>
            <w:pPr>
              <w:spacing w:after="0" w:line="189" w:lineRule="exact"/>
              <w:rPr>
                <w:sz w:val="20"/>
                <w:szCs w:val="20"/>
                <w:color w:val="auto"/>
              </w:rPr>
            </w:pPr>
            <w:r>
              <w:rPr>
                <w:rFonts w:ascii="Arial" w:cs="Arial" w:eastAsia="Arial" w:hAnsi="Arial"/>
                <w:sz w:val="18"/>
                <w:szCs w:val="18"/>
                <w:color w:val="auto"/>
              </w:rPr>
              <w:t>Inline XBRL Taxonomy Extension Presentation</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80" w:type="dxa"/>
            <w:vAlign w:val="bottom"/>
            <w:gridSpan w:val="15"/>
          </w:tcPr>
          <w:p>
            <w:pPr>
              <w:spacing w:after="0"/>
              <w:rPr>
                <w:sz w:val="20"/>
                <w:szCs w:val="20"/>
                <w:color w:val="auto"/>
              </w:rPr>
            </w:pPr>
            <w:r>
              <w:rPr>
                <w:rFonts w:ascii="Arial" w:cs="Arial" w:eastAsia="Arial" w:hAnsi="Arial"/>
                <w:sz w:val="18"/>
                <w:szCs w:val="18"/>
                <w:color w:val="auto"/>
              </w:rPr>
              <w:t>Linkbase Document</w:t>
            </w:r>
          </w:p>
        </w:tc>
        <w:tc>
          <w:tcPr>
            <w:tcW w:w="0" w:type="dxa"/>
            <w:vAlign w:val="bottom"/>
          </w:tcPr>
          <w:p>
            <w:pPr>
              <w:spacing w:after="0"/>
              <w:rPr>
                <w:sz w:val="1"/>
                <w:szCs w:val="1"/>
                <w:color w:val="auto"/>
              </w:rPr>
            </w:pPr>
          </w:p>
        </w:tc>
      </w:tr>
    </w:tbl>
    <w:p>
      <w:pPr>
        <w:ind w:left="1220" w:right="320" w:hanging="1199"/>
        <w:spacing w:after="0" w:line="237" w:lineRule="auto"/>
        <w:tabs>
          <w:tab w:leader="none" w:pos="12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3" w:lineRule="exact"/>
        <w:rPr>
          <w:rFonts w:ascii="Arial" w:cs="Arial" w:eastAsia="Arial" w:hAnsi="Arial"/>
          <w:sz w:val="18"/>
          <w:szCs w:val="18"/>
          <w:color w:val="auto"/>
        </w:rPr>
      </w:pPr>
    </w:p>
    <w:p>
      <w:pPr>
        <w:ind w:left="200" w:hanging="192"/>
        <w:spacing w:after="0"/>
        <w:tabs>
          <w:tab w:leader="none" w:pos="2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9512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2000" w:type="dxa"/>
            <w:vAlign w:val="bottom"/>
            <w:gridSpan w:val="3"/>
          </w:tcPr>
          <w:p>
            <w:pPr>
              <w:ind w:left="160"/>
              <w:spacing w:after="0"/>
              <w:rPr>
                <w:sz w:val="20"/>
                <w:szCs w:val="20"/>
                <w:color w:val="auto"/>
              </w:rPr>
            </w:pPr>
            <w:r>
              <w:rPr>
                <w:rFonts w:ascii="Arial" w:cs="Arial" w:eastAsia="Arial" w:hAnsi="Arial"/>
                <w:sz w:val="14"/>
                <w:szCs w:val="14"/>
                <w:b w:val="1"/>
                <w:bCs w:val="1"/>
                <w:color w:val="auto"/>
              </w:rPr>
              <w:t>Incorporated by Reference</w:t>
            </w: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49"/>
        </w:trPr>
        <w:tc>
          <w:tcPr>
            <w:tcW w:w="740" w:type="dxa"/>
            <w:vAlign w:val="bottom"/>
            <w:vMerge w:val="restart"/>
          </w:tcPr>
          <w:p>
            <w:pPr>
              <w:jc w:val="center"/>
              <w:ind w:right="296"/>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2"/>
                <w:szCs w:val="12"/>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2"/>
                <w:szCs w:val="12"/>
                <w:color w:val="auto"/>
              </w:rPr>
            </w:pPr>
          </w:p>
        </w:tc>
        <w:tc>
          <w:tcPr>
            <w:tcW w:w="960" w:type="dxa"/>
            <w:vAlign w:val="bottom"/>
          </w:tcPr>
          <w:p>
            <w:pPr>
              <w:jc w:val="right"/>
              <w:ind w:right="228"/>
              <w:spacing w:after="0" w:line="149" w:lineRule="exact"/>
              <w:rPr>
                <w:sz w:val="20"/>
                <w:szCs w:val="20"/>
                <w:color w:val="auto"/>
              </w:rPr>
            </w:pPr>
            <w:r>
              <w:rPr>
                <w:rFonts w:ascii="Arial" w:cs="Arial" w:eastAsia="Arial" w:hAnsi="Arial"/>
                <w:sz w:val="14"/>
                <w:szCs w:val="14"/>
                <w:b w:val="1"/>
                <w:bCs w:val="1"/>
                <w:color w:val="auto"/>
              </w:rPr>
              <w:t>Filing</w:t>
            </w:r>
          </w:p>
        </w:tc>
        <w:tc>
          <w:tcPr>
            <w:tcW w:w="1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740" w:type="dxa"/>
            <w:vAlign w:val="bottom"/>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26"/>
        </w:trPr>
        <w:tc>
          <w:tcPr>
            <w:tcW w:w="740" w:type="dxa"/>
            <w:vAlign w:val="bottom"/>
          </w:tcPr>
          <w:p>
            <w:pPr>
              <w:jc w:val="center"/>
              <w:ind w:right="296"/>
              <w:spacing w:after="0"/>
              <w:rPr>
                <w:sz w:val="20"/>
                <w:szCs w:val="20"/>
                <w:color w:val="auto"/>
              </w:rPr>
            </w:pPr>
            <w:r>
              <w:rPr>
                <w:rFonts w:ascii="Arial" w:cs="Arial" w:eastAsia="Arial" w:hAnsi="Arial"/>
                <w:sz w:val="18"/>
                <w:szCs w:val="18"/>
                <w:color w:val="auto"/>
                <w:w w:val="99"/>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001-39661</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3.1</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11/5/2020</w:t>
            </w: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tcPr>
          <w:p>
            <w:pPr>
              <w:jc w:val="center"/>
              <w:ind w:right="296"/>
              <w:spacing w:after="0"/>
              <w:rPr>
                <w:sz w:val="20"/>
                <w:szCs w:val="20"/>
                <w:color w:val="auto"/>
              </w:rPr>
            </w:pPr>
            <w:r>
              <w:rPr>
                <w:rFonts w:ascii="Arial" w:cs="Arial" w:eastAsia="Arial" w:hAnsi="Arial"/>
                <w:sz w:val="18"/>
                <w:szCs w:val="18"/>
                <w:color w:val="auto"/>
                <w:w w:val="99"/>
              </w:rPr>
              <w:t>8-K</w:t>
            </w:r>
          </w:p>
        </w:tc>
        <w:tc>
          <w:tcPr>
            <w:tcW w:w="1240" w:type="dxa"/>
            <w:vAlign w:val="bottom"/>
          </w:tcPr>
          <w:p>
            <w:pPr>
              <w:ind w:left="180"/>
              <w:spacing w:after="0"/>
              <w:rPr>
                <w:sz w:val="20"/>
                <w:szCs w:val="20"/>
                <w:color w:val="auto"/>
              </w:rPr>
            </w:pPr>
            <w:r>
              <w:rPr>
                <w:rFonts w:ascii="Arial" w:cs="Arial" w:eastAsia="Arial" w:hAnsi="Arial"/>
                <w:sz w:val="18"/>
                <w:szCs w:val="18"/>
                <w:color w:val="auto"/>
              </w:rPr>
              <w:t>001-39661</w:t>
            </w:r>
          </w:p>
        </w:tc>
        <w:tc>
          <w:tcPr>
            <w:tcW w:w="760" w:type="dxa"/>
            <w:vAlign w:val="bottom"/>
            <w:gridSpan w:val="2"/>
          </w:tcPr>
          <w:p>
            <w:pPr>
              <w:jc w:val="center"/>
              <w:ind w:left="10"/>
              <w:spacing w:after="0"/>
              <w:rPr>
                <w:sz w:val="20"/>
                <w:szCs w:val="20"/>
                <w:color w:val="auto"/>
              </w:rPr>
            </w:pPr>
            <w:r>
              <w:rPr>
                <w:rFonts w:ascii="Arial" w:cs="Arial" w:eastAsia="Arial" w:hAnsi="Arial"/>
                <w:sz w:val="18"/>
                <w:szCs w:val="18"/>
                <w:color w:val="auto"/>
              </w:rPr>
              <w:t>3.2</w:t>
            </w:r>
          </w:p>
        </w:tc>
        <w:tc>
          <w:tcPr>
            <w:tcW w:w="1180" w:type="dxa"/>
            <w:vAlign w:val="bottom"/>
            <w:gridSpan w:val="2"/>
          </w:tcPr>
          <w:p>
            <w:pPr>
              <w:jc w:val="right"/>
              <w:ind w:right="68"/>
              <w:spacing w:after="0"/>
              <w:rPr>
                <w:sz w:val="20"/>
                <w:szCs w:val="20"/>
                <w:color w:val="auto"/>
              </w:rPr>
            </w:pPr>
            <w:r>
              <w:rPr>
                <w:rFonts w:ascii="Arial" w:cs="Arial" w:eastAsia="Arial" w:hAnsi="Arial"/>
                <w:sz w:val="18"/>
                <w:szCs w:val="18"/>
                <w:color w:val="auto"/>
              </w:rPr>
              <w:t>11/5/2020</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-581660</wp:posOffset>
            </wp:positionV>
            <wp:extent cx="26657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2665730" cy="825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-367665</wp:posOffset>
            </wp:positionV>
            <wp:extent cx="57467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376"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5720" w:space="280"/>
            <w:col w:w="5240"/>
          </w:cols>
          <w:pgMar w:left="320" w:top="323"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Arial" w:cs="Arial" w:eastAsia="Arial" w:hAnsi="Arial"/>
                <w:sz w:val="18"/>
                <w:szCs w:val="18"/>
                <w:color w:val="auto"/>
              </w:rPr>
              <w:t>ATEA PHARMACEUTICALS, INC.</w:t>
            </w:r>
          </w:p>
        </w:tc>
      </w:tr>
      <w:tr>
        <w:trPr>
          <w:trHeight w:val="401"/>
        </w:trPr>
        <w:tc>
          <w:tcPr>
            <w:tcW w:w="3680" w:type="dxa"/>
            <w:vAlign w:val="bottom"/>
          </w:tcPr>
          <w:p>
            <w:pPr>
              <w:spacing w:after="0"/>
              <w:rPr>
                <w:sz w:val="20"/>
                <w:szCs w:val="20"/>
                <w:color w:val="auto"/>
              </w:rPr>
            </w:pPr>
            <w:r>
              <w:rPr>
                <w:rFonts w:ascii="Arial" w:cs="Arial" w:eastAsia="Arial" w:hAnsi="Arial"/>
                <w:sz w:val="18"/>
                <w:szCs w:val="18"/>
                <w:color w:val="auto"/>
              </w:rPr>
              <w:t>Date: August 8, 2022</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Jean-Pierre Sommadossi, Ph.D.</w:t>
            </w:r>
          </w:p>
        </w:tc>
      </w:tr>
      <w:tr>
        <w:trPr>
          <w:trHeight w:val="164"/>
        </w:trPr>
        <w:tc>
          <w:tcPr>
            <w:tcW w:w="36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1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9"/>
              </w:rPr>
              <w:t>Jean-Pierre Sommadossi, Ph.D.</w:t>
            </w:r>
          </w:p>
        </w:tc>
      </w:tr>
      <w:tr>
        <w:trPr>
          <w:trHeight w:val="189"/>
        </w:trPr>
        <w:tc>
          <w:tcPr>
            <w:tcW w:w="3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0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President and Chief Executive Officer</w:t>
            </w:r>
          </w:p>
        </w:tc>
      </w:tr>
      <w:tr>
        <w:trPr>
          <w:trHeight w:val="247"/>
        </w:trPr>
        <w:tc>
          <w:tcPr>
            <w:tcW w:w="368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5100" w:type="dxa"/>
            <w:vAlign w:val="bottom"/>
          </w:tcPr>
          <w:p>
            <w:pPr>
              <w:jc w:val="center"/>
              <w:spacing w:after="0"/>
              <w:rPr>
                <w:sz w:val="20"/>
                <w:szCs w:val="20"/>
                <w:color w:val="auto"/>
              </w:rPr>
            </w:pPr>
            <w:r>
              <w:rPr>
                <w:rFonts w:ascii="Arial" w:cs="Arial" w:eastAsia="Arial" w:hAnsi="Arial"/>
                <w:sz w:val="18"/>
                <w:szCs w:val="18"/>
                <w:b w:val="1"/>
                <w:bCs w:val="1"/>
                <w:color w:val="auto"/>
                <w:w w:val="99"/>
              </w:rPr>
              <w:t>(principal executive officer)</w:t>
            </w:r>
          </w:p>
        </w:tc>
      </w:tr>
      <w:tr>
        <w:trPr>
          <w:trHeight w:val="393"/>
        </w:trPr>
        <w:tc>
          <w:tcPr>
            <w:tcW w:w="3680" w:type="dxa"/>
            <w:vAlign w:val="bottom"/>
          </w:tcPr>
          <w:p>
            <w:pPr>
              <w:spacing w:after="0"/>
              <w:rPr>
                <w:sz w:val="20"/>
                <w:szCs w:val="20"/>
                <w:color w:val="auto"/>
              </w:rPr>
            </w:pPr>
            <w:r>
              <w:rPr>
                <w:rFonts w:ascii="Arial" w:cs="Arial" w:eastAsia="Arial" w:hAnsi="Arial"/>
                <w:sz w:val="18"/>
                <w:szCs w:val="18"/>
                <w:color w:val="auto"/>
              </w:rPr>
              <w:t>Date: August 8, 2022</w:t>
            </w:r>
          </w:p>
        </w:tc>
        <w:tc>
          <w:tcPr>
            <w:tcW w:w="2440" w:type="dxa"/>
            <w:vAlign w:val="bottom"/>
          </w:tcPr>
          <w:p>
            <w:pPr>
              <w:ind w:left="200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Andrea Corcoran</w:t>
            </w:r>
          </w:p>
        </w:tc>
      </w:tr>
      <w:tr>
        <w:trPr>
          <w:trHeight w:val="182"/>
        </w:trPr>
        <w:tc>
          <w:tcPr>
            <w:tcW w:w="36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100" w:type="dxa"/>
            <w:vAlign w:val="bottom"/>
          </w:tcPr>
          <w:p>
            <w:pPr>
              <w:jc w:val="center"/>
              <w:spacing w:after="0" w:line="182" w:lineRule="exact"/>
              <w:rPr>
                <w:sz w:val="20"/>
                <w:szCs w:val="20"/>
                <w:color w:val="auto"/>
              </w:rPr>
            </w:pPr>
            <w:r>
              <w:rPr>
                <w:rFonts w:ascii="Arial" w:cs="Arial" w:eastAsia="Arial" w:hAnsi="Arial"/>
                <w:sz w:val="18"/>
                <w:szCs w:val="18"/>
                <w:b w:val="1"/>
                <w:bCs w:val="1"/>
                <w:color w:val="auto"/>
                <w:w w:val="99"/>
              </w:rPr>
              <w:t>Andrea Corcoran</w:t>
            </w:r>
          </w:p>
        </w:tc>
      </w:tr>
    </w:tbl>
    <w:p>
      <w:pPr>
        <w:jc w:val="center"/>
        <w:ind w:left="610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12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120"/>
        <w:spacing w:after="0"/>
        <w:rPr>
          <w:sz w:val="20"/>
          <w:szCs w:val="20"/>
          <w:color w:val="auto"/>
        </w:rPr>
      </w:pPr>
      <w:r>
        <w:rPr>
          <w:rFonts w:ascii="Arial" w:cs="Arial" w:eastAsia="Arial" w:hAnsi="Arial"/>
          <w:sz w:val="18"/>
          <w:szCs w:val="18"/>
          <w:b w:val="1"/>
          <w:bCs w:val="1"/>
          <w:color w:val="auto"/>
        </w:rPr>
        <w:t>(principal financial officer)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783" w:right="1440"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10.1</w:t>
      </w:r>
    </w:p>
    <w:p>
      <w:pPr>
        <w:spacing w:after="0" w:line="28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u w:val="single" w:color="auto"/>
          <w:color w:val="auto"/>
        </w:rPr>
        <w:t>AMENDMENT OF SUBLEASE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20" w:right="140" w:firstLine="749"/>
        <w:spacing w:after="0" w:line="245" w:lineRule="auto"/>
        <w:rPr>
          <w:sz w:val="20"/>
          <w:szCs w:val="20"/>
          <w:color w:val="auto"/>
        </w:rPr>
      </w:pPr>
      <w:r>
        <w:rPr>
          <w:rFonts w:ascii="Times New Roman" w:cs="Times New Roman" w:eastAsia="Times New Roman" w:hAnsi="Times New Roman"/>
          <w:sz w:val="22"/>
          <w:szCs w:val="22"/>
          <w:b w:val="1"/>
          <w:bCs w:val="1"/>
          <w:color w:val="auto"/>
        </w:rPr>
        <w:t xml:space="preserve">THIS AMENDMENT OF SUBLEASE </w:t>
      </w:r>
      <w:r>
        <w:rPr>
          <w:rFonts w:ascii="Times New Roman" w:cs="Times New Roman" w:eastAsia="Times New Roman" w:hAnsi="Times New Roman"/>
          <w:sz w:val="22"/>
          <w:szCs w:val="22"/>
          <w:color w:val="auto"/>
        </w:rPr>
        <w:t>(“Amendment”) is made as of this day of April, 2022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between DataRobot, Inc., a Delaware corporation, having an office at 225 Franklin Street, Boston, MA 02110 (“Sublandlord”), and Atea Pharmaceuticals, Inc., a Delaware corporation having an office at 125 Summer Street, Boston, MA 02110 (“Subtenant”).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5426710</wp:posOffset>
            </wp:positionH>
            <wp:positionV relativeFrom="paragraph">
              <wp:posOffset>-506730</wp:posOffset>
            </wp:positionV>
            <wp:extent cx="20955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209550" cy="8255"/>
                    </a:xfrm>
                    <a:prstGeom prst="rect">
                      <a:avLst/>
                    </a:prstGeom>
                    <a:noFill/>
                  </pic:spPr>
                </pic:pic>
              </a:graphicData>
            </a:graphic>
          </wp:anchor>
        </w:drawing>
      </w:r>
    </w:p>
    <w:p>
      <w:pPr>
        <w:spacing w:after="0" w:line="16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2"/>
          <w:szCs w:val="22"/>
          <w:b w:val="1"/>
          <w:bCs w:val="1"/>
          <w:u w:val="single" w:color="auto"/>
          <w:color w:val="auto"/>
        </w:rPr>
        <w:t>R E C I T A L S</w:t>
      </w:r>
      <w:r>
        <w:rPr>
          <w:rFonts w:ascii="Times New Roman" w:cs="Times New Roman" w:eastAsia="Times New Roman" w:hAnsi="Times New Roman"/>
          <w:sz w:val="22"/>
          <w:szCs w:val="22"/>
          <w:b w:val="1"/>
          <w:bCs w:val="1"/>
          <w:color w:val="auto"/>
        </w:rPr>
        <w:t>:</w:t>
      </w:r>
    </w:p>
    <w:p>
      <w:pPr>
        <w:spacing w:after="0" w:line="291" w:lineRule="exact"/>
        <w:rPr>
          <w:sz w:val="20"/>
          <w:szCs w:val="20"/>
          <w:color w:val="auto"/>
        </w:rPr>
      </w:pPr>
    </w:p>
    <w:p>
      <w:pPr>
        <w:ind w:left="1220" w:right="380" w:firstLine="745"/>
        <w:spacing w:after="0" w:line="255" w:lineRule="auto"/>
        <w:tabs>
          <w:tab w:leader="none" w:pos="2707"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Pursuant to an Office Lease Agreement dated as of December 13, 2018 ("Original Lease"), as amended by (i) First Amendment to Lease dated as of June 18, 2019 ("First Amendment"), (ii) Second Amendment to Lease dated as of August 28, 1919 ("Second Amendment"), (iii) Third Amendment to Lease dated as of December 31, 2020 (“Third Amendment") and (iv) Fourth Amendment to Lease dated as of February __, 2022 (“Fourth Amendment”) (collectively, the “Prime Lease”), 225 Franklin Owner (DE) LLC ("Prime Landlord") leased to Sublandlord approximately 127,482 rentable square feet of office space (the "Premises") in the building located at 225 Franklin Street, Boston, Massachusetts (the "Building"); and</w:t>
      </w:r>
    </w:p>
    <w:p>
      <w:pPr>
        <w:spacing w:after="0" w:line="174" w:lineRule="exact"/>
        <w:rPr>
          <w:rFonts w:ascii="Times New Roman" w:cs="Times New Roman" w:eastAsia="Times New Roman" w:hAnsi="Times New Roman"/>
          <w:sz w:val="21"/>
          <w:szCs w:val="21"/>
          <w:color w:val="auto"/>
        </w:rPr>
      </w:pPr>
    </w:p>
    <w:p>
      <w:pPr>
        <w:ind w:left="1220" w:right="420" w:firstLine="745"/>
        <w:spacing w:after="0" w:line="244" w:lineRule="auto"/>
        <w:tabs>
          <w:tab w:leader="none" w:pos="2702"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Sublandlord and Subtenant entered into a Sublease dated as of July 19, 2021 (the “Existing Sublease”) pursuant to which Subtenant leased from Sublandlord approximately 17,544 rentable square feet of the Premises, which space (the “Sublease Premises”) consists of a portion of the twenty-first floor of the Building, as more particularly described in the Existing Sublease; and</w:t>
      </w:r>
    </w:p>
    <w:p>
      <w:pPr>
        <w:spacing w:after="0" w:line="172" w:lineRule="exact"/>
        <w:rPr>
          <w:rFonts w:ascii="Times New Roman" w:cs="Times New Roman" w:eastAsia="Times New Roman" w:hAnsi="Times New Roman"/>
          <w:sz w:val="22"/>
          <w:szCs w:val="22"/>
          <w:color w:val="auto"/>
        </w:rPr>
      </w:pPr>
    </w:p>
    <w:p>
      <w:pPr>
        <w:ind w:left="1220" w:right="360" w:firstLine="745"/>
        <w:spacing w:after="0" w:line="248" w:lineRule="auto"/>
        <w:tabs>
          <w:tab w:leader="none" w:pos="2707"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the Fourth Amendment (a copy of which Sublandlord has delivered to Subtenant), Sublandlord and Prime Landlord have extended the expiration date for Sublandlord to submit any requisition packages to the Prime Landlord for the Expansion Premises Allowance so as to expire on August 31, 2022 and modified other terms and conditions contained therein via the Fourth Amendment; and</w:t>
      </w:r>
    </w:p>
    <w:p>
      <w:pPr>
        <w:spacing w:after="0" w:line="169" w:lineRule="exact"/>
        <w:rPr>
          <w:rFonts w:ascii="Times New Roman" w:cs="Times New Roman" w:eastAsia="Times New Roman" w:hAnsi="Times New Roman"/>
          <w:sz w:val="22"/>
          <w:szCs w:val="22"/>
          <w:color w:val="auto"/>
        </w:rPr>
      </w:pPr>
    </w:p>
    <w:p>
      <w:pPr>
        <w:ind w:left="1220" w:right="400" w:firstLine="745"/>
        <w:spacing w:after="0" w:line="247" w:lineRule="auto"/>
        <w:tabs>
          <w:tab w:leader="none" w:pos="268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Sublandlord and Subtenant desire to amend the Existing Sublease to extend the expiration date by which Subtenant may submit any requisition packages for the Subtenant Allowance on the terms and conditions set forth herein. The Existing Sublease as modified by this Amendment hereinafter shall be referred to as the “Sublease.” Any capitalized terms not defined herein shall have the meaning set forth in the Existing Sublease.</w:t>
      </w:r>
    </w:p>
    <w:p>
      <w:pPr>
        <w:spacing w:after="0" w:line="170" w:lineRule="exact"/>
        <w:rPr>
          <w:sz w:val="20"/>
          <w:szCs w:val="20"/>
          <w:color w:val="auto"/>
        </w:rPr>
      </w:pPr>
    </w:p>
    <w:p>
      <w:pPr>
        <w:ind w:left="1220" w:right="260" w:firstLine="749"/>
        <w:spacing w:after="0" w:line="250" w:lineRule="auto"/>
        <w:rPr>
          <w:sz w:val="20"/>
          <w:szCs w:val="20"/>
          <w:color w:val="auto"/>
        </w:rPr>
      </w:pPr>
      <w:r>
        <w:rPr>
          <w:rFonts w:ascii="Times New Roman" w:cs="Times New Roman" w:eastAsia="Times New Roman" w:hAnsi="Times New Roman"/>
          <w:sz w:val="22"/>
          <w:szCs w:val="22"/>
          <w:color w:val="auto"/>
        </w:rPr>
        <w:t>NOW, THEREFORE, in consideration of the promises and mutual covenants and conditions hereinafter contained, and incorporating the foregoing recitals herein in their entirety, Sublandlord and Subtenant hereby agree that the Existing Sublease is hereby amended as follows as of the date hereof:</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350" w:right="339" w:bottom="1440" w:gutter="0" w:footer="0" w:header="0"/>
        </w:sectPr>
      </w:pPr>
    </w:p>
    <w:bookmarkStart w:id="94" w:name="page95"/>
    <w:bookmarkEnd w:id="94"/>
    <w:p>
      <w:pPr>
        <w:spacing w:after="0" w:line="356" w:lineRule="exact"/>
        <w:rPr>
          <w:sz w:val="20"/>
          <w:szCs w:val="20"/>
          <w:color w:val="auto"/>
        </w:rPr>
      </w:pPr>
    </w:p>
    <w:p>
      <w:pPr>
        <w:ind w:left="1220" w:firstLine="745"/>
        <w:spacing w:after="0" w:line="242" w:lineRule="auto"/>
        <w:tabs>
          <w:tab w:leader="none" w:pos="276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Deadline to Requisition the Subtenant Allowance.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expiration date for Subtenant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submit a requisition package for all or any portion of the Subtenant Allowance as set forth in Article 11 of the Existing Sublease is hereby extended to July 31, 2022. Any portion of the Subtenant Allowance which has not been used or requisitioned by July 31, 2022 shall be deemed forfeited by Subtenant after July 31, 2022. Any requisition by Subtenant shall be submitted to Sublandlord in accordance with the Existing Sublease and shall be subject to the Soft Cost Cap Amount and the oversight and coordination fee of the Prime Landlord per Exhibit-B-1 of the Second Amendment.</w:t>
      </w:r>
    </w:p>
    <w:p>
      <w:pPr>
        <w:spacing w:after="0" w:line="171" w:lineRule="exact"/>
        <w:rPr>
          <w:rFonts w:ascii="Times New Roman" w:cs="Times New Roman" w:eastAsia="Times New Roman" w:hAnsi="Times New Roman"/>
          <w:sz w:val="22"/>
          <w:szCs w:val="22"/>
          <w:color w:val="auto"/>
        </w:rPr>
      </w:pPr>
    </w:p>
    <w:p>
      <w:pPr>
        <w:ind w:left="1220" w:right="320" w:firstLine="745"/>
        <w:spacing w:after="0" w:line="259" w:lineRule="auto"/>
        <w:tabs>
          <w:tab w:leader="none" w:pos="2749"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Conflicts</w:t>
      </w:r>
      <w:r>
        <w:rPr>
          <w:rFonts w:ascii="Times New Roman" w:cs="Times New Roman" w:eastAsia="Times New Roman" w:hAnsi="Times New Roman"/>
          <w:sz w:val="22"/>
          <w:szCs w:val="22"/>
          <w:color w:val="auto"/>
        </w:rPr>
        <w:t>. In the event of any conflict or inconsistency between the terms and conditions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Existing Sublease and the terms and conditions of this Amendment, the terms and conditions of this Amendment shall be controlling.</w:t>
      </w:r>
    </w:p>
    <w:p>
      <w:pPr>
        <w:spacing w:after="0" w:line="152" w:lineRule="exact"/>
        <w:rPr>
          <w:rFonts w:ascii="Times New Roman" w:cs="Times New Roman" w:eastAsia="Times New Roman" w:hAnsi="Times New Roman"/>
          <w:sz w:val="22"/>
          <w:szCs w:val="22"/>
          <w:color w:val="auto"/>
        </w:rPr>
      </w:pPr>
    </w:p>
    <w:p>
      <w:pPr>
        <w:ind w:left="1220" w:right="40" w:firstLine="745"/>
        <w:spacing w:after="0" w:line="245" w:lineRule="auto"/>
        <w:tabs>
          <w:tab w:leader="none" w:pos="2767"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The Sublease, as hereby amended, contains the entire agreement between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and cannot be changed, modified or amended or any provision waived unless such change, modification, amendment or waiver is in writing and executed by the party against which the enforcement of the change, modification, amendment or waiver is sought.</w:t>
      </w:r>
    </w:p>
    <w:p>
      <w:pPr>
        <w:spacing w:after="0" w:line="182" w:lineRule="exact"/>
        <w:rPr>
          <w:rFonts w:ascii="Times New Roman" w:cs="Times New Roman" w:eastAsia="Times New Roman" w:hAnsi="Times New Roman"/>
          <w:sz w:val="22"/>
          <w:szCs w:val="22"/>
          <w:color w:val="auto"/>
        </w:rPr>
      </w:pPr>
    </w:p>
    <w:p>
      <w:pPr>
        <w:ind w:left="1220" w:right="40" w:firstLine="745"/>
        <w:spacing w:after="0" w:line="262" w:lineRule="auto"/>
        <w:tabs>
          <w:tab w:leader="none" w:pos="2762"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No Other Modifications</w:t>
      </w:r>
      <w:r>
        <w:rPr>
          <w:rFonts w:ascii="Times New Roman" w:cs="Times New Roman" w:eastAsia="Times New Roman" w:hAnsi="Times New Roman"/>
          <w:sz w:val="22"/>
          <w:szCs w:val="22"/>
          <w:color w:val="auto"/>
        </w:rPr>
        <w:t>. Except as modified by this Amendment, the terms and conditions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Existing Sublease shall remain unmodified and in full force and effect.</w:t>
      </w:r>
    </w:p>
    <w:p>
      <w:pPr>
        <w:spacing w:after="0" w:line="149" w:lineRule="exact"/>
        <w:rPr>
          <w:rFonts w:ascii="Times New Roman" w:cs="Times New Roman" w:eastAsia="Times New Roman" w:hAnsi="Times New Roman"/>
          <w:sz w:val="22"/>
          <w:szCs w:val="22"/>
          <w:color w:val="auto"/>
        </w:rPr>
      </w:pPr>
    </w:p>
    <w:p>
      <w:pPr>
        <w:ind w:left="2740" w:hanging="775"/>
        <w:spacing w:after="0"/>
        <w:tabs>
          <w:tab w:leader="none" w:pos="27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 Electronic Signature.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This Amendment may be executed in counterparts</w:t>
      </w:r>
    </w:p>
    <w:p>
      <w:pPr>
        <w:spacing w:after="0" w:line="32" w:lineRule="exact"/>
        <w:rPr>
          <w:sz w:val="20"/>
          <w:szCs w:val="20"/>
          <w:color w:val="auto"/>
        </w:rPr>
      </w:pPr>
    </w:p>
    <w:p>
      <w:pPr>
        <w:ind w:left="1220" w:right="140"/>
        <w:spacing w:after="0" w:line="238" w:lineRule="auto"/>
        <w:rPr>
          <w:sz w:val="20"/>
          <w:szCs w:val="20"/>
          <w:color w:val="auto"/>
        </w:rPr>
      </w:pPr>
      <w:r>
        <w:rPr>
          <w:rFonts w:ascii="Times New Roman" w:cs="Times New Roman" w:eastAsia="Times New Roman" w:hAnsi="Times New Roman"/>
          <w:sz w:val="22"/>
          <w:szCs w:val="22"/>
          <w:color w:val="auto"/>
        </w:rPr>
        <w:t>with the same effect as if both parties hereto had executed the same document. Both counterparts shall be construed together and shall constitute a single amendment. This Amendment may be signed and/or transmitted by facsimile, e-mail of a .pdf document or using electronic signature technology (e.g., via DocuSign or similar electronic signature technology), such signed electronic record shall be valid and as effective to bind the party so signing as a paper copy bearing such party's handwritten signature. If a party signs this Amendment using electronic signature technology, by clicking "SIGN", such party is deemed to have signed this Amendment electronically.</w:t>
      </w:r>
    </w:p>
    <w:p>
      <w:pPr>
        <w:spacing w:after="0" w:line="39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[Signatures on next page]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60" w:top="1440" w:right="55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color w:val="auto"/>
        </w:rPr>
        <w:t>IN WITNESS WHEREOF, the parties hereto have executed this Amendment as of the date first above</w:t>
      </w:r>
    </w:p>
    <w:p>
      <w:pPr>
        <w:spacing w:after="0" w:line="1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written.</w:t>
      </w:r>
    </w:p>
    <w:p>
      <w:pPr>
        <w:spacing w:after="0" w:line="39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SUBLANDLORD:</w:t>
      </w:r>
    </w:p>
    <w:p>
      <w:pPr>
        <w:spacing w:after="0" w:line="20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DataRobot, Inc.,</w:t>
      </w:r>
    </w:p>
    <w:p>
      <w:pPr>
        <w:spacing w:after="0" w:line="2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82"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George Karamanos</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 George Karamanos</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Title: Chief Legal Officer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60" w:top="1260" w:right="739" w:bottom="1440" w:gutter="0" w:footer="0" w:header="0"/>
        </w:sectPr>
      </w:pPr>
    </w:p>
    <w:bookmarkStart w:id="96" w:name="page97"/>
    <w:bookmarkEnd w:id="96"/>
    <w:p>
      <w:pPr>
        <w:ind w:left="5540"/>
        <w:spacing w:after="0"/>
        <w:rPr>
          <w:sz w:val="20"/>
          <w:szCs w:val="20"/>
          <w:color w:val="auto"/>
        </w:rPr>
      </w:pPr>
      <w:r>
        <w:rPr>
          <w:rFonts w:ascii="Times New Roman" w:cs="Times New Roman" w:eastAsia="Times New Roman" w:hAnsi="Times New Roman"/>
          <w:sz w:val="22"/>
          <w:szCs w:val="22"/>
          <w:color w:val="auto"/>
        </w:rPr>
        <w:t>SUBTENANT:</w:t>
      </w: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1"/>
          <w:szCs w:val="21"/>
          <w:color w:val="auto"/>
        </w:rPr>
        <w:t>Atea Pharmaceuticals, Inc.,</w:t>
      </w:r>
    </w:p>
    <w:p>
      <w:pPr>
        <w:spacing w:after="0" w:line="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1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Jean-Pierre Sommadossi</w:t>
      </w:r>
    </w:p>
    <w:p>
      <w:pPr>
        <w:spacing w:after="0" w:line="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Name: Jean-Pierre Sommadossi</w:t>
      </w:r>
    </w:p>
    <w:p>
      <w:pPr>
        <w:spacing w:after="0" w:line="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Title: Chairman and CEO</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99"/>
          </w:cols>
          <w:pgMar w:left="360" w:top="841"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10.2</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CONSULTING AGREEMENT</w:t>
      </w:r>
    </w:p>
    <w:p>
      <w:pPr>
        <w:spacing w:after="0" w:line="210" w:lineRule="exact"/>
        <w:rPr>
          <w:sz w:val="20"/>
          <w:szCs w:val="20"/>
          <w:color w:val="auto"/>
        </w:rPr>
      </w:pPr>
    </w:p>
    <w:p>
      <w:pPr>
        <w:ind w:right="160" w:firstLine="749"/>
        <w:spacing w:after="0" w:line="271" w:lineRule="auto"/>
        <w:rPr>
          <w:sz w:val="20"/>
          <w:szCs w:val="20"/>
          <w:color w:val="auto"/>
        </w:rPr>
      </w:pPr>
      <w:r>
        <w:rPr>
          <w:rFonts w:ascii="Times New Roman" w:cs="Times New Roman" w:eastAsia="Times New Roman" w:hAnsi="Times New Roman"/>
          <w:sz w:val="22"/>
          <w:szCs w:val="22"/>
          <w:color w:val="auto"/>
        </w:rPr>
        <w:t>This CONSULTING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made this 10th day of June, 2022 by Atea Pharmaceuticals,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Bruce Polsky, M.D. (the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INTRODUCTION</w:t>
      </w:r>
    </w:p>
    <w:p>
      <w:pPr>
        <w:spacing w:after="0" w:line="220" w:lineRule="exact"/>
        <w:rPr>
          <w:sz w:val="20"/>
          <w:szCs w:val="20"/>
          <w:color w:val="auto"/>
        </w:rPr>
      </w:pPr>
    </w:p>
    <w:p>
      <w:pPr>
        <w:jc w:val="both"/>
        <w:ind w:right="240" w:firstLine="749"/>
        <w:spacing w:after="0" w:line="261" w:lineRule="auto"/>
        <w:rPr>
          <w:sz w:val="20"/>
          <w:szCs w:val="20"/>
          <w:color w:val="auto"/>
        </w:rPr>
      </w:pPr>
      <w:r>
        <w:rPr>
          <w:rFonts w:ascii="Times New Roman" w:cs="Times New Roman" w:eastAsia="Times New Roman" w:hAnsi="Times New Roman"/>
          <w:sz w:val="21"/>
          <w:szCs w:val="21"/>
          <w:color w:val="auto"/>
        </w:rPr>
        <w:t>The Company and the Consultant desire to establish the terms and conditions under which the Consultant will provide services to the Company. In consideration of the mutual covenants and promises contained herein and other good and valuable consideration, the receipt and sufficiency of which are hereby acknowledged by the parties hereto, the parties agree as follows:</w:t>
      </w:r>
    </w:p>
    <w:p>
      <w:pPr>
        <w:spacing w:after="0" w:line="171" w:lineRule="exact"/>
        <w:rPr>
          <w:sz w:val="20"/>
          <w:szCs w:val="20"/>
          <w:color w:val="auto"/>
        </w:rPr>
      </w:pPr>
    </w:p>
    <w:p>
      <w:pPr>
        <w:ind w:left="1500" w:hanging="743"/>
        <w:spacing w:after="0"/>
        <w:tabs>
          <w:tab w:leader="none" w:pos="150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Services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1497"/>
        <w:spacing w:after="0" w:line="250" w:lineRule="auto"/>
        <w:rPr>
          <w:sz w:val="20"/>
          <w:szCs w:val="20"/>
          <w:color w:val="auto"/>
        </w:rPr>
      </w:pPr>
      <w:r>
        <w:rPr>
          <w:rFonts w:ascii="Times New Roman" w:cs="Times New Roman" w:eastAsia="Times New Roman" w:hAnsi="Times New Roman"/>
          <w:sz w:val="22"/>
          <w:szCs w:val="22"/>
          <w:color w:val="auto"/>
        </w:rPr>
        <w:t>1.1 The Consultant agrees to perform such consulting, advisory and related services to and for the Company as may be reasonably requested from time to time by the Company, including without limitation with respect to the clinical development, regulatory approval and commercialization of the Company’s products.</w:t>
      </w:r>
    </w:p>
    <w:p>
      <w:pPr>
        <w:spacing w:after="0" w:line="168" w:lineRule="exact"/>
        <w:rPr>
          <w:sz w:val="20"/>
          <w:szCs w:val="20"/>
          <w:color w:val="auto"/>
        </w:rPr>
      </w:pPr>
    </w:p>
    <w:p>
      <w:pPr>
        <w:ind w:right="320" w:firstLine="1497"/>
        <w:spacing w:after="0" w:line="244" w:lineRule="auto"/>
        <w:rPr>
          <w:sz w:val="20"/>
          <w:szCs w:val="20"/>
          <w:color w:val="auto"/>
        </w:rPr>
      </w:pPr>
      <w:r>
        <w:rPr>
          <w:rFonts w:ascii="Times New Roman" w:cs="Times New Roman" w:eastAsia="Times New Roman" w:hAnsi="Times New Roman"/>
          <w:sz w:val="22"/>
          <w:szCs w:val="22"/>
          <w:color w:val="auto"/>
        </w:rPr>
        <w:t>1.2 The Consultant represents and warrants that the Consultant will provide the services in a timely, professional and workmanlike manner in accordance with reasonable and safe methods of practices of the Consultant’s profession and in accordance with all applicable laws, rules and regulations and recognized professional standards, ethics and customs.</w:t>
      </w:r>
    </w:p>
    <w:p>
      <w:pPr>
        <w:spacing w:after="0" w:line="186" w:lineRule="exact"/>
        <w:rPr>
          <w:sz w:val="20"/>
          <w:szCs w:val="20"/>
          <w:color w:val="auto"/>
        </w:rPr>
      </w:pPr>
    </w:p>
    <w:p>
      <w:pPr>
        <w:ind w:right="360" w:firstLine="757"/>
        <w:spacing w:after="0" w:line="258" w:lineRule="auto"/>
        <w:tabs>
          <w:tab w:leader="none" w:pos="1498"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This Agreement shall commence on the date hereof and shall continue until terminated in accordance with the provisions of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(such period, the “</w:t>
      </w:r>
      <w:r>
        <w:rPr>
          <w:rFonts w:ascii="Times New Roman" w:cs="Times New Roman" w:eastAsia="Times New Roman" w:hAnsi="Times New Roman"/>
          <w:sz w:val="22"/>
          <w:szCs w:val="22"/>
          <w:u w:val="single" w:color="auto"/>
          <w:color w:val="auto"/>
        </w:rPr>
        <w:t>Consultation Period</w:t>
      </w:r>
      <w:r>
        <w:rPr>
          <w:rFonts w:ascii="Times New Roman" w:cs="Times New Roman" w:eastAsia="Times New Roman" w:hAnsi="Times New Roman"/>
          <w:sz w:val="22"/>
          <w:szCs w:val="22"/>
          <w:color w:val="auto"/>
        </w:rPr>
        <w:t>”).</w:t>
      </w:r>
    </w:p>
    <w:p>
      <w:pPr>
        <w:spacing w:after="0" w:line="17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00" w:firstLine="1497"/>
        <w:spacing w:after="0" w:line="258" w:lineRule="auto"/>
        <w:rPr>
          <w:sz w:val="20"/>
          <w:szCs w:val="20"/>
          <w:color w:val="auto"/>
        </w:rPr>
      </w:pPr>
      <w:r>
        <w:rPr>
          <w:rFonts w:ascii="Times New Roman" w:cs="Times New Roman" w:eastAsia="Times New Roman" w:hAnsi="Times New Roman"/>
          <w:sz w:val="22"/>
          <w:szCs w:val="22"/>
          <w:color w:val="auto"/>
        </w:rPr>
        <w:t xml:space="preserve">3.1 </w:t>
      </w:r>
      <w:r>
        <w:rPr>
          <w:rFonts w:ascii="Times New Roman" w:cs="Times New Roman" w:eastAsia="Times New Roman" w:hAnsi="Times New Roman"/>
          <w:sz w:val="22"/>
          <w:szCs w:val="22"/>
          <w:u w:val="single" w:color="auto"/>
          <w:color w:val="auto"/>
        </w:rPr>
        <w:t>Consulting Fees</w:t>
      </w:r>
      <w:r>
        <w:rPr>
          <w:rFonts w:ascii="Times New Roman" w:cs="Times New Roman" w:eastAsia="Times New Roman" w:hAnsi="Times New Roman"/>
          <w:sz w:val="22"/>
          <w:szCs w:val="22"/>
          <w:color w:val="auto"/>
        </w:rPr>
        <w:t>. The Company shall pay to the Consultant consulting fees at the rate of $500 per hour of service, payable in arrears on a monthly basis subsequent to the Company’s receipt of an invoice from Consultant.</w:t>
      </w:r>
    </w:p>
    <w:p>
      <w:pPr>
        <w:spacing w:after="0" w:line="172" w:lineRule="exact"/>
        <w:rPr>
          <w:sz w:val="20"/>
          <w:szCs w:val="20"/>
          <w:color w:val="auto"/>
        </w:rPr>
      </w:pPr>
    </w:p>
    <w:p>
      <w:pPr>
        <w:ind w:right="14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Reimbursement of Expenses</w:t>
      </w:r>
      <w:r>
        <w:rPr>
          <w:rFonts w:ascii="Times New Roman" w:cs="Times New Roman" w:eastAsia="Times New Roman" w:hAnsi="Times New Roman"/>
          <w:sz w:val="22"/>
          <w:szCs w:val="22"/>
          <w:color w:val="auto"/>
        </w:rPr>
        <w:t>. The Company shall reimburse the Consultant for all reasonable and necessary documented out of pocket expenses incurred or paid by the Consultant in connection with, or related to, the performance of the Consultant’s services under this Agreement with the prior written approval of the Company in accordance with the Company’s expense reimbursement policies and/or standard practice for consultants.</w:t>
      </w:r>
    </w:p>
    <w:p>
      <w:pPr>
        <w:spacing w:after="0" w:line="173" w:lineRule="exact"/>
        <w:rPr>
          <w:sz w:val="20"/>
          <w:szCs w:val="20"/>
          <w:color w:val="auto"/>
        </w:rPr>
      </w:pPr>
    </w:p>
    <w:p>
      <w:pPr>
        <w:ind w:right="220" w:firstLine="1497"/>
        <w:spacing w:after="0" w:line="244"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The Consultant shall not be entitled to and no member, officer, director, employee, representative or other person acting on behalf of the Consultant shall be entitled to any benefits, coverages or privileges, including, without limitation, social security, unemployment, medical or pension payments, made available to employees of the Company. If</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98" w:name="page99"/>
    <w:bookmarkEnd w:id="98"/>
    <w:p>
      <w:pPr>
        <w:ind w:right="220"/>
        <w:spacing w:after="0" w:line="243" w:lineRule="auto"/>
        <w:rPr>
          <w:sz w:val="20"/>
          <w:szCs w:val="20"/>
          <w:color w:val="auto"/>
        </w:rPr>
      </w:pPr>
      <w:r>
        <w:rPr>
          <w:rFonts w:ascii="Times New Roman" w:cs="Times New Roman" w:eastAsia="Times New Roman" w:hAnsi="Times New Roman"/>
          <w:sz w:val="22"/>
          <w:szCs w:val="22"/>
          <w:color w:val="auto"/>
        </w:rPr>
        <w:t>the Consultant or any member, officer, director, employee, representative or other person acting on behalf of the Consultant is reclassified by a state or federal agency or court as the Company’s employee, such person will become a reclassified employee and will receive no benefits from the Company, except those mandated by state or federal law, even if by the terms of the Company’s benefit plans or programs in effect at the time of such reclassification, such person would otherwise be eligible for such benefits.</w:t>
      </w:r>
    </w:p>
    <w:p>
      <w:pPr>
        <w:spacing w:after="0" w:line="177" w:lineRule="exact"/>
        <w:rPr>
          <w:sz w:val="20"/>
          <w:szCs w:val="20"/>
          <w:color w:val="auto"/>
        </w:rPr>
      </w:pPr>
    </w:p>
    <w:p>
      <w:pPr>
        <w:ind w:right="20" w:firstLine="757"/>
        <w:spacing w:after="0" w:line="241" w:lineRule="auto"/>
        <w:tabs>
          <w:tab w:leader="none" w:pos="149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w:t>
      </w:r>
      <w:r>
        <w:rPr>
          <w:rFonts w:ascii="Times New Roman" w:cs="Times New Roman" w:eastAsia="Times New Roman" w:hAnsi="Times New Roman"/>
          <w:sz w:val="22"/>
          <w:szCs w:val="22"/>
          <w:color w:val="auto"/>
        </w:rPr>
        <w:t>. The Company may, without prejudice to any right or remedy it may have due to any failure of the Consultant to perform the Consultant’s obligations under this Agreement, terminate the Consultation Period effective immediately upon written notice to the Consultant. The Consultant may terminate the Consultation Period by giving at least thirty days’ prior written notice to the Company. In the event of such termination, the Consultant shall be entitled to compensation earned hereunder and payment for expenses paid or incurred, in each case, prior to the effective date of termination, subject to any limitation or other restriction set forth herein. Such payments shall constitute full settlement of any and all claims of the Consultant under this Agreement against the Company.</w:t>
      </w:r>
    </w:p>
    <w:p>
      <w:pPr>
        <w:spacing w:after="0" w:line="179" w:lineRule="exact"/>
        <w:rPr>
          <w:rFonts w:ascii="Times New Roman" w:cs="Times New Roman" w:eastAsia="Times New Roman" w:hAnsi="Times New Roman"/>
          <w:sz w:val="22"/>
          <w:szCs w:val="22"/>
          <w:color w:val="auto"/>
        </w:rPr>
      </w:pPr>
    </w:p>
    <w:p>
      <w:pPr>
        <w:ind w:firstLine="757"/>
        <w:spacing w:after="0" w:line="244" w:lineRule="auto"/>
        <w:tabs>
          <w:tab w:leader="none" w:pos="1498"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The Consultant shall use the Consultant’s best efforts in the performance of the Consultant’s obligations under this Agreement. The Consultant shall cooperate with the Company’s personnel, shall not interfere with the conduct of the Company’s business and shall observe all rules, regulations and security requirements of the Company concerning the safety of persons and property.</w:t>
      </w:r>
    </w:p>
    <w:p>
      <w:pPr>
        <w:spacing w:after="0" w:line="18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Inventions and Proprietary Information</w:t>
      </w:r>
      <w:r>
        <w:rPr>
          <w:rFonts w:ascii="Times New Roman" w:cs="Times New Roman" w:eastAsia="Times New Roman" w:hAnsi="Times New Roman"/>
          <w:sz w:val="22"/>
          <w:szCs w:val="22"/>
          <w:color w:val="auto"/>
        </w:rPr>
        <w:t>.</w:t>
      </w:r>
    </w:p>
    <w:p>
      <w:pPr>
        <w:spacing w:after="0" w:line="183"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24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w w:val="94"/>
              </w:rPr>
              <w:t>6.1</w:t>
            </w:r>
          </w:p>
        </w:tc>
        <w:tc>
          <w:tcPr>
            <w:tcW w:w="8000" w:type="dxa"/>
            <w:vAlign w:val="bottom"/>
            <w:gridSpan w:val="3"/>
          </w:tcPr>
          <w:p>
            <w:pPr>
              <w:ind w:left="260"/>
              <w:spacing w:after="0"/>
              <w:rPr>
                <w:sz w:val="20"/>
                <w:szCs w:val="20"/>
                <w:color w:val="auto"/>
              </w:rPr>
            </w:pPr>
            <w:r>
              <w:rPr>
                <w:rFonts w:ascii="Times New Roman" w:cs="Times New Roman" w:eastAsia="Times New Roman" w:hAnsi="Times New Roman"/>
                <w:sz w:val="22"/>
                <w:szCs w:val="22"/>
                <w:color w:val="auto"/>
              </w:rPr>
              <w:t>Inventions.</w:t>
            </w:r>
          </w:p>
        </w:tc>
      </w:tr>
      <w:tr>
        <w:trPr>
          <w:trHeight w:val="490"/>
        </w:trPr>
        <w:tc>
          <w:tcPr>
            <w:tcW w:w="12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(a)</w:t>
            </w:r>
          </w:p>
        </w:tc>
        <w:tc>
          <w:tcPr>
            <w:tcW w:w="2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682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All ideas, inventions, discoveries, computer programs, data, technology,</w:t>
            </w:r>
          </w:p>
        </w:tc>
      </w:tr>
    </w:tbl>
    <w:p>
      <w:pPr>
        <w:ind w:right="40"/>
        <w:spacing w:after="0" w:line="235" w:lineRule="auto"/>
        <w:rPr>
          <w:sz w:val="20"/>
          <w:szCs w:val="20"/>
          <w:color w:val="auto"/>
        </w:rPr>
      </w:pPr>
      <w:r>
        <w:rPr>
          <w:rFonts w:ascii="Times New Roman" w:cs="Times New Roman" w:eastAsia="Times New Roman" w:hAnsi="Times New Roman"/>
          <w:sz w:val="22"/>
          <w:szCs w:val="22"/>
          <w:color w:val="auto"/>
        </w:rPr>
        <w:t>designs, innovations, improvements, work product, works of authorship, materials, and other deliverables (whether or not patentable and whether or not copyrightable) which are made, conceived, reduced to practice, created, written, worked on, designed or developed by the Consultant or members, officers, directors, employees, representatives or other persons acting on behalf of the Consultant, solely or jointly with others and whether during normal business hours or otherwise, (i) during the Consultation Period if related to the business of the Company or (ii) after the Consultation Period if resulting or directly derived from Proprietary Information (as defined below) (collectively under clauses (i) and (ii), “</w:t>
      </w:r>
      <w:r>
        <w:rPr>
          <w:rFonts w:ascii="Times New Roman" w:cs="Times New Roman" w:eastAsia="Times New Roman" w:hAnsi="Times New Roman"/>
          <w:sz w:val="22"/>
          <w:szCs w:val="22"/>
          <w:u w:val="single" w:color="auto"/>
          <w:color w:val="auto"/>
        </w:rPr>
        <w:t>Inventions</w:t>
      </w:r>
      <w:r>
        <w:rPr>
          <w:rFonts w:ascii="Times New Roman" w:cs="Times New Roman" w:eastAsia="Times New Roman" w:hAnsi="Times New Roman"/>
          <w:sz w:val="22"/>
          <w:szCs w:val="22"/>
          <w:color w:val="auto"/>
        </w:rPr>
        <w:t>”), shall be the sole property of the Company. The Consultant hereby assigns to the Company and shall cause its members, officers, directors, employees, representatives or other persons acting on behalf of the Consultant to assign all Inventions and any and all related patents, copyrights, trademarks, trade names, and other industrial and intellectual property rights and applications therefor, in the United States and elsewhere. Upon the request of the Company and at the Company’s reasonable expense, the Consultant shall execute and shall cause its members, officers, directors, employees, representatives or other persons acting on behalf of the Consultant to execute such further assignments, documents and other instruments, including patent applications, invention assignments and copyright assignments, as may be necessary or desirable to fully and completely assign all Inventions to the Company and to assist the Company in applying for, obtaining and enforcing patents or copyrights or other rights in the United States and in any foreign country</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99" w:name="page100"/>
    <w:bookmarkEnd w:id="99"/>
    <w:p>
      <w:pPr>
        <w:spacing w:after="0" w:line="253" w:lineRule="auto"/>
        <w:rPr>
          <w:sz w:val="20"/>
          <w:szCs w:val="20"/>
          <w:color w:val="auto"/>
        </w:rPr>
      </w:pPr>
      <w:r>
        <w:rPr>
          <w:rFonts w:ascii="Times New Roman" w:cs="Times New Roman" w:eastAsia="Times New Roman" w:hAnsi="Times New Roman"/>
          <w:sz w:val="21"/>
          <w:szCs w:val="21"/>
          <w:color w:val="auto"/>
        </w:rPr>
        <w:t>with respect to any Invention. The Consultant also hereby waives and shall cause its members, officers, directors, employees, representatives or other persons acting on behalf of the Consultant to waive all claims to moral rights in any Inventions. If the Company is unable for any reason, after reasonable effort, to secure the Consultant’s signature (or the signature of the Consultant’s members, officers, directors, employees, representatives or other persons acting on behalf of the Consultant, if applicable) on any document needed in connection with the actions specified above, the Consultant hereby irrevocably designates and appoints the Company as the Consultant’s agent and attorney-in-fact, which appointment is coupled with an interest, to act for and, on the Consultant’s behalf, to execute, verify and file any such documents and to do all other lawfully permitted acts to further the purposes of the preceding paragraph with the same legal force and effect as if executed by the Consultant.</w:t>
      </w:r>
    </w:p>
    <w:p>
      <w:pPr>
        <w:spacing w:after="0" w:line="178" w:lineRule="exact"/>
        <w:rPr>
          <w:sz w:val="20"/>
          <w:szCs w:val="20"/>
          <w:color w:val="auto"/>
        </w:rPr>
      </w:pPr>
    </w:p>
    <w:p>
      <w:pPr>
        <w:ind w:right="300" w:firstLine="2246"/>
        <w:spacing w:after="0" w:line="244" w:lineRule="auto"/>
        <w:rPr>
          <w:sz w:val="20"/>
          <w:szCs w:val="20"/>
          <w:color w:val="auto"/>
        </w:rPr>
      </w:pPr>
      <w:r>
        <w:rPr>
          <w:rFonts w:ascii="Times New Roman" w:cs="Times New Roman" w:eastAsia="Times New Roman" w:hAnsi="Times New Roman"/>
          <w:sz w:val="22"/>
          <w:szCs w:val="22"/>
          <w:color w:val="auto"/>
        </w:rPr>
        <w:t>(b) The Consultant shall promptly disclose to the Company all Inventions and will maintain adequate and current written records (in the form of notes, sketches, drawings and as may be specified by the Company) to document the conception and/or first actual reduction to practice of any Invention. Such written records shall be available to and remain the sole property of the Company at all times.</w:t>
      </w:r>
    </w:p>
    <w:p>
      <w:pPr>
        <w:spacing w:after="0" w:line="173" w:lineRule="exact"/>
        <w:rPr>
          <w:sz w:val="20"/>
          <w:szCs w:val="20"/>
          <w:color w:val="auto"/>
        </w:rPr>
      </w:pPr>
    </w:p>
    <w:p>
      <w:pPr>
        <w:ind w:firstLine="2246"/>
        <w:spacing w:after="0" w:line="238" w:lineRule="auto"/>
        <w:rPr>
          <w:sz w:val="20"/>
          <w:szCs w:val="20"/>
          <w:color w:val="auto"/>
        </w:rPr>
      </w:pPr>
      <w:r>
        <w:rPr>
          <w:rFonts w:ascii="Times New Roman" w:cs="Times New Roman" w:eastAsia="Times New Roman" w:hAnsi="Times New Roman"/>
          <w:sz w:val="22"/>
          <w:szCs w:val="22"/>
          <w:color w:val="auto"/>
        </w:rPr>
        <w:t>(c) The Consultant hereby grants to the Company a non-exclusive, royalty-free, fully paid perpetual, irrevocable, worldwide right and license, with right of sublicense, under and to the Consultant’s Background IP (as defined below) for the purpose of developing, marketing, selling and supporting products and services of the Company or its affiliates or subsidiaries, either directly or through multiple tiers of distribution, but not for the purpose of licensing Background IP separately from products and services of the Company or its affiliates or subsidiaries. For purposes of this Agreement, “</w:t>
      </w:r>
      <w:r>
        <w:rPr>
          <w:rFonts w:ascii="Times New Roman" w:cs="Times New Roman" w:eastAsia="Times New Roman" w:hAnsi="Times New Roman"/>
          <w:sz w:val="22"/>
          <w:szCs w:val="22"/>
          <w:u w:val="single" w:color="auto"/>
          <w:color w:val="auto"/>
        </w:rPr>
        <w:t>Background IP</w:t>
      </w:r>
      <w:r>
        <w:rPr>
          <w:rFonts w:ascii="Times New Roman" w:cs="Times New Roman" w:eastAsia="Times New Roman" w:hAnsi="Times New Roman"/>
          <w:sz w:val="22"/>
          <w:szCs w:val="22"/>
          <w:color w:val="auto"/>
        </w:rPr>
        <w:t>” means any and all technology and intellectual property rights that do not constitute Inventions and that are owned by the Consultant or are licensed by a third party to the Consultant with a right to sublicense, and which exist prior to the date of this Agreement or which are developed independently by the Consultant outside of the services but are used in provision of the services or are applicable to the Inventions.</w:t>
      </w:r>
    </w:p>
    <w:p>
      <w:pPr>
        <w:spacing w:after="0" w:line="176"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1240" w:type="dxa"/>
            <w:vAlign w:val="bottom"/>
          </w:tcPr>
          <w:p>
            <w:pPr>
              <w:jc w:val="right"/>
              <w:ind w:right="852"/>
              <w:spacing w:after="0"/>
              <w:rPr>
                <w:sz w:val="20"/>
                <w:szCs w:val="20"/>
                <w:color w:val="auto"/>
              </w:rPr>
            </w:pPr>
            <w:r>
              <w:rPr>
                <w:rFonts w:ascii="Times New Roman" w:cs="Times New Roman" w:eastAsia="Times New Roman" w:hAnsi="Times New Roman"/>
                <w:sz w:val="22"/>
                <w:szCs w:val="22"/>
                <w:color w:val="auto"/>
                <w:w w:val="94"/>
              </w:rPr>
              <w:t>6.2</w:t>
            </w:r>
          </w:p>
        </w:tc>
        <w:tc>
          <w:tcPr>
            <w:tcW w:w="260" w:type="dxa"/>
            <w:vAlign w:val="bottom"/>
          </w:tcPr>
          <w:p>
            <w:pPr>
              <w:spacing w:after="0"/>
              <w:rPr>
                <w:sz w:val="22"/>
                <w:szCs w:val="22"/>
                <w:color w:val="auto"/>
              </w:rPr>
            </w:pPr>
          </w:p>
        </w:tc>
        <w:tc>
          <w:tcPr>
            <w:tcW w:w="77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Proprietary Information.</w:t>
            </w:r>
          </w:p>
        </w:tc>
      </w:tr>
      <w:tr>
        <w:trPr>
          <w:trHeight w:val="20"/>
        </w:trPr>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476"/>
        </w:trPr>
        <w:tc>
          <w:tcPr>
            <w:tcW w:w="124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(a)</w:t>
            </w:r>
          </w:p>
        </w:tc>
        <w:tc>
          <w:tcPr>
            <w:tcW w:w="260" w:type="dxa"/>
            <w:vAlign w:val="bottom"/>
          </w:tcPr>
          <w:p>
            <w:pPr>
              <w:spacing w:after="0"/>
              <w:rPr>
                <w:sz w:val="24"/>
                <w:szCs w:val="24"/>
                <w:color w:val="auto"/>
              </w:rPr>
            </w:pPr>
          </w:p>
        </w:tc>
        <w:tc>
          <w:tcPr>
            <w:tcW w:w="7760" w:type="dxa"/>
            <w:vAlign w:val="bottom"/>
            <w:gridSpan w:val="2"/>
          </w:tcPr>
          <w:p>
            <w:pPr>
              <w:ind w:left="1500"/>
              <w:spacing w:after="0"/>
              <w:rPr>
                <w:sz w:val="20"/>
                <w:szCs w:val="20"/>
                <w:color w:val="auto"/>
              </w:rPr>
            </w:pPr>
            <w:r>
              <w:rPr>
                <w:rFonts w:ascii="Times New Roman" w:cs="Times New Roman" w:eastAsia="Times New Roman" w:hAnsi="Times New Roman"/>
                <w:sz w:val="22"/>
                <w:szCs w:val="22"/>
                <w:color w:val="auto"/>
                <w:w w:val="97"/>
              </w:rPr>
              <w:t>The Consultant acknowledges that the Consultant’s relationship with the</w:t>
            </w:r>
          </w:p>
        </w:tc>
      </w:tr>
    </w:tbl>
    <w:p>
      <w:pPr>
        <w:ind w:right="80"/>
        <w:spacing w:after="0" w:line="237" w:lineRule="auto"/>
        <w:rPr>
          <w:sz w:val="20"/>
          <w:szCs w:val="20"/>
          <w:color w:val="auto"/>
        </w:rPr>
      </w:pPr>
      <w:r>
        <w:rPr>
          <w:rFonts w:ascii="Times New Roman" w:cs="Times New Roman" w:eastAsia="Times New Roman" w:hAnsi="Times New Roman"/>
          <w:sz w:val="22"/>
          <w:szCs w:val="22"/>
          <w:color w:val="auto"/>
        </w:rPr>
        <w:t>Company is one of high trust and confidence and that in the course of the Consultant’s service to the Company the Consultant will have access to and contact with Proprietary Information. Consultant acknowledges the confidential and secret character of the Proprietary Information, and agrees that the Proprietary Information is the sole, exclusive and extremely valuable property of the Company. The Consultant agrees that the Consultant will not, during the Consultation Period or at any time thereafter, publish, lecture upon, disclose to others, or use for the Consultant’s benefit or the benefit of others, any Proprietary Information or Invention. The Consultant agrees to institute measures to protect the Proprietary Information in a manner consistent with the measures it uses to protect its own most sensitive proprietary and confidential information, which shall not be less than a reasonable standard of care. The Consultant shall immediately notify the Company upon discovery of any actual or suspected loss or unauthorized disclosure of the Proprietary Information and shall take all reasonable steps requested by the Company to prevent, control or remedy any such loss or disclosure.</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00" w:name="page101"/>
    <w:bookmarkEnd w:id="100"/>
    <w:p>
      <w:pPr>
        <w:ind w:firstLine="2246"/>
        <w:spacing w:after="0"/>
        <w:rPr>
          <w:sz w:val="20"/>
          <w:szCs w:val="20"/>
          <w:color w:val="auto"/>
        </w:rPr>
      </w:pPr>
      <w:r>
        <w:rPr>
          <w:rFonts w:ascii="Times New Roman" w:cs="Times New Roman" w:eastAsia="Times New Roman" w:hAnsi="Times New Roman"/>
          <w:sz w:val="22"/>
          <w:szCs w:val="22"/>
          <w:color w:val="auto"/>
        </w:rPr>
        <w:t>(b) For purposes of this Agreement, “</w:t>
      </w:r>
      <w:r>
        <w:rPr>
          <w:rFonts w:ascii="Times New Roman" w:cs="Times New Roman" w:eastAsia="Times New Roman" w:hAnsi="Times New Roman"/>
          <w:sz w:val="22"/>
          <w:szCs w:val="22"/>
          <w:u w:val="single" w:color="auto"/>
          <w:color w:val="auto"/>
        </w:rPr>
        <w:t>Proprietary Information</w:t>
      </w:r>
      <w:r>
        <w:rPr>
          <w:rFonts w:ascii="Times New Roman" w:cs="Times New Roman" w:eastAsia="Times New Roman" w:hAnsi="Times New Roman"/>
          <w:sz w:val="22"/>
          <w:szCs w:val="22"/>
          <w:color w:val="auto"/>
        </w:rPr>
        <w:t>” shall mean, by way of illustration and not limitation, all information (whether or not patentable and whether or not copyrightable) owned, possessed or used by the Company, including, without limitation, any Invention, formula, vendor information, customer information, apparatus, equipment, trade secret, process, research, report, technical data, know-how, computer program, software, software documentation, hardware design, technology, marketing or business plan, forecast, unpublished financial statement, budget, license, price, cost and employee list that is communicated to, learned of, developed or otherwise acquired by the Consultant in the course of the Consultant’s service as a consultant to the Company. Proprietary Information may be labeled or identified at the time of disclosure as confidential or proprietary, or equivalent, but Proprietary Information also includes information which by its context would reasonably be deemed to be confidential and proprietary.</w:t>
      </w:r>
    </w:p>
    <w:p>
      <w:pPr>
        <w:spacing w:after="0" w:line="180" w:lineRule="exact"/>
        <w:rPr>
          <w:sz w:val="20"/>
          <w:szCs w:val="20"/>
          <w:color w:val="auto"/>
        </w:rPr>
      </w:pPr>
    </w:p>
    <w:p>
      <w:pPr>
        <w:ind w:right="80" w:firstLine="2246"/>
        <w:spacing w:after="0" w:line="237" w:lineRule="auto"/>
        <w:rPr>
          <w:sz w:val="20"/>
          <w:szCs w:val="20"/>
          <w:color w:val="auto"/>
        </w:rPr>
      </w:pPr>
      <w:r>
        <w:rPr>
          <w:rFonts w:ascii="Times New Roman" w:cs="Times New Roman" w:eastAsia="Times New Roman" w:hAnsi="Times New Roman"/>
          <w:sz w:val="22"/>
          <w:szCs w:val="22"/>
          <w:color w:val="auto"/>
        </w:rPr>
        <w:t xml:space="preserve">(c) The Consultant’s obligations under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shall not apply to any information that the Consultant can establish by competent proof (i) is or becomes known to the general public under circumstances involving no breach by the Consultant or others of the terms of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(ii) is generally disclosed to third parties by the Company without restriction on such third parties, or (iii) is approved for release by written authorization of an officer of the Company. In the event a court or governmental agency legally compels the Consultant to disclose Proprietary Information, the Consultant will provide reasonable prior written notice of such required disclosure to the Company and take reasonable and lawful actions to avoid and/or minimize the extent of such disclosure. The Consultant will cooperate reasonably with the Company in any proceeding to obtain a protective order or other remedy. If such protective order or other remedy is not obtained, the Consultant will limit any compelled disclosure of Proprietary Information to that legally required, in the opinion of the Consultant’s legal counsel. The Consultant will request that confidential treatment be accorded such Proprietary Information, where available. Compulsory disclosures made pursuant to this section will not relieve the Consultant of its obligations of confidentiality and non-use with respect to non-compulsory disclosures.</w:t>
      </w:r>
    </w:p>
    <w:p>
      <w:pPr>
        <w:spacing w:after="0" w:line="202" w:lineRule="exact"/>
        <w:rPr>
          <w:sz w:val="20"/>
          <w:szCs w:val="20"/>
          <w:color w:val="auto"/>
        </w:rPr>
      </w:pPr>
    </w:p>
    <w:p>
      <w:pPr>
        <w:ind w:right="180" w:firstLine="2246"/>
        <w:spacing w:after="0"/>
        <w:rPr>
          <w:sz w:val="20"/>
          <w:szCs w:val="20"/>
          <w:color w:val="auto"/>
        </w:rPr>
      </w:pPr>
      <w:r>
        <w:rPr>
          <w:rFonts w:ascii="Times New Roman" w:cs="Times New Roman" w:eastAsia="Times New Roman" w:hAnsi="Times New Roman"/>
          <w:sz w:val="22"/>
          <w:szCs w:val="22"/>
          <w:color w:val="auto"/>
        </w:rPr>
        <w:t>(d) Upon termination or expiration of this Agreement or at any other time upon request by the Company, the Consultant agrees to cease using and shall promptly deliver to the Company all records, files, memoranda, notes, designs, data, reports, price lists, customer lists, drawings, plans, computer programs, software, software documentation, sketches, laboratory and research notebooks and other documents (and all copies or reproductions of such materials) relating to the business of the Company.</w:t>
      </w:r>
    </w:p>
    <w:p>
      <w:pPr>
        <w:spacing w:after="0" w:line="193" w:lineRule="exact"/>
        <w:rPr>
          <w:sz w:val="20"/>
          <w:szCs w:val="20"/>
          <w:color w:val="auto"/>
        </w:rPr>
      </w:pPr>
    </w:p>
    <w:p>
      <w:pPr>
        <w:ind w:right="40" w:firstLine="2246"/>
        <w:spacing w:after="0" w:line="241" w:lineRule="auto"/>
        <w:rPr>
          <w:sz w:val="20"/>
          <w:szCs w:val="20"/>
          <w:color w:val="auto"/>
        </w:rPr>
      </w:pPr>
      <w:r>
        <w:rPr>
          <w:rFonts w:ascii="Times New Roman" w:cs="Times New Roman" w:eastAsia="Times New Roman" w:hAnsi="Times New Roman"/>
          <w:sz w:val="22"/>
          <w:szCs w:val="22"/>
          <w:color w:val="auto"/>
        </w:rPr>
        <w:t>(e) The Consultant represents that the Consultant’s retention as a consultant with the Company and the Consultant’s performance under this Agreement does not, and shall not, breach any agreement that obligates the Consultant to keep in confidence any trade secrets or confidential or proprietary information of the Consultant or of any other party or to refrain from competing, directly or indirectly, with the business of any other party or otherwise conflict with any of his agreements or obligations to any other party. The Consultant shall not disclose to the Company any trade secrets or confidential or proprietary information of any other party.</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01" w:name="page102"/>
    <w:bookmarkEnd w:id="101"/>
    <w:p>
      <w:pPr>
        <w:ind w:firstLine="2246"/>
        <w:spacing w:after="0" w:line="243" w:lineRule="auto"/>
        <w:rPr>
          <w:sz w:val="20"/>
          <w:szCs w:val="20"/>
          <w:color w:val="auto"/>
        </w:rPr>
      </w:pPr>
      <w:r>
        <w:rPr>
          <w:rFonts w:ascii="Times New Roman" w:cs="Times New Roman" w:eastAsia="Times New Roman" w:hAnsi="Times New Roman"/>
          <w:sz w:val="22"/>
          <w:szCs w:val="22"/>
          <w:color w:val="auto"/>
        </w:rPr>
        <w:t>(f) The Consultant acknowledges that the Company from time to time may have agreements with other persons or with the United States government, or agencies thereof, that impose obligations or restrictions on the Company regarding inventions made during the course of work under such agreements or regarding the confidential nature of such work. The Consultant agrees to be bound by all such obligations and restrictions that are known to the Consultant and to take all action necessary to discharge the obligations of the Company under such agreements.</w:t>
      </w:r>
    </w:p>
    <w:p>
      <w:pPr>
        <w:spacing w:after="0" w:line="177" w:lineRule="exact"/>
        <w:rPr>
          <w:sz w:val="20"/>
          <w:szCs w:val="20"/>
          <w:color w:val="auto"/>
        </w:rPr>
      </w:pPr>
    </w:p>
    <w:p>
      <w:pPr>
        <w:ind w:right="20" w:firstLine="2246"/>
        <w:spacing w:after="0" w:line="238" w:lineRule="auto"/>
        <w:rPr>
          <w:sz w:val="20"/>
          <w:szCs w:val="20"/>
          <w:color w:val="auto"/>
        </w:rPr>
      </w:pPr>
      <w:r>
        <w:rPr>
          <w:rFonts w:ascii="Times New Roman" w:cs="Times New Roman" w:eastAsia="Times New Roman" w:hAnsi="Times New Roman"/>
          <w:sz w:val="22"/>
          <w:szCs w:val="22"/>
          <w:color w:val="auto"/>
        </w:rPr>
        <w:t>(g) In accordance with 18 U.S.C. § 1833, the Company hereby notifies the Consultant that, notwithstanding anything to the contrary in this Agreement: (i) the Consultant shall not be in breach of this Agreement, and shall not be held criminally or civilly liable under any federal or state trade secret law (x) for the disclosure of a trade secret that is made in confidence to a federal, state, or local government official or to an attorney solely for the purpose of reporting or investigating a suspected violation of law, or (y) for the disclosure of a trade secret that is made in a complaint or other document filed in a lawsuit or other proceeding, if such filing is made under seal and (ii) if the Consultant files a lawsuit for retaliation by the Company for reporting a suspected violation of law, the Consultant may disclose the trade secret to the Consultant’s attorney, and may use the trade secret information in the court proceeding, if the Consultant files any document containing the trade secret under seal, and does not disclose the trade secret, except pursuant to court order. Furthermore, the Company and the Consultant agree that nothing in this Agreement prohibits the Consultant from reporting possible violations of federal law or regulation to any governmental agency or entity in accordance with the provisions of and rules promulgated under any whistleblower protection provisions of state or federal law or regulation or releases or restrains the Consultant’s right to receive an award for information provided to any such government agencies or entities.</w:t>
      </w:r>
    </w:p>
    <w:p>
      <w:pPr>
        <w:spacing w:after="0" w:line="181" w:lineRule="exact"/>
        <w:rPr>
          <w:sz w:val="20"/>
          <w:szCs w:val="20"/>
          <w:color w:val="auto"/>
        </w:rPr>
      </w:pPr>
    </w:p>
    <w:p>
      <w:pPr>
        <w:ind w:right="100" w:firstLine="2246"/>
        <w:spacing w:after="0" w:line="248" w:lineRule="auto"/>
        <w:rPr>
          <w:sz w:val="20"/>
          <w:szCs w:val="20"/>
          <w:color w:val="auto"/>
        </w:rPr>
      </w:pPr>
      <w:r>
        <w:rPr>
          <w:rFonts w:ascii="Times New Roman" w:cs="Times New Roman" w:eastAsia="Times New Roman" w:hAnsi="Times New Roman"/>
          <w:sz w:val="22"/>
          <w:szCs w:val="22"/>
          <w:color w:val="auto"/>
        </w:rPr>
        <w:t>(h) The Consultant agrees to submit to the Company for review any proposed publication that contains any discussion relating to the Company, its Proprietary Information, the Inventions, the services, or any results of the services. The Consultant agrees that it may not publish any such information without, on a case-by-case basis, the prior written consent of the Company.</w:t>
      </w:r>
    </w:p>
    <w:p>
      <w:pPr>
        <w:spacing w:after="0" w:line="169" w:lineRule="exact"/>
        <w:rPr>
          <w:sz w:val="20"/>
          <w:szCs w:val="20"/>
          <w:color w:val="auto"/>
        </w:rPr>
      </w:pPr>
    </w:p>
    <w:p>
      <w:pPr>
        <w:ind w:right="160" w:firstLine="757"/>
        <w:spacing w:after="0" w:line="252" w:lineRule="auto"/>
        <w:tabs>
          <w:tab w:leader="none" w:pos="149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w:t>
      </w:r>
      <w:r>
        <w:rPr>
          <w:rFonts w:ascii="Times New Roman" w:cs="Times New Roman" w:eastAsia="Times New Roman" w:hAnsi="Times New Roman"/>
          <w:sz w:val="21"/>
          <w:szCs w:val="21"/>
          <w:color w:val="auto"/>
        </w:rPr>
        <w:t xml:space="preserve">. During the Consultation Period and for a period of twelve (12) months thereafter, the Consultant shall not, either alone or in association with others, (i) solicit, or permit any organization directly or indirectly controlled by the Consultant to solicit, any employee of the Company to leave the employ of the Company, or (ii) solicit for employment, hire or engage as an independent contractor, or permit any organization directly or indirectly controlled by the Consultant to solicit for employment, hire or engage as an independent contractor, any person who was employed by the Company at any time during the term of the Consultant’s engagement with the Company;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clause (ii) shall not apply to any individual whose employment with the Company has been terminated for a period of six (6) months or longer.</w:t>
      </w:r>
    </w:p>
    <w:p>
      <w:pPr>
        <w:spacing w:after="0" w:line="182" w:lineRule="exact"/>
        <w:rPr>
          <w:rFonts w:ascii="Times New Roman" w:cs="Times New Roman" w:eastAsia="Times New Roman" w:hAnsi="Times New Roman"/>
          <w:sz w:val="21"/>
          <w:szCs w:val="21"/>
          <w:color w:val="auto"/>
        </w:rPr>
      </w:pPr>
    </w:p>
    <w:p>
      <w:pPr>
        <w:ind w:right="20" w:firstLine="757"/>
        <w:spacing w:after="0" w:line="268" w:lineRule="auto"/>
        <w:tabs>
          <w:tab w:leader="none" w:pos="1498"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Remedies</w:t>
      </w:r>
      <w:r>
        <w:rPr>
          <w:rFonts w:ascii="Times New Roman" w:cs="Times New Roman" w:eastAsia="Times New Roman" w:hAnsi="Times New Roman"/>
          <w:sz w:val="21"/>
          <w:szCs w:val="21"/>
          <w:color w:val="auto"/>
        </w:rPr>
        <w:t xml:space="preserve">. The Consultant acknowledges that any breach of the provisions of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shall result in serious and irreparable injury to the Company for which the Company cannot be adequately compensated by monetary damages alone. The Consultant agrees, therefore, that, in addition to any other remedy it may have, the Company shall be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02" w:name="page103"/>
    <w:bookmarkEnd w:id="102"/>
    <w:p>
      <w:pPr>
        <w:ind w:right="520"/>
        <w:spacing w:after="0" w:line="295" w:lineRule="auto"/>
        <w:rPr>
          <w:sz w:val="20"/>
          <w:szCs w:val="20"/>
          <w:color w:val="auto"/>
        </w:rPr>
      </w:pPr>
      <w:r>
        <w:rPr>
          <w:rFonts w:ascii="Times New Roman" w:cs="Times New Roman" w:eastAsia="Times New Roman" w:hAnsi="Times New Roman"/>
          <w:sz w:val="21"/>
          <w:szCs w:val="21"/>
          <w:color w:val="auto"/>
        </w:rPr>
        <w:t>entitled to enforce the specific performance of this Agreement by the Consultant and to seek both temporary and permanent injunctive relief (to the extent permitted by law) without the necessity of proving actual damages or posting bonds.</w:t>
      </w:r>
    </w:p>
    <w:p>
      <w:pPr>
        <w:spacing w:after="0" w:line="122" w:lineRule="exact"/>
        <w:rPr>
          <w:sz w:val="20"/>
          <w:szCs w:val="20"/>
          <w:color w:val="auto"/>
        </w:rPr>
      </w:pPr>
    </w:p>
    <w:p>
      <w:pPr>
        <w:ind w:right="40" w:firstLine="757"/>
        <w:spacing w:after="0"/>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Agreements</w:t>
      </w:r>
      <w:r>
        <w:rPr>
          <w:rFonts w:ascii="Times New Roman" w:cs="Times New Roman" w:eastAsia="Times New Roman" w:hAnsi="Times New Roman"/>
          <w:sz w:val="22"/>
          <w:szCs w:val="22"/>
          <w:color w:val="auto"/>
        </w:rPr>
        <w:t>. The Consultant hereby represents that neither the Consultant or any person engaged by Consultant to perform services under this Agreement is prevented or limited in any way from providing services to the Company. Further the Consultant represents that the performance of the Consultant’s obligations hereunder will not violate or conflict with any agreement to which the Consultant or any person engaged by Consultant is bound, including without limitation, any agreement with any third party to refrain from using or disclosing any trade secret or confidential or proprietary information in the course of the Consultant’s relationship with the Company, to refrain from competing, directly or indirectly, with the business of such third party or to refrain from soliciting employees, customers or suppliers of such third party. The Consultant agrees to furnish the Company with a copy of any such agreement upon request.</w:t>
      </w:r>
    </w:p>
    <w:p>
      <w:pPr>
        <w:spacing w:after="0" w:line="176" w:lineRule="exact"/>
        <w:rPr>
          <w:rFonts w:ascii="Times New Roman" w:cs="Times New Roman" w:eastAsia="Times New Roman" w:hAnsi="Times New Roman"/>
          <w:sz w:val="22"/>
          <w:szCs w:val="22"/>
          <w:color w:val="auto"/>
        </w:rPr>
      </w:pPr>
    </w:p>
    <w:p>
      <w:pPr>
        <w:ind w:right="40" w:firstLine="757"/>
        <w:spacing w:after="0" w:line="241"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Independent Contractor Status</w:t>
      </w:r>
      <w:r>
        <w:rPr>
          <w:rFonts w:ascii="Times New Roman" w:cs="Times New Roman" w:eastAsia="Times New Roman" w:hAnsi="Times New Roman"/>
          <w:sz w:val="22"/>
          <w:szCs w:val="22"/>
          <w:color w:val="auto"/>
        </w:rPr>
        <w:t>. The Consultant shall perform all services under this Agreement as an “independent contractor” and not as an employee or agent of the Company and, as an independent contractor, the Consultant will be solely responsible for complying with all applicable laws, rules and regulations concerning income, employment and other tax withholding, social security contributions, unemployment contributions and similar matters, and the Company shall not be required to withhold income, employment or other taxes from payments to the Consultant. The Consultant is not authorized to assume or create any obligation or responsibility, express or implied, on behalf of, or in the name of, the Company or to bind the Company in any manner.</w:t>
      </w:r>
    </w:p>
    <w:p>
      <w:pPr>
        <w:spacing w:after="0" w:line="179" w:lineRule="exact"/>
        <w:rPr>
          <w:rFonts w:ascii="Times New Roman" w:cs="Times New Roman" w:eastAsia="Times New Roman" w:hAnsi="Times New Roman"/>
          <w:sz w:val="22"/>
          <w:szCs w:val="22"/>
          <w:color w:val="auto"/>
        </w:rPr>
      </w:pPr>
    </w:p>
    <w:p>
      <w:pPr>
        <w:ind w:right="40" w:firstLine="757"/>
        <w:spacing w:after="0" w:line="243"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All notices required or permitted under this Agreement shall be in writing and shall be deemed effective upon personal delivery, upon transmission by electronic mail or upon deposit in the United States Post Office, by registered or certified mail, postage prepaid, addressed to the Company at its principal executive office or to the Consultant at the most recent address of the Consultant shown in the records of the Company, as applicable, or at such other address or addresses as either party shall designate to the other in accordance with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w:t>
      </w:r>
    </w:p>
    <w:p>
      <w:pPr>
        <w:spacing w:after="0" w:line="177" w:lineRule="exact"/>
        <w:rPr>
          <w:rFonts w:ascii="Times New Roman" w:cs="Times New Roman" w:eastAsia="Times New Roman" w:hAnsi="Times New Roman"/>
          <w:sz w:val="22"/>
          <w:szCs w:val="22"/>
          <w:color w:val="auto"/>
        </w:rPr>
      </w:pPr>
    </w:p>
    <w:p>
      <w:pPr>
        <w:ind w:right="260" w:firstLine="757"/>
        <w:spacing w:after="0" w:line="250"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Pronouns</w:t>
      </w:r>
      <w:r>
        <w:rPr>
          <w:rFonts w:ascii="Times New Roman" w:cs="Times New Roman" w:eastAsia="Times New Roman" w:hAnsi="Times New Roman"/>
          <w:sz w:val="22"/>
          <w:szCs w:val="22"/>
          <w:color w:val="auto"/>
        </w:rPr>
        <w:t>. Whenever the context may require, any pronouns used in this Agreement shall include the corresponding masculine, feminine or neuter forms, and the singular forms of nouns and pronouns shall include the plural, and vice versa.</w:t>
      </w:r>
    </w:p>
    <w:p>
      <w:pPr>
        <w:spacing w:after="0" w:line="167" w:lineRule="exact"/>
        <w:rPr>
          <w:rFonts w:ascii="Times New Roman" w:cs="Times New Roman" w:eastAsia="Times New Roman" w:hAnsi="Times New Roman"/>
          <w:sz w:val="22"/>
          <w:szCs w:val="22"/>
          <w:color w:val="auto"/>
        </w:rPr>
      </w:pPr>
    </w:p>
    <w:p>
      <w:pPr>
        <w:ind w:firstLine="757"/>
        <w:spacing w:after="0" w:line="271"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This Agreement constitutes the entire agreement between the parties and supersedes all prior agreements and understandings, whether written or oral, relating to the subject matter of this Agreement.</w:t>
      </w:r>
    </w:p>
    <w:p>
      <w:pPr>
        <w:spacing w:after="0" w:line="144" w:lineRule="exact"/>
        <w:rPr>
          <w:rFonts w:ascii="Times New Roman" w:cs="Times New Roman" w:eastAsia="Times New Roman" w:hAnsi="Times New Roman"/>
          <w:sz w:val="22"/>
          <w:szCs w:val="22"/>
          <w:color w:val="auto"/>
        </w:rPr>
      </w:pPr>
    </w:p>
    <w:p>
      <w:pPr>
        <w:ind w:right="160" w:firstLine="757"/>
        <w:spacing w:after="0" w:line="258"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This Agreement may be amended or modified only by a written instrument executed by both the Company and the Consultant.</w:t>
      </w:r>
    </w:p>
    <w:p>
      <w:pPr>
        <w:spacing w:after="0" w:line="171" w:lineRule="exact"/>
        <w:rPr>
          <w:rFonts w:ascii="Times New Roman" w:cs="Times New Roman" w:eastAsia="Times New Roman" w:hAnsi="Times New Roman"/>
          <w:sz w:val="22"/>
          <w:szCs w:val="22"/>
          <w:color w:val="auto"/>
        </w:rPr>
      </w:pPr>
    </w:p>
    <w:p>
      <w:pPr>
        <w:ind w:right="280" w:firstLine="757"/>
        <w:spacing w:after="0" w:line="258" w:lineRule="auto"/>
        <w:tabs>
          <w:tab w:leader="none" w:pos="149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construed, interpreted and enforced in accordance with the laws of the Commonwealth of Massachusetts without regard to conflict of</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22"/>
          <w:szCs w:val="22"/>
          <w:color w:val="auto"/>
        </w:rPr>
        <w:t>law principles that would result in the application of any law other than the Commonwealth of Massachusetts.</w:t>
      </w:r>
    </w:p>
    <w:p>
      <w:pPr>
        <w:spacing w:after="0" w:line="220" w:lineRule="exact"/>
        <w:rPr>
          <w:sz w:val="20"/>
          <w:szCs w:val="20"/>
          <w:color w:val="auto"/>
        </w:rPr>
      </w:pPr>
    </w:p>
    <w:p>
      <w:pPr>
        <w:jc w:val="both"/>
        <w:ind w:right="120" w:firstLine="757"/>
        <w:spacing w:after="0" w:line="268" w:lineRule="auto"/>
        <w:tabs>
          <w:tab w:leader="none" w:pos="1498"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 and Assigns</w:t>
      </w:r>
      <w:r>
        <w:rPr>
          <w:rFonts w:ascii="Times New Roman" w:cs="Times New Roman" w:eastAsia="Times New Roman" w:hAnsi="Times New Roman"/>
          <w:sz w:val="21"/>
          <w:szCs w:val="21"/>
          <w:color w:val="auto"/>
        </w:rPr>
        <w:t>. This Agreement shall be binding upon, and inure to the benefit of, both parties and their respective successors and assigns, including any corporation with which, or into which, the Company may be merged or which may succeed to its assets or business, provided, however, that the obligations of the Consultant shall not be assigned by it.</w:t>
      </w:r>
    </w:p>
    <w:p>
      <w:pPr>
        <w:spacing w:after="0" w:line="149" w:lineRule="exact"/>
        <w:rPr>
          <w:rFonts w:ascii="Times New Roman" w:cs="Times New Roman" w:eastAsia="Times New Roman" w:hAnsi="Times New Roman"/>
          <w:sz w:val="21"/>
          <w:szCs w:val="21"/>
          <w:color w:val="auto"/>
        </w:rPr>
      </w:pPr>
    </w:p>
    <w:p>
      <w:pPr>
        <w:ind w:right="140" w:firstLine="757"/>
        <w:spacing w:after="0" w:line="244" w:lineRule="auto"/>
        <w:tabs>
          <w:tab w:leader="none" w:pos="14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xml:space="preserve">. If any restriction set forth in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is found by any court of competent jurisdiction to be unenforceable because it extends for too long a period of time or over too great a range of activities or in too broad a geographic area, it shall be interpreted to extend only over the maximum period of time, range of activities or geographic area as to which it may be enforceable.</w:t>
      </w:r>
    </w:p>
    <w:p>
      <w:pPr>
        <w:spacing w:after="0" w:line="186"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497"/>
        <w:spacing w:after="0" w:line="250" w:lineRule="auto"/>
        <w:rPr>
          <w:sz w:val="20"/>
          <w:szCs w:val="20"/>
          <w:color w:val="auto"/>
        </w:rPr>
      </w:pPr>
      <w:r>
        <w:rPr>
          <w:rFonts w:ascii="Times New Roman" w:cs="Times New Roman" w:eastAsia="Times New Roman" w:hAnsi="Times New Roman"/>
          <w:sz w:val="22"/>
          <w:szCs w:val="22"/>
          <w:color w:val="auto"/>
        </w:rPr>
        <w:t>18.1 No delay or omission by either party in exercising any right under this Agreement shall operate as a waiver of that or any other right. A waiver or consent given by either party on any one occasion shall be effective only in that instance and shall not be construed as a bar or waiver of any right on any other occasion.</w:t>
      </w:r>
    </w:p>
    <w:p>
      <w:pPr>
        <w:spacing w:after="0" w:line="168"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22"/>
          <w:szCs w:val="22"/>
          <w:color w:val="auto"/>
        </w:rPr>
        <w:t>18.2 The captions of the sections of this Agreement are for convenience of reference only and in no way define, limit or affect the scope or substance of any section of this Agreement.</w:t>
      </w:r>
    </w:p>
    <w:p>
      <w:pPr>
        <w:spacing w:after="0" w:line="172" w:lineRule="exact"/>
        <w:rPr>
          <w:sz w:val="20"/>
          <w:szCs w:val="20"/>
          <w:color w:val="auto"/>
        </w:rPr>
      </w:pPr>
    </w:p>
    <w:p>
      <w:pPr>
        <w:ind w:right="700" w:firstLine="1497"/>
        <w:spacing w:after="0" w:line="250" w:lineRule="auto"/>
        <w:rPr>
          <w:sz w:val="20"/>
          <w:szCs w:val="20"/>
          <w:color w:val="auto"/>
        </w:rPr>
      </w:pPr>
      <w:r>
        <w:rPr>
          <w:rFonts w:ascii="Times New Roman" w:cs="Times New Roman" w:eastAsia="Times New Roman" w:hAnsi="Times New Roman"/>
          <w:sz w:val="22"/>
          <w:szCs w:val="22"/>
          <w:color w:val="auto"/>
        </w:rPr>
        <w:t>18.3 In the event that any provision of this Agreement shall be invalid, illegal or otherwise unenforceable, the validity, legality and enforceability of the remaining provisions shall in no way be affected or impaired thereby.</w:t>
      </w:r>
    </w:p>
    <w:p>
      <w:pPr>
        <w:spacing w:after="0" w:line="168" w:lineRule="exact"/>
        <w:rPr>
          <w:sz w:val="20"/>
          <w:szCs w:val="20"/>
          <w:color w:val="auto"/>
        </w:rPr>
      </w:pPr>
    </w:p>
    <w:p>
      <w:pPr>
        <w:ind w:left="1500"/>
        <w:spacing w:after="0"/>
        <w:tabs>
          <w:tab w:leader="none" w:pos="2980" w:val="left"/>
        </w:tabs>
        <w:rPr>
          <w:sz w:val="20"/>
          <w:szCs w:val="20"/>
          <w:color w:val="auto"/>
        </w:rPr>
      </w:pPr>
      <w:r>
        <w:rPr>
          <w:rFonts w:ascii="Times New Roman" w:cs="Times New Roman" w:eastAsia="Times New Roman" w:hAnsi="Times New Roman"/>
          <w:sz w:val="22"/>
          <w:szCs w:val="22"/>
          <w:color w:val="auto"/>
        </w:rPr>
        <w:t>18.4</w:t>
      </w:r>
      <w:r>
        <w:rPr>
          <w:sz w:val="20"/>
          <w:szCs w:val="20"/>
          <w:color w:val="auto"/>
        </w:rPr>
        <w:tab/>
      </w:r>
      <w:r>
        <w:rPr>
          <w:rFonts w:ascii="Times New Roman" w:cs="Times New Roman" w:eastAsia="Times New Roman" w:hAnsi="Times New Roman"/>
          <w:sz w:val="21"/>
          <w:szCs w:val="21"/>
          <w:color w:val="auto"/>
        </w:rPr>
        <w:t>This Agreement may be executed in multiple counterparts by facsimile or other reliable</w:t>
      </w:r>
    </w:p>
    <w:p>
      <w:pPr>
        <w:spacing w:after="0" w:line="14"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2"/>
          <w:szCs w:val="22"/>
          <w:color w:val="auto"/>
        </w:rPr>
        <w:t>electronic reproduction (including, without limitation, transmission by pdf), each of which shall be taken together as one and the same instrument.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4" w:name="page105"/>
    <w:bookmarkEnd w:id="104"/>
    <w:p>
      <w:pPr>
        <w:ind w:firstLine="432"/>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Consulting Agreement as of the day and year set forth above.</w:t>
      </w:r>
    </w:p>
    <w:p>
      <w:pPr>
        <w:spacing w:after="0" w:line="1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ATEA PHARMACEUTICALS, INC.</w:t>
      </w:r>
    </w:p>
    <w:p>
      <w:pPr>
        <w:spacing w:after="0" w:line="22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Jean-Pierre Sommadossi</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Jean-Pierre Sommadossi, Ph.D</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 CEO</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22"/>
          <w:szCs w:val="22"/>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/s/ Bruce Polsky</w:t>
      </w:r>
    </w:p>
    <w:p>
      <w:pPr>
        <w:spacing w:after="0" w:line="1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1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Bruce Polsky, M.D.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|US-DOCS\124002279.3||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71120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355" w:right="85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Jean-Pierre Sommadossi, certify that:</w:t>
      </w:r>
    </w:p>
    <w:p>
      <w:pPr>
        <w:spacing w:after="0" w:line="212" w:lineRule="exact"/>
        <w:rPr>
          <w:sz w:val="20"/>
          <w:szCs w:val="20"/>
          <w:color w:val="auto"/>
        </w:rPr>
      </w:pPr>
    </w:p>
    <w:p>
      <w:pPr>
        <w:ind w:left="520" w:hanging="512"/>
        <w:spacing w:after="0"/>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25" w:lineRule="exact"/>
        <w:rPr>
          <w:rFonts w:ascii="Arial" w:cs="Arial" w:eastAsia="Arial" w:hAnsi="Arial"/>
          <w:sz w:val="18"/>
          <w:szCs w:val="18"/>
          <w:color w:val="auto"/>
        </w:rPr>
      </w:pPr>
    </w:p>
    <w:p>
      <w:pPr>
        <w:ind w:left="520" w:right="80" w:hanging="512"/>
        <w:spacing w:after="0" w:line="253"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520" w:right="260" w:hanging="512"/>
        <w:spacing w:after="0" w:line="261"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Arial" w:cs="Arial" w:eastAsia="Arial" w:hAnsi="Arial"/>
          <w:sz w:val="18"/>
          <w:szCs w:val="18"/>
          <w:color w:val="auto"/>
        </w:rPr>
      </w:pPr>
    </w:p>
    <w:p>
      <w:pPr>
        <w:ind w:left="1020" w:right="60" w:hanging="479"/>
        <w:spacing w:after="0" w:line="261" w:lineRule="auto"/>
        <w:tabs>
          <w:tab w:leader="none" w:pos="9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1" w:lineRule="exact"/>
        <w:rPr>
          <w:rFonts w:ascii="Arial" w:cs="Arial" w:eastAsia="Arial" w:hAnsi="Arial"/>
          <w:sz w:val="18"/>
          <w:szCs w:val="18"/>
          <w:color w:val="auto"/>
        </w:rPr>
      </w:pPr>
    </w:p>
    <w:p>
      <w:pPr>
        <w:ind w:left="1020" w:right="360" w:hanging="479"/>
        <w:spacing w:after="0" w:line="261" w:lineRule="auto"/>
        <w:tabs>
          <w:tab w:leader="none" w:pos="9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1" w:lineRule="exact"/>
        <w:rPr>
          <w:rFonts w:ascii="Arial" w:cs="Arial" w:eastAsia="Arial" w:hAnsi="Arial"/>
          <w:sz w:val="18"/>
          <w:szCs w:val="18"/>
          <w:color w:val="auto"/>
        </w:rPr>
      </w:pPr>
    </w:p>
    <w:p>
      <w:pPr>
        <w:ind w:left="1020" w:right="260" w:hanging="479"/>
        <w:spacing w:after="0" w:line="261" w:lineRule="auto"/>
        <w:tabs>
          <w:tab w:leader="none" w:pos="9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ind w:left="1020" w:right="100" w:hanging="479"/>
        <w:spacing w:after="0" w:line="261" w:lineRule="auto"/>
        <w:tabs>
          <w:tab w:leader="none" w:pos="9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020" w:right="280" w:hanging="479"/>
        <w:spacing w:after="0" w:line="261" w:lineRule="auto"/>
        <w:tabs>
          <w:tab w:leader="none" w:pos="9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1020" w:right="220" w:hanging="479"/>
        <w:spacing w:after="0" w:line="271" w:lineRule="auto"/>
        <w:tabs>
          <w:tab w:leader="none" w:pos="935"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20"/>
        <w:spacing w:after="0"/>
        <w:tabs>
          <w:tab w:leader="none" w:pos="5680" w:val="left"/>
          <w:tab w:leader="none" w:pos="758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Jean-Pierre Sommadossi</w:t>
      </w:r>
    </w:p>
    <w:p>
      <w:pPr>
        <w:spacing w:after="0" w:line="23" w:lineRule="exact"/>
        <w:rPr>
          <w:sz w:val="20"/>
          <w:szCs w:val="20"/>
          <w:color w:val="auto"/>
        </w:rPr>
      </w:pPr>
    </w:p>
    <w:p>
      <w:pPr>
        <w:ind w:left="7380"/>
        <w:spacing w:after="0"/>
        <w:rPr>
          <w:sz w:val="20"/>
          <w:szCs w:val="20"/>
          <w:color w:val="auto"/>
        </w:rPr>
      </w:pPr>
      <w:r>
        <w:rPr>
          <w:rFonts w:ascii="Arial" w:cs="Arial" w:eastAsia="Arial" w:hAnsi="Arial"/>
          <w:sz w:val="18"/>
          <w:szCs w:val="18"/>
          <w:b w:val="1"/>
          <w:bCs w:val="1"/>
          <w:color w:val="auto"/>
        </w:rPr>
        <w:t>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-127635</wp:posOffset>
            </wp:positionV>
            <wp:extent cx="31800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ind w:left="7140"/>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ind w:left="756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Andrea Corcoran, certify that:</w:t>
      </w:r>
    </w:p>
    <w:p>
      <w:pPr>
        <w:spacing w:after="0" w:line="225" w:lineRule="exact"/>
        <w:rPr>
          <w:sz w:val="20"/>
          <w:szCs w:val="20"/>
          <w:color w:val="auto"/>
        </w:rPr>
      </w:pPr>
    </w:p>
    <w:p>
      <w:pPr>
        <w:ind w:left="520" w:hanging="512"/>
        <w:spacing w:after="0"/>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Atea Pharmaceuticals, Inc.;</w:t>
      </w:r>
    </w:p>
    <w:p>
      <w:pPr>
        <w:spacing w:after="0" w:line="211" w:lineRule="exact"/>
        <w:rPr>
          <w:rFonts w:ascii="Arial" w:cs="Arial" w:eastAsia="Arial" w:hAnsi="Arial"/>
          <w:sz w:val="18"/>
          <w:szCs w:val="18"/>
          <w:color w:val="auto"/>
        </w:rPr>
      </w:pPr>
    </w:p>
    <w:p>
      <w:pPr>
        <w:ind w:left="520" w:right="80" w:hanging="512"/>
        <w:spacing w:after="0" w:line="261"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2" w:lineRule="exact"/>
        <w:rPr>
          <w:rFonts w:ascii="Arial" w:cs="Arial" w:eastAsia="Arial" w:hAnsi="Arial"/>
          <w:sz w:val="18"/>
          <w:szCs w:val="18"/>
          <w:color w:val="auto"/>
        </w:rPr>
      </w:pPr>
    </w:p>
    <w:p>
      <w:pPr>
        <w:ind w:left="520" w:right="260" w:hanging="512"/>
        <w:spacing w:after="0" w:line="253"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2" w:lineRule="exact"/>
        <w:rPr>
          <w:rFonts w:ascii="Arial" w:cs="Arial" w:eastAsia="Arial" w:hAnsi="Arial"/>
          <w:sz w:val="18"/>
          <w:szCs w:val="18"/>
          <w:color w:val="auto"/>
        </w:rPr>
      </w:pPr>
    </w:p>
    <w:p>
      <w:pPr>
        <w:ind w:left="1020" w:right="60" w:hanging="479"/>
        <w:spacing w:after="0" w:line="253" w:lineRule="auto"/>
        <w:tabs>
          <w:tab w:leader="none" w:pos="9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2" w:lineRule="exact"/>
        <w:rPr>
          <w:rFonts w:ascii="Arial" w:cs="Arial" w:eastAsia="Arial" w:hAnsi="Arial"/>
          <w:sz w:val="18"/>
          <w:szCs w:val="18"/>
          <w:color w:val="auto"/>
        </w:rPr>
      </w:pPr>
    </w:p>
    <w:p>
      <w:pPr>
        <w:ind w:left="1020" w:right="360" w:hanging="479"/>
        <w:spacing w:after="0" w:line="253" w:lineRule="auto"/>
        <w:tabs>
          <w:tab w:leader="none" w:pos="9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2" w:lineRule="exact"/>
        <w:rPr>
          <w:rFonts w:ascii="Arial" w:cs="Arial" w:eastAsia="Arial" w:hAnsi="Arial"/>
          <w:sz w:val="18"/>
          <w:szCs w:val="18"/>
          <w:color w:val="auto"/>
        </w:rPr>
      </w:pPr>
    </w:p>
    <w:p>
      <w:pPr>
        <w:ind w:left="1020" w:right="260" w:hanging="479"/>
        <w:spacing w:after="0" w:line="253" w:lineRule="auto"/>
        <w:tabs>
          <w:tab w:leader="none" w:pos="9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Arial" w:cs="Arial" w:eastAsia="Arial" w:hAnsi="Arial"/>
          <w:sz w:val="18"/>
          <w:szCs w:val="18"/>
          <w:color w:val="auto"/>
        </w:rPr>
      </w:pPr>
    </w:p>
    <w:p>
      <w:pPr>
        <w:ind w:left="1020" w:right="100" w:hanging="479"/>
        <w:spacing w:after="0" w:line="253" w:lineRule="auto"/>
        <w:tabs>
          <w:tab w:leader="none" w:pos="9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8" w:lineRule="exact"/>
        <w:rPr>
          <w:rFonts w:ascii="Arial" w:cs="Arial" w:eastAsia="Arial" w:hAnsi="Arial"/>
          <w:sz w:val="18"/>
          <w:szCs w:val="18"/>
          <w:color w:val="auto"/>
        </w:rPr>
      </w:pPr>
    </w:p>
    <w:p>
      <w:pPr>
        <w:ind w:left="520" w:right="480" w:hanging="512"/>
        <w:spacing w:after="0" w:line="261" w:lineRule="auto"/>
        <w:tabs>
          <w:tab w:leader="none" w:pos="5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Arial" w:cs="Arial" w:eastAsia="Arial" w:hAnsi="Arial"/>
          <w:sz w:val="18"/>
          <w:szCs w:val="18"/>
          <w:color w:val="auto"/>
        </w:rPr>
      </w:pPr>
    </w:p>
    <w:p>
      <w:pPr>
        <w:ind w:left="1020" w:right="280" w:hanging="479"/>
        <w:spacing w:after="0" w:line="261" w:lineRule="auto"/>
        <w:tabs>
          <w:tab w:leader="none" w:pos="9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Arial" w:cs="Arial" w:eastAsia="Arial" w:hAnsi="Arial"/>
          <w:sz w:val="18"/>
          <w:szCs w:val="18"/>
          <w:color w:val="auto"/>
        </w:rPr>
      </w:pPr>
    </w:p>
    <w:p>
      <w:pPr>
        <w:ind w:left="1020" w:right="220" w:hanging="479"/>
        <w:spacing w:after="0" w:line="287" w:lineRule="auto"/>
        <w:tabs>
          <w:tab w:leader="none" w:pos="935"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2" w:lineRule="exact"/>
        <w:rPr>
          <w:sz w:val="20"/>
          <w:szCs w:val="20"/>
          <w:color w:val="auto"/>
        </w:rPr>
      </w:pPr>
    </w:p>
    <w:p>
      <w:pPr>
        <w:ind w:left="20"/>
        <w:spacing w:after="0"/>
        <w:tabs>
          <w:tab w:leader="none" w:pos="5640" w:val="left"/>
          <w:tab w:leader="none" w:pos="784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Andrea Corcoran</w:t>
      </w:r>
    </w:p>
    <w:p>
      <w:pPr>
        <w:spacing w:after="0" w:line="23" w:lineRule="exact"/>
        <w:rPr>
          <w:sz w:val="20"/>
          <w:szCs w:val="20"/>
          <w:color w:val="auto"/>
        </w:rPr>
      </w:pPr>
    </w:p>
    <w:p>
      <w:pPr>
        <w:ind w:left="7920"/>
        <w:spacing w:after="0"/>
        <w:rPr>
          <w:sz w:val="20"/>
          <w:szCs w:val="20"/>
          <w:color w:val="auto"/>
        </w:rPr>
      </w:pPr>
      <w:r>
        <w:rPr>
          <w:rFonts w:ascii="Arial" w:cs="Arial" w:eastAsia="Arial" w:hAnsi="Arial"/>
          <w:sz w:val="18"/>
          <w:szCs w:val="18"/>
          <w:b w:val="1"/>
          <w:bCs w:val="1"/>
          <w:color w:val="auto"/>
        </w:rPr>
        <w:t>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-127635</wp:posOffset>
            </wp:positionV>
            <wp:extent cx="32746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ind w:left="610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6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06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June 30,</w:t>
      </w:r>
    </w:p>
    <w:p>
      <w:pPr>
        <w:spacing w:after="0" w:line="27" w:lineRule="exact"/>
        <w:rPr>
          <w:sz w:val="20"/>
          <w:szCs w:val="20"/>
          <w:color w:val="auto"/>
        </w:rPr>
      </w:pPr>
    </w:p>
    <w:p>
      <w:pPr>
        <w:ind w:right="440"/>
        <w:spacing w:after="0" w:line="250" w:lineRule="auto"/>
        <w:rPr>
          <w:sz w:val="20"/>
          <w:szCs w:val="20"/>
          <w:color w:val="auto"/>
        </w:rPr>
      </w:pPr>
      <w:r>
        <w:rPr>
          <w:rFonts w:ascii="Arial" w:cs="Arial" w:eastAsia="Arial" w:hAnsi="Arial"/>
          <w:sz w:val="18"/>
          <w:szCs w:val="18"/>
          <w:color w:val="auto"/>
        </w:rPr>
        <w:t>2022 as filed with the Securities and Exchange Commission on the date hereof (the “Report”), I certify, pursuant to 18 U.S.C. § 1350, as adopted pursuant to § 906 of the Sarbanes-Oxley Act of 2002, that, to the best of my knowledge:</w:t>
      </w:r>
    </w:p>
    <w:p>
      <w:pPr>
        <w:spacing w:after="0" w:line="172" w:lineRule="exact"/>
        <w:rPr>
          <w:sz w:val="20"/>
          <w:szCs w:val="20"/>
          <w:color w:val="auto"/>
        </w:rPr>
      </w:pPr>
    </w:p>
    <w:p>
      <w:pPr>
        <w:ind w:left="1020" w:hanging="503"/>
        <w:spacing w:after="0"/>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8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328" w:lineRule="exact"/>
        <w:rPr>
          <w:sz w:val="20"/>
          <w:szCs w:val="20"/>
          <w:color w:val="auto"/>
        </w:rPr>
      </w:pPr>
    </w:p>
    <w:p>
      <w:pPr>
        <w:ind w:left="20"/>
        <w:spacing w:after="0"/>
        <w:tabs>
          <w:tab w:leader="none" w:pos="5680" w:val="left"/>
          <w:tab w:leader="none" w:pos="726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Jean-Pierre Sommadossi, Ph.D.</w:t>
      </w:r>
    </w:p>
    <w:p>
      <w:pPr>
        <w:spacing w:after="0" w:line="2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Jean-Pierre Sommadossi,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-127635</wp:posOffset>
            </wp:positionV>
            <wp:extent cx="324040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240405" cy="8890"/>
                    </a:xfrm>
                    <a:prstGeom prst="rect">
                      <a:avLst/>
                    </a:prstGeom>
                    <a:noFill/>
                  </pic:spPr>
                </pic:pic>
              </a:graphicData>
            </a:graphic>
          </wp:anchor>
        </w:drawing>
      </w:r>
    </w:p>
    <w:p>
      <w:pPr>
        <w:ind w:left="7080"/>
        <w:spacing w:after="0" w:line="219" w:lineRule="auto"/>
        <w:rPr>
          <w:sz w:val="20"/>
          <w:szCs w:val="20"/>
          <w:color w:val="auto"/>
        </w:rPr>
      </w:pPr>
      <w:r>
        <w:rPr>
          <w:rFonts w:ascii="Arial" w:cs="Arial" w:eastAsia="Arial" w:hAnsi="Arial"/>
          <w:sz w:val="18"/>
          <w:szCs w:val="18"/>
          <w:b w:val="1"/>
          <w:bCs w:val="1"/>
          <w:color w:val="auto"/>
        </w:rPr>
        <w:t>President and Chief Executive Officer</w:t>
      </w:r>
    </w:p>
    <w:p>
      <w:pPr>
        <w:ind w:left="752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In connection with the Quarterly Report on Form 10-Q of Atea Pharmaceuticals, Inc. (the “Company”) for the period ended June 30, 2022 as filed with the Securities and Exchange Commission on the date hereof (the “Report”), I certify, pursuant to 18 U.S.C. § 1350, as adopted pursuant to § 906 of the Sarbanes-Oxley Act of 2002, that, to the best of my knowledge:</w:t>
      </w:r>
    </w:p>
    <w:p>
      <w:pPr>
        <w:spacing w:after="0" w:line="182" w:lineRule="exact"/>
        <w:rPr>
          <w:sz w:val="20"/>
          <w:szCs w:val="20"/>
          <w:color w:val="auto"/>
        </w:rPr>
      </w:pPr>
    </w:p>
    <w:p>
      <w:pPr>
        <w:ind w:left="1020" w:hanging="503"/>
        <w:spacing w:after="0"/>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40" w:hanging="503"/>
        <w:spacing w:after="0" w:line="271"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p>
      <w:pPr>
        <w:ind w:left="20"/>
        <w:spacing w:after="0"/>
        <w:tabs>
          <w:tab w:leader="none" w:pos="5580" w:val="left"/>
          <w:tab w:leader="none" w:pos="7800" w:val="left"/>
        </w:tabs>
        <w:rPr>
          <w:sz w:val="20"/>
          <w:szCs w:val="20"/>
          <w:color w:val="auto"/>
        </w:rPr>
      </w:pPr>
      <w:r>
        <w:rPr>
          <w:rFonts w:ascii="Arial" w:cs="Arial" w:eastAsia="Arial" w:hAnsi="Arial"/>
          <w:sz w:val="18"/>
          <w:szCs w:val="18"/>
          <w:color w:val="auto"/>
        </w:rPr>
        <w:t>Date: 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Andrea Corcoran</w:t>
      </w:r>
    </w:p>
    <w:p>
      <w:pPr>
        <w:spacing w:after="0" w:line="23"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Andrea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-127635</wp:posOffset>
            </wp:positionV>
            <wp:extent cx="330898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ind w:left="6060"/>
        <w:spacing w:after="0" w:line="219" w:lineRule="auto"/>
        <w:rPr>
          <w:sz w:val="20"/>
          <w:szCs w:val="20"/>
          <w:color w:val="auto"/>
        </w:rPr>
      </w:pPr>
      <w:r>
        <w:rPr>
          <w:rFonts w:ascii="Arial" w:cs="Arial" w:eastAsia="Arial" w:hAnsi="Arial"/>
          <w:sz w:val="18"/>
          <w:szCs w:val="18"/>
          <w:b w:val="1"/>
          <w:bCs w:val="1"/>
          <w:color w:val="auto"/>
        </w:rPr>
        <w:t>Chief Financial Officer, Executive Vice President, Legal, and</w:t>
      </w:r>
    </w:p>
    <w:p>
      <w:pPr>
        <w:jc w:val="center"/>
        <w:ind w:left="6000"/>
        <w:spacing w:after="0" w:line="219" w:lineRule="auto"/>
        <w:rPr>
          <w:sz w:val="20"/>
          <w:szCs w:val="20"/>
          <w:color w:val="auto"/>
        </w:rPr>
      </w:pPr>
      <w:r>
        <w:rPr>
          <w:rFonts w:ascii="Arial" w:cs="Arial" w:eastAsia="Arial" w:hAnsi="Arial"/>
          <w:sz w:val="18"/>
          <w:szCs w:val="18"/>
          <w:b w:val="1"/>
          <w:bCs w:val="1"/>
          <w:color w:val="auto"/>
        </w:rPr>
        <w:t>Secretary</w:t>
      </w:r>
    </w:p>
    <w:p>
      <w:pPr>
        <w:jc w:val="center"/>
        <w:ind w:left="600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3" w:right="339" w:bottom="1440"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1."/>
      <w:numFmt w:val="decimal"/>
      <w:start w:val="8"/>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
      <w:numFmt w:val="bullet"/>
      <w:start w:val="1"/>
    </w:lvl>
  </w:abstractNum>
  <w:abstractNum w:abstractNumId="28">
    <w:nsid w:val="725A06FB"/>
    <w:multiLevelType w:val="hybridMultilevel"/>
    <w:lvl w:ilvl="0">
      <w:lvlJc w:val="left"/>
      <w:lvlText w:val="•"/>
      <w:numFmt w:val="bullet"/>
      <w:start w:val="1"/>
    </w:lvl>
  </w:abstractNum>
  <w:abstractNum w:abstractNumId="29">
    <w:nsid w:val="2CD89A32"/>
    <w:multiLevelType w:val="hybridMultilevel"/>
    <w:lvl w:ilvl="0">
      <w:lvlJc w:val="left"/>
      <w:lvlText w:val="•"/>
      <w:numFmt w:val="bullet"/>
      <w:start w:val="1"/>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
      <w:numFmt w:val="bullet"/>
      <w:start w:val="1"/>
    </w:lvl>
  </w:abstractNum>
  <w:abstractNum w:abstractNumId="34">
    <w:nsid w:val="6DE91B18"/>
    <w:multiLevelType w:val="hybridMultilevel"/>
    <w:lvl w:ilvl="0">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
      <w:numFmt w:val="bullet"/>
      <w:start w:val="1"/>
    </w:lvl>
    <w:lvl w:ilvl="1">
      <w:lvlJc w:val="left"/>
      <w:lvlText w:val="%2"/>
      <w:numFmt w:val="decimal"/>
      <w:start w:val="104"/>
    </w:lvl>
  </w:abstractNum>
  <w:abstractNum w:abstractNumId="46">
    <w:nsid w:val="70C6A529"/>
    <w:multiLevelType w:val="hybridMultilevel"/>
    <w:lvl w:ilvl="0">
      <w:lvlJc w:val="left"/>
      <w:lvlText w:val="**"/>
      <w:numFmt w:val="bullet"/>
      <w:start w:val="1"/>
    </w:lvl>
    <w:lvl w:ilvl="1">
      <w:lvlJc w:val="left"/>
      <w:lvlText w:val="%2"/>
      <w:numFmt w:val="decimal"/>
      <w:start w:val="1"/>
    </w:lvl>
  </w:abstractNum>
  <w:abstractNum w:abstractNumId="47">
    <w:nsid w:val="520EEDD1"/>
    <w:multiLevelType w:val="hybridMultilevel"/>
    <w:lvl w:ilvl="0">
      <w:lvlJc w:val="left"/>
      <w:lvlText w:val="%1."/>
      <w:numFmt w:val="upperLetter"/>
      <w:start w:val="1"/>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1"/>
    </w:lvl>
  </w:abstractNum>
  <w:abstractNum w:abstractNumId="50">
    <w:nsid w:val="23F9C13C"/>
    <w:multiLevelType w:val="hybridMultilevel"/>
    <w:lvl w:ilvl="0">
      <w:lvlJc w:val="left"/>
      <w:lvlText w:val="%1."/>
      <w:numFmt w:val="decimal"/>
      <w:start w:val="2"/>
    </w:lvl>
  </w:abstractNum>
  <w:abstractNum w:abstractNumId="51">
    <w:nsid w:val="649BB77C"/>
    <w:multiLevelType w:val="hybridMultilevel"/>
    <w:lvl w:ilvl="0">
      <w:lvlJc w:val="left"/>
      <w:lvlText w:val="%1."/>
      <w:numFmt w:val="decimal"/>
      <w:start w:val="4"/>
    </w:lvl>
  </w:abstractNum>
  <w:abstractNum w:abstractNumId="52">
    <w:nsid w:val="275AC794"/>
    <w:multiLevelType w:val="hybridMultilevel"/>
    <w:lvl w:ilvl="0">
      <w:lvlJc w:val="left"/>
      <w:lvlText w:val="%1."/>
      <w:numFmt w:val="decimal"/>
      <w:start w:val="7"/>
    </w:lvl>
  </w:abstractNum>
  <w:abstractNum w:abstractNumId="53">
    <w:nsid w:val="39386575"/>
    <w:multiLevelType w:val="hybridMultilevel"/>
    <w:lvl w:ilvl="0">
      <w:lvlJc w:val="left"/>
      <w:lvlText w:val="%1."/>
      <w:numFmt w:val="decimal"/>
      <w:start w:val="9"/>
    </w:lvl>
  </w:abstractNum>
  <w:abstractNum w:abstractNumId="54">
    <w:nsid w:val="1CF10FD8"/>
    <w:multiLevelType w:val="hybridMultilevel"/>
    <w:lvl w:ilvl="0">
      <w:lvlJc w:val="left"/>
      <w:lvlText w:val="%1."/>
      <w:numFmt w:val="decimal"/>
      <w:start w:val="16"/>
    </w:lvl>
  </w:abstractNum>
  <w:abstractNum w:abstractNumId="55">
    <w:nsid w:val="180115BE"/>
    <w:multiLevelType w:val="hybridMultilevel"/>
    <w:lvl w:ilvl="0">
      <w:lvlJc w:val="left"/>
      <w:lvlText w:val="%1."/>
      <w:numFmt w:val="decimal"/>
      <w:start w:val="1"/>
    </w:lvl>
    <w:lvl w:ilvl="1">
      <w:lvlJc w:val="left"/>
      <w:lvlText w:val="(%2)"/>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37" Type="http://schemas.openxmlformats.org/officeDocument/2006/relationships/hyperlink" Target="https://www.sec.gov/Archives/edgar/data/1593899/000119312520286850/d97355dex31.htm" TargetMode="External"/><Relationship Id="rId138" Type="http://schemas.openxmlformats.org/officeDocument/2006/relationships/hyperlink" Target="https://www.sec.gov/Archives/edgar/data/1593899/000119312520286850/d97355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2022-08-09T03:08:20Z</dcterms:created>
  <dcterms:modified xsi:type="dcterms:W3CDTF">2022-08-09T03:08:20Z</dcterms:modified>
</cp:coreProperties>
</file>