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Polsky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FRANKLIN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Atea Pharmaceuticals, Inc.</w:t>
              </w:r>
            </w:hyperlink>
            <w:r>
              <w:rPr/>
              <w:t xml:space="preserve"> [ </w:t>
            </w:r>
            <w:r>
              <w:rPr>
                <w:rFonts w:ascii="Times;serif" w:hAnsi="Times;serif"/>
                <w:color w:val="0000FF"/>
                <w:sz w:val="24"/>
                <w:shd w:fill="FFFFFF" w:val="clear"/>
              </w:rPr>
              <w:t>AVIR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124,806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vested in full on June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a single installment on the earlier of (i) the date of the next annual meeting of the Issuer's stockholders occurring after June 18, 2026 or (ii) June 18, 2027,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vests and becomes exercisable in twelve (12) substantially equal monthly installments following June 18, 2026, such that the option shall be fully vested on June 18, 2027,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Andrea Corcoran, as Attorney-in-Fact for Bruce Polsky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8458" TargetMode="External"/><Relationship Id="rId5" Type="http://schemas.openxmlformats.org/officeDocument/2006/relationships/hyperlink" Target="http://www.sec.gov/cgi-bin/browse-edgar?action=getcompany&amp;CIK=00015938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3878</Characters>
  <CharactersWithSpaces>4516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