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7048500" cy="5377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37781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Foster Wayne</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225 FRANKLIN STREET</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Atea Pharmaceuticals,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AVIR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01/31/2026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8"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571"/>
        <w:spacing w:after="0"/>
        <w:rPr>
          <w:sz w:val="20"/>
          <w:szCs w:val="20"/>
          <w:color w:val="auto"/>
        </w:rPr>
      </w:pPr>
      <w:r>
        <w:rPr>
          <w:rFonts w:ascii="Times New Roman" w:cs="Times New Roman" w:eastAsia="Times New Roman" w:hAnsi="Times New Roman"/>
          <w:sz w:val="16"/>
          <w:szCs w:val="16"/>
          <w:color w:val="0000FF"/>
        </w:rPr>
        <w:t>EVP, Chief Accounting Officer</w:t>
      </w:r>
    </w:p>
    <w:p>
      <w:pPr>
        <w:spacing w:after="0" w:line="504"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179"/>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02110</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94"/>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ind w:righ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6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0000FF"/>
              </w:rPr>
              <w:t>01/31/2026</w:t>
            </w: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41,333</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91,461</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6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0000FF"/>
              </w:rPr>
              <w:t>01/31/2026</w:t>
            </w: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12,132</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4.24</w:t>
            </w:r>
          </w:p>
        </w:tc>
        <w:tc>
          <w:tcPr>
            <w:tcW w:w="6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79,329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8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8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33,333</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01/31/2026</w:t>
            </w:r>
          </w:p>
        </w:tc>
        <w:tc>
          <w:tcPr>
            <w:tcW w:w="1060" w:type="dxa"/>
            <w:vAlign w:val="bottom"/>
          </w:tcPr>
          <w:p>
            <w:pPr>
              <w:spacing w:after="0"/>
              <w:rPr>
                <w:sz w:val="5"/>
                <w:szCs w:val="5"/>
                <w:color w:val="auto"/>
              </w:rPr>
            </w:pPr>
          </w:p>
        </w:tc>
        <w:tc>
          <w:tcPr>
            <w:tcW w:w="800" w:type="dxa"/>
            <w:vAlign w:val="bottom"/>
            <w:gridSpan w:val="2"/>
            <w:vMerge w:val="restart"/>
          </w:tcPr>
          <w:p>
            <w:pPr>
              <w:jc w:val="center"/>
              <w:ind w:right="337"/>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5"/>
                <w:szCs w:val="5"/>
                <w:color w:val="auto"/>
              </w:rPr>
            </w:pPr>
          </w:p>
        </w:tc>
        <w:tc>
          <w:tcPr>
            <w:tcW w:w="440" w:type="dxa"/>
            <w:vAlign w:val="bottom"/>
            <w:vMerge w:val="restart"/>
          </w:tcPr>
          <w:p>
            <w:pPr>
              <w:jc w:val="right"/>
              <w:ind w:right="20"/>
              <w:spacing w:after="0" w:line="138" w:lineRule="exact"/>
              <w:rPr>
                <w:sz w:val="20"/>
                <w:szCs w:val="20"/>
                <w:color w:val="auto"/>
              </w:rPr>
            </w:pPr>
            <w:r>
              <w:rPr>
                <w:rFonts w:ascii="Times New Roman" w:cs="Times New Roman" w:eastAsia="Times New Roman" w:hAnsi="Times New Roman"/>
                <w:sz w:val="13"/>
                <w:szCs w:val="13"/>
                <w:color w:val="0000FF"/>
                <w:w w:val="94"/>
              </w:rPr>
              <w:t>33,333</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vMerge w:val="restart"/>
          </w:tcPr>
          <w:p>
            <w:pPr>
              <w:jc w:val="center"/>
              <w:ind w:left="20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5"/>
                <w:szCs w:val="5"/>
                <w:color w:val="auto"/>
              </w:rPr>
            </w:pP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01/31/2026</w:t>
            </w:r>
          </w:p>
        </w:tc>
        <w:tc>
          <w:tcPr>
            <w:tcW w:w="1060" w:type="dxa"/>
            <w:vAlign w:val="bottom"/>
          </w:tcPr>
          <w:p>
            <w:pPr>
              <w:spacing w:after="0"/>
              <w:rPr>
                <w:sz w:val="5"/>
                <w:szCs w:val="5"/>
                <w:color w:val="auto"/>
              </w:rPr>
            </w:pPr>
          </w:p>
        </w:tc>
        <w:tc>
          <w:tcPr>
            <w:tcW w:w="800" w:type="dxa"/>
            <w:vAlign w:val="bottom"/>
            <w:gridSpan w:val="2"/>
            <w:vMerge w:val="restart"/>
          </w:tcPr>
          <w:p>
            <w:pPr>
              <w:jc w:val="center"/>
              <w:ind w:right="337"/>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5"/>
                <w:szCs w:val="5"/>
                <w:color w:val="auto"/>
              </w:rPr>
            </w:pPr>
          </w:p>
        </w:tc>
        <w:tc>
          <w:tcPr>
            <w:tcW w:w="440" w:type="dxa"/>
            <w:vAlign w:val="bottom"/>
            <w:vMerge w:val="restart"/>
          </w:tcPr>
          <w:p>
            <w:pPr>
              <w:jc w:val="right"/>
              <w:ind w:right="60"/>
              <w:spacing w:after="0" w:line="138" w:lineRule="exact"/>
              <w:rPr>
                <w:sz w:val="20"/>
                <w:szCs w:val="20"/>
                <w:color w:val="auto"/>
              </w:rPr>
            </w:pPr>
            <w:r>
              <w:rPr>
                <w:rFonts w:ascii="Times New Roman" w:cs="Times New Roman" w:eastAsia="Times New Roman" w:hAnsi="Times New Roman"/>
                <w:sz w:val="13"/>
                <w:szCs w:val="13"/>
                <w:color w:val="0000FF"/>
              </w:rPr>
              <w:t>8,000</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vMerge w:val="restart"/>
          </w:tcPr>
          <w:p>
            <w:pPr>
              <w:jc w:val="center"/>
              <w:ind w:left="20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5"/>
                <w:szCs w:val="5"/>
                <w:color w:val="auto"/>
              </w:rPr>
            </w:pP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4.24</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01/31/2026</w:t>
            </w:r>
          </w:p>
        </w:tc>
        <w:tc>
          <w:tcPr>
            <w:tcW w:w="1060" w:type="dxa"/>
            <w:vAlign w:val="bottom"/>
          </w:tcPr>
          <w:p>
            <w:pPr>
              <w:spacing w:after="0"/>
              <w:rPr>
                <w:sz w:val="17"/>
                <w:szCs w:val="17"/>
                <w:color w:val="auto"/>
              </w:rPr>
            </w:pPr>
          </w:p>
        </w:tc>
        <w:tc>
          <w:tcPr>
            <w:tcW w:w="800" w:type="dxa"/>
            <w:vAlign w:val="bottom"/>
            <w:gridSpan w:val="2"/>
          </w:tcPr>
          <w:p>
            <w:pPr>
              <w:jc w:val="center"/>
              <w:ind w:right="317"/>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108,000</w:t>
            </w:r>
          </w:p>
        </w:tc>
        <w:tc>
          <w:tcPr>
            <w:tcW w:w="440" w:type="dxa"/>
            <w:vAlign w:val="bottom"/>
          </w:tcPr>
          <w:p>
            <w:pPr>
              <w:spacing w:after="0"/>
              <w:rPr>
                <w:sz w:val="17"/>
                <w:szCs w:val="17"/>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01/30/2036</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108,000</w:t>
            </w:r>
          </w:p>
        </w:tc>
        <w:tc>
          <w:tcPr>
            <w:tcW w:w="60" w:type="dxa"/>
            <w:vAlign w:val="bottom"/>
          </w:tcPr>
          <w:p>
            <w:pPr>
              <w:spacing w:after="0"/>
              <w:rPr>
                <w:sz w:val="17"/>
                <w:szCs w:val="17"/>
                <w:color w:val="auto"/>
              </w:rPr>
            </w:pPr>
          </w:p>
        </w:tc>
        <w:tc>
          <w:tcPr>
            <w:tcW w:w="680" w:type="dxa"/>
            <w:vAlign w:val="bottom"/>
          </w:tcPr>
          <w:p>
            <w:pPr>
              <w:jc w:val="center"/>
              <w:ind w:right="6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108,000</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jc w:val="center"/>
              <w:ind w:right="39"/>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grant of 100,000 RSUs vested in three (3) equal annual installments on the first three anniversaries of January 31, 2023 such that the RSUs were fully vested as of January 31, 2026.</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RSUs following the satisfaction of performance criteria of previously granted performance restricted stock units that vested on January 31, 2026.</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forty-eight (48) equal monthly installments following January 31, 2026 such that the option is fully vested on January 31, 2030.</w:t>
      </w:r>
    </w:p>
    <w:p>
      <w:pPr>
        <w:spacing w:after="0" w:line="6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Andrea Corcoran,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-5080</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Wayne</w:t>
      </w:r>
      <w:r>
        <w:rPr>
          <w:sz w:val="20"/>
          <w:szCs w:val="20"/>
          <w:color w:val="auto"/>
        </w:rPr>
        <w:tab/>
      </w:r>
      <w:r>
        <w:rPr>
          <w:rFonts w:ascii="Times New Roman" w:cs="Times New Roman" w:eastAsia="Times New Roman" w:hAnsi="Times New Roman"/>
          <w:sz w:val="16"/>
          <w:szCs w:val="16"/>
          <w:color w:val="0000FF"/>
        </w:rPr>
        <w:t>02/03/2026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868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Foster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257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781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9769" TargetMode="External"/><Relationship Id="rId14" Type="http://schemas.openxmlformats.org/officeDocument/2006/relationships/hyperlink" Target="http://www.sec.gov/cgi-bin/browse-edgar?action=getcompany&amp;CIK=0001593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2026-02-03T18:45:18Z</dcterms:created>
  <dcterms:modified xsi:type="dcterms:W3CDTF">2026-02-03T18:45:18Z</dcterms:modified>
</cp:coreProperties>
</file>