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rPr/>
      </w:pPr>
      <w:bookmarkStart w:id="0" w:name="avir-10k_20201231.htm"/>
      <w:bookmarkStart w:id="1" w:name="ksavir10k_20201231"/>
      <w:bookmarkEnd w:id="0"/>
      <w:bookmarkEnd w:id="1"/>
      <w:r>
        <w:rPr/>
        <w:t> </w:t>
      </w:r>
    </w:p>
    <w:p>
      <w:pPr>
        <w:pStyle w:val="TextBody"/>
        <w:spacing w:before="0" w:after="0"/>
        <w:jc w:val="center"/>
        <w:rPr>
          <w:rFonts w:ascii="Arial" w:hAnsi="Arial"/>
          <w:b/>
          <w:i w:val="false"/>
          <w:caps w:val="false"/>
          <w:smallCaps w:val="false"/>
          <w:sz w:val="32"/>
        </w:rPr>
      </w:pPr>
      <w:r>
        <w:rPr>
          <w:rFonts w:ascii="Arial" w:hAnsi="Arial"/>
          <w:b/>
          <w:i w:val="false"/>
          <w:caps w:val="false"/>
          <w:smallCaps w:val="false"/>
          <w:sz w:val="32"/>
        </w:rPr>
        <w:t xml:space="preserve">UNITED STATES </w:t>
      </w:r>
    </w:p>
    <w:p>
      <w:pPr>
        <w:pStyle w:val="TextBody"/>
        <w:spacing w:before="0" w:after="0"/>
        <w:jc w:val="center"/>
        <w:rPr>
          <w:rFonts w:ascii="Arial" w:hAnsi="Arial"/>
          <w:b/>
          <w:i w:val="false"/>
          <w:caps w:val="false"/>
          <w:smallCaps w:val="false"/>
          <w:sz w:val="32"/>
        </w:rPr>
      </w:pPr>
      <w:r>
        <w:rPr>
          <w:rFonts w:ascii="Arial" w:hAnsi="Arial"/>
          <w:b/>
          <w:i w:val="false"/>
          <w:caps w:val="false"/>
          <w:smallCaps w:val="false"/>
          <w:sz w:val="32"/>
        </w:rPr>
        <w:t>SECURITIES AND EXCHANGE COMMISSION</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Washington, D.C. 20549 </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60" w:after="0"/>
        <w:jc w:val="center"/>
        <w:rPr>
          <w:rFonts w:ascii="Arial" w:hAnsi="Arial"/>
          <w:b/>
          <w:i w:val="false"/>
          <w:caps w:val="false"/>
          <w:smallCaps w:val="false"/>
          <w:sz w:val="36"/>
        </w:rPr>
      </w:pPr>
      <w:r>
        <w:rPr>
          <w:rFonts w:ascii="Arial" w:hAnsi="Arial"/>
          <w:b/>
          <w:i w:val="false"/>
          <w:caps w:val="false"/>
          <w:smallCaps w:val="false"/>
          <w:sz w:val="36"/>
        </w:rPr>
        <w:t xml:space="preserve">FORM 10-K </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60" w:after="0"/>
        <w:rPr>
          <w:rFonts w:ascii="Arial" w:hAnsi="Arial"/>
          <w:b/>
          <w:i w:val="false"/>
          <w:caps w:val="false"/>
          <w:smallCaps w:val="false"/>
          <w:sz w:val="16"/>
        </w:rPr>
      </w:pPr>
      <w:r>
        <w:rPr>
          <w:rFonts w:ascii="Arial" w:hAnsi="Arial"/>
          <w:b/>
          <w:i w:val="false"/>
          <w:caps w:val="false"/>
          <w:smallCaps w:val="false"/>
          <w:sz w:val="16"/>
        </w:rPr>
        <w:t xml:space="preserve">(Mark One) </w:t>
      </w:r>
    </w:p>
    <w:tbl>
      <w:tblPr>
        <w:tblW w:w="9925" w:type="dxa"/>
        <w:jc w:val="left"/>
        <w:tblInd w:w="0" w:type="dxa"/>
        <w:tblCellMar>
          <w:top w:w="0" w:type="dxa"/>
          <w:left w:w="0" w:type="dxa"/>
          <w:bottom w:w="0" w:type="dxa"/>
          <w:right w:w="0" w:type="dxa"/>
        </w:tblCellMar>
      </w:tblPr>
      <w:tblGrid>
        <w:gridCol w:w="230"/>
        <w:gridCol w:w="9695"/>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9695" w:type="dxa"/>
            <w:tcBorders/>
            <w:shd w:fill="auto" w:val="cle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 xml:space="preserve">ANNUAL REPORT PURSUANT TO SECTION 13 OR 15(d) OF THE SECURITIES EXCHANGE ACT OF 1934 </w:t>
            </w:r>
          </w:p>
        </w:tc>
      </w:tr>
    </w:tbl>
    <w:p>
      <w:pPr>
        <w:pStyle w:val="TextBody"/>
        <w:spacing w:before="60" w:after="0"/>
        <w:jc w:val="center"/>
        <w:rPr>
          <w:rFonts w:ascii="Arial" w:hAnsi="Arial"/>
          <w:b/>
          <w:i w:val="false"/>
          <w:caps w:val="false"/>
          <w:smallCaps w:val="false"/>
          <w:sz w:val="20"/>
        </w:rPr>
      </w:pPr>
      <w:r>
        <w:rPr>
          <w:rFonts w:ascii="Arial" w:hAnsi="Arial"/>
          <w:b/>
          <w:i w:val="false"/>
          <w:caps w:val="false"/>
          <w:smallCaps w:val="false"/>
          <w:sz w:val="20"/>
        </w:rPr>
        <w:t>For the fiscal year ended December 31, 2020</w:t>
      </w:r>
    </w:p>
    <w:p>
      <w:pPr>
        <w:pStyle w:val="TextBody"/>
        <w:spacing w:before="60" w:after="0"/>
        <w:jc w:val="center"/>
        <w:rPr>
          <w:rFonts w:ascii="Arial" w:hAnsi="Arial"/>
          <w:b/>
          <w:i w:val="false"/>
          <w:caps w:val="false"/>
          <w:smallCaps w:val="false"/>
          <w:sz w:val="20"/>
        </w:rPr>
      </w:pPr>
      <w:r>
        <w:rPr>
          <w:rFonts w:ascii="Arial" w:hAnsi="Arial"/>
          <w:b/>
          <w:i w:val="false"/>
          <w:caps w:val="false"/>
          <w:smallCaps w:val="false"/>
          <w:sz w:val="20"/>
        </w:rPr>
        <w:t xml:space="preserve">OR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6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60" w:after="0"/>
              <w:ind w:left="0" w:right="0" w:hanging="0"/>
              <w:rPr>
                <w:rFonts w:ascii="Arial" w:hAnsi="Arial"/>
                <w:b/>
                <w:i w:val="false"/>
                <w:caps w:val="false"/>
                <w:smallCaps w:val="false"/>
                <w:sz w:val="20"/>
              </w:rPr>
            </w:pPr>
            <w:r>
              <w:rPr>
                <w:rFonts w:ascii="Arial" w:hAnsi="Arial"/>
                <w:b/>
                <w:i w:val="false"/>
                <w:caps w:val="false"/>
                <w:smallCaps w:val="false"/>
                <w:sz w:val="20"/>
              </w:rPr>
              <w:t>TRANSITION REPORT PURSUANT TO SECTION 13 OR 15(d) OF THE SECURITIES EXCHANGE ACT OF 1934 FOR THE TRANSITION PERIOD FROM                      TO                     </w:t>
            </w:r>
          </w:p>
        </w:tc>
      </w:tr>
    </w:tbl>
    <w:p>
      <w:pPr>
        <w:pStyle w:val="TextBody"/>
        <w:spacing w:before="60" w:after="0"/>
        <w:jc w:val="center"/>
        <w:rPr>
          <w:rFonts w:ascii="Arial" w:hAnsi="Arial"/>
          <w:b/>
          <w:i w:val="false"/>
          <w:caps w:val="false"/>
          <w:smallCaps w:val="false"/>
          <w:sz w:val="20"/>
        </w:rPr>
      </w:pPr>
      <w:r>
        <w:rPr>
          <w:rFonts w:ascii="Arial" w:hAnsi="Arial"/>
          <w:b/>
          <w:i w:val="false"/>
          <w:caps w:val="false"/>
          <w:smallCaps w:val="false"/>
          <w:sz w:val="20"/>
        </w:rPr>
        <w:t>Commission File Number 001-39661</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0" w:after="0"/>
        <w:jc w:val="center"/>
        <w:rPr>
          <w:rFonts w:ascii="Arial" w:hAnsi="Arial"/>
          <w:b/>
          <w:i w:val="false"/>
          <w:caps w:val="false"/>
          <w:smallCaps w:val="false"/>
          <w:sz w:val="44"/>
        </w:rPr>
      </w:pPr>
      <w:r>
        <w:rPr>
          <w:rFonts w:ascii="Arial" w:hAnsi="Arial"/>
          <w:b/>
          <w:i w:val="false"/>
          <w:caps w:val="false"/>
          <w:smallCaps w:val="false"/>
          <w:sz w:val="44"/>
        </w:rPr>
        <w:t>ATEA PHARMACEUTICALS, INC.</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(Exact name of Registrant as specified in its Charter) </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tbl>
      <w:tblPr>
        <w:tblW w:w="3715" w:type="dxa"/>
        <w:jc w:val="center"/>
        <w:tblInd w:w="0" w:type="dxa"/>
        <w:tblCellMar>
          <w:top w:w="0" w:type="dxa"/>
          <w:left w:w="0" w:type="dxa"/>
          <w:bottom w:w="0" w:type="dxa"/>
          <w:right w:w="0" w:type="dxa"/>
        </w:tblCellMar>
      </w:tblPr>
      <w:tblGrid>
        <w:gridCol w:w="2555"/>
        <w:gridCol w:w="1160"/>
      </w:tblGrid>
      <w:tr>
        <w:trPr/>
        <w:tc>
          <w:tcPr>
            <w:tcW w:w="2555" w:type="dxa"/>
            <w:tcBorders/>
            <w:shd w:fill="auto" w:val="clear"/>
            <w:vAlign w:val="bottom"/>
          </w:tcPr>
          <w:p>
            <w:pPr>
              <w:pStyle w:val="TableContents"/>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Delaware</w:t>
            </w:r>
          </w:p>
        </w:tc>
        <w:tc>
          <w:tcPr>
            <w:tcW w:w="1160" w:type="dxa"/>
            <w:tcBorders/>
            <w:shd w:fill="auto" w:val="clear"/>
            <w:vAlign w:val="bottom"/>
          </w:tcPr>
          <w:p>
            <w:pPr>
              <w:pStyle w:val="TableContents"/>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46-0574869</w:t>
            </w:r>
          </w:p>
        </w:tc>
      </w:tr>
      <w:tr>
        <w:trPr/>
        <w:tc>
          <w:tcPr>
            <w:tcW w:w="2555" w:type="dxa"/>
            <w:tcBorders/>
            <w:shd w:fill="auto" w:val="clear"/>
            <w:vAlign w:val="bottom"/>
          </w:tcPr>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(State or other jurisdiction of</w:t>
            </w:r>
          </w:p>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incorporation or organization)</w:t>
            </w:r>
          </w:p>
        </w:tc>
        <w:tc>
          <w:tcPr>
            <w:tcW w:w="1160" w:type="dxa"/>
            <w:tcBorders/>
            <w:shd w:fill="auto" w:val="clear"/>
            <w:vAlign w:val="bottom"/>
          </w:tcPr>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(I.R.S. Employer</w:t>
            </w:r>
          </w:p>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Identification No.)</w:t>
            </w:r>
          </w:p>
        </w:tc>
      </w:tr>
      <w:tr>
        <w:trPr/>
        <w:tc>
          <w:tcPr>
            <w:tcW w:w="2555" w:type="dxa"/>
            <w:tcBorders/>
            <w:shd w:fill="auto" w:val="clear"/>
            <w:vAlign w:val="bottom"/>
          </w:tcPr>
          <w:p>
            <w:pPr>
              <w:pStyle w:val="TableContents"/>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125 Summer Street</w:t>
            </w:r>
          </w:p>
          <w:p>
            <w:pPr>
              <w:pStyle w:val="TableContents"/>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Boston, MA</w:t>
            </w:r>
          </w:p>
        </w:tc>
        <w:tc>
          <w:tcPr>
            <w:tcW w:w="1160" w:type="dxa"/>
            <w:tcBorders/>
            <w:shd w:fill="auto" w:val="clear"/>
            <w:vAlign w:val="bottom"/>
          </w:tcPr>
          <w:p>
            <w:pPr>
              <w:pStyle w:val="TableContents"/>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02110</w:t>
            </w:r>
          </w:p>
        </w:tc>
      </w:tr>
      <w:tr>
        <w:trPr/>
        <w:tc>
          <w:tcPr>
            <w:tcW w:w="2555" w:type="dxa"/>
            <w:tcBorders/>
            <w:shd w:fill="auto" w:val="clear"/>
            <w:vAlign w:val="bottom"/>
          </w:tcPr>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(Address of principal executive offices)</w:t>
            </w:r>
          </w:p>
        </w:tc>
        <w:tc>
          <w:tcPr>
            <w:tcW w:w="1160" w:type="dxa"/>
            <w:tcBorders/>
            <w:shd w:fill="auto" w:val="clear"/>
            <w:vAlign w:val="bottom"/>
          </w:tcPr>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(Zip Code)</w:t>
            </w:r>
          </w:p>
        </w:tc>
      </w:tr>
    </w:tbl>
    <w:p>
      <w:pPr>
        <w:pStyle w:val="TextBody"/>
        <w:spacing w:before="60" w:after="0"/>
        <w:jc w:val="center"/>
        <w:rPr>
          <w:rFonts w:ascii="Arial" w:hAnsi="Arial"/>
          <w:b/>
          <w:i w:val="false"/>
          <w:caps w:val="false"/>
          <w:smallCaps w:val="false"/>
          <w:sz w:val="20"/>
        </w:rPr>
      </w:pPr>
      <w:r>
        <w:rPr>
          <w:rFonts w:ascii="Arial" w:hAnsi="Arial"/>
          <w:b/>
          <w:i w:val="false"/>
          <w:caps w:val="false"/>
          <w:smallCaps w:val="false"/>
          <w:sz w:val="20"/>
        </w:rPr>
        <w:t>Registrant’s telephone number, including area code: (857) 284-8891</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60" w:after="0"/>
        <w:rPr>
          <w:rFonts w:ascii="Arial" w:hAnsi="Arial"/>
          <w:b w:val="false"/>
          <w:i w:val="false"/>
          <w:caps w:val="false"/>
          <w:smallCaps w:val="false"/>
          <w:sz w:val="17"/>
        </w:rPr>
      </w:pPr>
      <w:r>
        <w:rPr>
          <w:rFonts w:ascii="Arial" w:hAnsi="Arial"/>
          <w:b w:val="false"/>
          <w:i w:val="false"/>
          <w:caps w:val="false"/>
          <w:smallCaps w:val="false"/>
          <w:sz w:val="17"/>
        </w:rPr>
        <w:t xml:space="preserve">Securities registered pursuant to Section 12(b) of the Act: </w:t>
      </w:r>
    </w:p>
    <w:p>
      <w:pPr>
        <w:pStyle w:val="TextBody"/>
        <w:spacing w:before="0" w:after="0"/>
        <w:rPr/>
      </w:pPr>
      <w:r>
        <w:rPr/>
        <w:t> </w:t>
      </w:r>
    </w:p>
    <w:tbl>
      <w:tblPr>
        <w:tblW w:w="8040" w:type="dxa"/>
        <w:jc w:val="left"/>
        <w:tblInd w:w="0" w:type="dxa"/>
        <w:tblCellMar>
          <w:top w:w="0" w:type="dxa"/>
          <w:left w:w="0" w:type="dxa"/>
          <w:bottom w:w="28" w:type="dxa"/>
          <w:right w:w="0" w:type="dxa"/>
        </w:tblCellMar>
      </w:tblPr>
      <w:tblGrid>
        <w:gridCol w:w="3560"/>
        <w:gridCol w:w="60"/>
        <w:gridCol w:w="830"/>
        <w:gridCol w:w="60"/>
        <w:gridCol w:w="3530"/>
      </w:tblGrid>
      <w:tr>
        <w:trPr/>
        <w:tc>
          <w:tcPr>
            <w:tcW w:w="3560"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Title of each class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830"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Trading</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Symbol(s)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3530"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Name of each exchange on which registered</w:t>
            </w:r>
          </w:p>
        </w:tc>
      </w:tr>
      <w:tr>
        <w:trPr/>
        <w:tc>
          <w:tcPr>
            <w:tcW w:w="3560" w:type="dxa"/>
            <w:tcBorders>
              <w:top w:val="single" w:sz="6" w:space="0" w:color="000000"/>
            </w:tcBorders>
            <w:shd w:fill="auto" w:val="clear"/>
            <w:tcMar>
              <w:top w:w="28" w:type="dxa"/>
              <w:bottom w:w="0" w:type="dxa"/>
            </w:tcMar>
          </w:tcPr>
          <w:p>
            <w:pPr>
              <w:pStyle w:val="TableContents"/>
              <w:spacing w:before="0" w:after="0"/>
              <w:ind w:left="0" w:right="0" w:hanging="0"/>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Common Stock, $0.001 par value per share</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830"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AVIR</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3530"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sz w:val="18"/>
              </w:rPr>
            </w:pPr>
            <w:r>
              <w:rPr>
                <w:rFonts w:ascii="Arial" w:hAnsi="Arial"/>
                <w:b w:val="false"/>
                <w:i w:val="false"/>
                <w:caps w:val="false"/>
                <w:smallCaps w:val="false"/>
                <w:sz w:val="18"/>
              </w:rPr>
              <w:t>The Nasdaq Global Select Market</w:t>
            </w:r>
          </w:p>
        </w:tc>
      </w:tr>
    </w:tbl>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 xml:space="preserve">Securities registered pursuant to Section 12(g) of the Act: </w:t>
      </w:r>
      <w:r>
        <w:rPr>
          <w:rFonts w:ascii="Arial" w:hAnsi="Arial"/>
          <w:b/>
          <w:i w:val="false"/>
          <w:caps w:val="false"/>
          <w:smallCaps w:val="false"/>
          <w:sz w:val="16"/>
        </w:rPr>
        <w:t xml:space="preserve">None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 xml:space="preserve">Indicate by check mark if the Registrant is a well-known seasoned issuer, as defined in Rule 405 of the Securities Act. YES ☐ NO ☒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 xml:space="preserve">Indicate by check mark if the Registrant is not required to file reports pursuant to Section 13 or Section 15(d) of the Act. YES ☐ NO ☒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640" w:type="dxa"/>
        <w:jc w:val="center"/>
        <w:tblInd w:w="0" w:type="dxa"/>
        <w:tblCellMar>
          <w:top w:w="0" w:type="dxa"/>
          <w:left w:w="0" w:type="dxa"/>
          <w:bottom w:w="0" w:type="dxa"/>
          <w:right w:w="0" w:type="dxa"/>
        </w:tblCellMar>
      </w:tblPr>
      <w:tblGrid>
        <w:gridCol w:w="1970"/>
        <w:gridCol w:w="60"/>
        <w:gridCol w:w="230"/>
        <w:gridCol w:w="120"/>
        <w:gridCol w:w="1970"/>
        <w:gridCol w:w="60"/>
        <w:gridCol w:w="230"/>
      </w:tblGrid>
      <w:tr>
        <w:trPr/>
        <w:tc>
          <w:tcPr>
            <w:tcW w:w="1970" w:type="dxa"/>
            <w:tcBorders/>
            <w:shd w:fill="auto" w:val="clea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Large 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970" w:type="dxa"/>
            <w:tcBorders/>
            <w:shd w:fill="auto" w:val="clea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970" w:type="dxa"/>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c>
          <w:tcPr>
            <w:tcW w:w="2090" w:type="dxa"/>
            <w:gridSpan w:val="2"/>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r>
      <w:tr>
        <w:trPr/>
        <w:tc>
          <w:tcPr>
            <w:tcW w:w="1970" w:type="dxa"/>
            <w:tcBorders/>
            <w:shd w:fill="auto" w:val="clea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Non-accelerated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970" w:type="dxa"/>
            <w:tcBorders/>
            <w:shd w:fill="auto" w:val="clea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Smaller reporting company</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97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197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r>
        <w:trPr/>
        <w:tc>
          <w:tcPr>
            <w:tcW w:w="1970" w:type="dxa"/>
            <w:tcBorders/>
            <w:shd w:fill="auto" w:val="clea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Emerging growth company</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pPr>
            <w:r>
              <w:rPr/>
              <w:t> </w:t>
            </w:r>
          </w:p>
        </w:tc>
        <w:tc>
          <w:tcPr>
            <w:tcW w:w="197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6"/>
        </w:rPr>
      </w:pPr>
      <w:r>
        <w:rPr>
          <w:rFonts w:ascii="Arial" w:hAnsi="Arial"/>
          <w:b w:val="false"/>
          <w:i w:val="false"/>
          <w:caps w:val="false"/>
          <w:smallCaps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Indicate by check mark whether the Registrant is a shell company (as defined in Rule 12b-2 of the Act).  YES ☐ NO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 xml:space="preserve">The number of shares of Registrant’s Common Stock outstanding as of March 29, 2021 was 82,736,937. </w:t>
      </w:r>
    </w:p>
    <w:p>
      <w:pPr>
        <w:pStyle w:val="TextBody"/>
        <w:spacing w:before="60" w:after="0"/>
        <w:jc w:val="center"/>
        <w:rPr>
          <w:rFonts w:ascii="Arial" w:hAnsi="Arial"/>
          <w:b w:val="false"/>
          <w:i w:val="false"/>
          <w:caps w:val="false"/>
          <w:smallCaps w:val="false"/>
          <w:sz w:val="16"/>
        </w:rPr>
      </w:pPr>
      <w:r>
        <w:rPr>
          <w:rFonts w:ascii="Arial" w:hAnsi="Arial"/>
          <w:b w:val="false"/>
          <w:i w:val="false"/>
          <w:caps w:val="false"/>
          <w:smallCaps w:val="false"/>
          <w:sz w:val="16"/>
        </w:rPr>
        <w:t>DOCUMENTS INCORPORATED BY REFERENCE</w:t>
      </w:r>
    </w:p>
    <w:p>
      <w:pPr>
        <w:pStyle w:val="TextBody"/>
        <w:spacing w:before="60" w:after="0"/>
        <w:rPr>
          <w:rFonts w:ascii="Arial" w:hAnsi="Arial"/>
          <w:b w:val="false"/>
          <w:i w:val="false"/>
          <w:caps w:val="false"/>
          <w:smallCaps w:val="false"/>
          <w:color w:val="000000"/>
          <w:sz w:val="16"/>
        </w:rPr>
      </w:pPr>
      <w:r>
        <w:rPr>
          <w:rFonts w:ascii="Arial" w:hAnsi="Arial"/>
          <w:b w:val="false"/>
          <w:i w:val="false"/>
          <w:caps w:val="false"/>
          <w:smallCaps w:val="false"/>
          <w:color w:val="000000"/>
          <w:sz w:val="16"/>
          <w:highlight w:val="white"/>
        </w:rPr>
        <w:t>Portions of the registrant’s definitive proxy statement for its 2021 Annual Meeting of Stockholders, which the registrant intends to file with the Securities and Exchange Commission within 120 days after the end of the registrant’s fiscal year ended December 31, 2020, are incorporated by reference into Part III of this Annual Report on Form 10-K</w:t>
      </w:r>
      <w:r>
        <w:rPr>
          <w:rFonts w:ascii="Arial" w:hAnsi="Arial"/>
          <w:b w:val="false"/>
          <w:i w:val="false"/>
          <w:caps w:val="false"/>
          <w:smallCaps w:val="false"/>
          <w:color w:val="000000"/>
          <w:sz w:val="18"/>
          <w:highlight w:val="white"/>
        </w:rPr>
        <w:t>.</w:t>
      </w:r>
    </w:p>
    <w:p>
      <w:pPr>
        <w:pStyle w:val="TextBody"/>
        <w:pBdr>
          <w:bottom w:val="double" w:sz="6" w:space="1" w:color="000000"/>
        </w:pBdr>
        <w:spacing w:before="0" w:after="0"/>
        <w:rPr/>
      </w:pPr>
      <w:r>
        <w:rPr/>
        <w:t> </w:t>
      </w:r>
    </w:p>
    <w:p>
      <w:pPr>
        <w:pStyle w:val="TextBody"/>
        <w:spacing w:before="0" w:after="0"/>
        <w:rPr/>
      </w:pPr>
      <w:r>
        <w:rPr/>
        <w:t> </w:t>
      </w:r>
    </w:p>
    <w:p>
      <w:pPr>
        <w:pStyle w:val="TextBody"/>
        <w:spacing w:before="0" w:after="0"/>
        <w:jc w:val="center"/>
        <w:rPr/>
      </w:pPr>
      <w:r>
        <w:rPr/>
        <w:t> </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Table of Contents</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800"/>
        <w:gridCol w:w="8995"/>
        <w:gridCol w:w="410"/>
      </w:tblGrid>
      <w:tr>
        <w:trPr/>
        <w:tc>
          <w:tcPr>
            <w:tcW w:w="80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9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Page</w:t>
            </w:r>
          </w:p>
        </w:tc>
      </w:tr>
      <w:tr>
        <w:trPr/>
        <w:tc>
          <w:tcPr>
            <w:tcW w:w="9795" w:type="dxa"/>
            <w:gridSpan w:val="2"/>
            <w:tcBorders/>
            <w:shd w:fill="FFFFFF" w:val="clear"/>
            <w:tcMar>
              <w:bottom w:w="0" w:type="dxa"/>
            </w:tcMar>
          </w:tcPr>
          <w:p>
            <w:pPr>
              <w:pStyle w:val="TableContents"/>
              <w:shd w:fill="FFFFFF" w:val="clear"/>
              <w:spacing w:before="0" w:after="0"/>
              <w:ind w:left="0" w:right="0" w:hanging="0"/>
              <w:rPr/>
            </w:pPr>
            <w:hyperlink w:anchor="FORWARD_LOOKING">
              <w:r>
                <w:rPr>
                  <w:rStyle w:val="InternetLink"/>
                  <w:rFonts w:ascii="Arial" w:hAnsi="Arial"/>
                  <w:b w:val="false"/>
                  <w:i w:val="false"/>
                  <w:caps w:val="false"/>
                  <w:smallCaps w:val="false"/>
                  <w:sz w:val="20"/>
                  <w:u w:val="single"/>
                </w:rPr>
                <w:t>SPECIAL NOTE REGARDING FORWARD-LOOKING STATEMENTS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ii</w:t>
            </w:r>
          </w:p>
        </w:tc>
      </w:tr>
      <w:tr>
        <w:trPr/>
        <w:tc>
          <w:tcPr>
            <w:tcW w:w="9795" w:type="dxa"/>
            <w:gridSpan w:val="2"/>
            <w:tcBorders/>
            <w:shd w:fill="FFFFFF" w:val="clear"/>
            <w:tcMar>
              <w:bottom w:w="0" w:type="dxa"/>
            </w:tcMar>
          </w:tcPr>
          <w:p>
            <w:pPr>
              <w:pStyle w:val="TableContents"/>
              <w:shd w:fill="FFFFFF" w:val="clear"/>
              <w:spacing w:before="0" w:after="0"/>
              <w:ind w:left="0" w:right="0" w:hanging="0"/>
              <w:rPr/>
            </w:pPr>
            <w:hyperlink w:anchor="SUMMARY_RISK_FACTORS">
              <w:r>
                <w:rPr>
                  <w:rStyle w:val="InternetLink"/>
                  <w:rFonts w:ascii="Arial" w:hAnsi="Arial"/>
                  <w:b w:val="false"/>
                  <w:i w:val="false"/>
                  <w:caps w:val="false"/>
                  <w:smallCaps w:val="false"/>
                  <w:sz w:val="20"/>
                  <w:u w:val="single"/>
                </w:rPr>
                <w:t>SUMMARY RISK FACTORS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iii</w:t>
            </w:r>
          </w:p>
        </w:tc>
      </w:tr>
      <w:tr>
        <w:trPr/>
        <w:tc>
          <w:tcPr>
            <w:tcW w:w="800" w:type="dxa"/>
            <w:tcBorders/>
            <w:shd w:fill="FFFFFF" w:val="clear"/>
            <w:tcMar>
              <w:bottom w:w="0" w:type="dxa"/>
            </w:tcMar>
          </w:tcPr>
          <w:p>
            <w:pPr>
              <w:pStyle w:val="TableContents"/>
              <w:spacing w:before="0" w:after="0"/>
              <w:ind w:left="137" w:right="0" w:hanging="0"/>
              <w:rPr/>
            </w:pPr>
            <w:r>
              <w:rPr/>
              <w:t> </w:t>
            </w:r>
          </w:p>
        </w:tc>
        <w:tc>
          <w:tcPr>
            <w:tcW w:w="8995" w:type="dxa"/>
            <w:tcBorders/>
            <w:shd w:fill="FFFFFF" w:val="clear"/>
            <w:tcMar>
              <w:bottom w:w="0" w:type="dxa"/>
            </w:tcMar>
          </w:tcPr>
          <w:p>
            <w:pPr>
              <w:pStyle w:val="TableContents"/>
              <w:spacing w:before="0" w:after="0"/>
              <w:ind w:left="0" w:right="0" w:hanging="0"/>
              <w:rPr/>
            </w:pPr>
            <w:r>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PART I</w:t>
            </w:r>
          </w:p>
        </w:tc>
        <w:tc>
          <w:tcPr>
            <w:tcW w:w="8995" w:type="dxa"/>
            <w:tcBorders/>
            <w:shd w:fill="FFFFFF" w:val="clear"/>
            <w:tcMar>
              <w:bottom w:w="0" w:type="dxa"/>
            </w:tcMar>
          </w:tcPr>
          <w:p>
            <w:pPr>
              <w:pStyle w:val="TableContents"/>
              <w:spacing w:before="0" w:after="0"/>
              <w:ind w:left="0" w:right="0" w:hanging="0"/>
              <w:rPr/>
            </w:pPr>
            <w:r>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w:t>
            </w:r>
          </w:p>
        </w:tc>
        <w:tc>
          <w:tcPr>
            <w:tcW w:w="8995" w:type="dxa"/>
            <w:tcBorders/>
            <w:shd w:fill="FFFFFF" w:val="clear"/>
            <w:tcMar>
              <w:bottom w:w="0" w:type="dxa"/>
            </w:tcMar>
          </w:tcPr>
          <w:p>
            <w:pPr>
              <w:pStyle w:val="TableContents"/>
              <w:spacing w:before="0" w:after="0"/>
              <w:ind w:left="0" w:right="0" w:hanging="0"/>
              <w:rPr/>
            </w:pPr>
            <w:hyperlink w:anchor="ITEM_1_BUSINESS">
              <w:r>
                <w:rPr>
                  <w:rStyle w:val="InternetLink"/>
                  <w:rFonts w:ascii="Arial" w:hAnsi="Arial"/>
                  <w:b w:val="false"/>
                  <w:i w:val="false"/>
                  <w:caps w:val="false"/>
                  <w:smallCaps w:val="false"/>
                  <w:sz w:val="20"/>
                  <w:u w:val="single"/>
                </w:rPr>
                <w:t>Business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1A.</w:t>
            </w:r>
          </w:p>
        </w:tc>
        <w:tc>
          <w:tcPr>
            <w:tcW w:w="8995" w:type="dxa"/>
            <w:tcBorders/>
            <w:shd w:fill="FFFFFF" w:val="clear"/>
            <w:tcMar>
              <w:bottom w:w="0" w:type="dxa"/>
            </w:tcMar>
          </w:tcPr>
          <w:p>
            <w:pPr>
              <w:pStyle w:val="TableContents"/>
              <w:spacing w:before="0" w:after="0"/>
              <w:ind w:left="0" w:right="0" w:hanging="0"/>
              <w:rPr/>
            </w:pPr>
            <w:hyperlink w:anchor="ITEM_1A_RISK_FACTORS">
              <w:r>
                <w:rPr>
                  <w:rStyle w:val="InternetLink"/>
                  <w:rFonts w:ascii="Arial" w:hAnsi="Arial"/>
                  <w:b w:val="false"/>
                  <w:i w:val="false"/>
                  <w:caps w:val="false"/>
                  <w:smallCaps w:val="false"/>
                  <w:sz w:val="20"/>
                  <w:u w:val="single"/>
                </w:rPr>
                <w:t>Risk Factors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1B.</w:t>
            </w:r>
          </w:p>
        </w:tc>
        <w:tc>
          <w:tcPr>
            <w:tcW w:w="8995" w:type="dxa"/>
            <w:tcBorders/>
            <w:shd w:fill="FFFFFF" w:val="clear"/>
            <w:tcMar>
              <w:bottom w:w="0" w:type="dxa"/>
            </w:tcMar>
          </w:tcPr>
          <w:p>
            <w:pPr>
              <w:pStyle w:val="TableContents"/>
              <w:spacing w:before="0" w:after="0"/>
              <w:ind w:left="0" w:right="0" w:hanging="0"/>
              <w:rPr/>
            </w:pPr>
            <w:hyperlink w:anchor="ITEM_1B_UNRESOLVED_STAFF_COMMENTS">
              <w:r>
                <w:rPr>
                  <w:rStyle w:val="InternetLink"/>
                  <w:rFonts w:ascii="Arial" w:hAnsi="Arial"/>
                  <w:b w:val="false"/>
                  <w:i w:val="false"/>
                  <w:caps w:val="false"/>
                  <w:smallCaps w:val="false"/>
                  <w:sz w:val="20"/>
                  <w:u w:val="single"/>
                </w:rPr>
                <w:t>Unresolved Staff Comments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2.</w:t>
            </w:r>
          </w:p>
        </w:tc>
        <w:tc>
          <w:tcPr>
            <w:tcW w:w="8995" w:type="dxa"/>
            <w:tcBorders/>
            <w:shd w:fill="FFFFFF" w:val="clear"/>
            <w:tcMar>
              <w:bottom w:w="0" w:type="dxa"/>
            </w:tcMar>
          </w:tcPr>
          <w:p>
            <w:pPr>
              <w:pStyle w:val="TableContents"/>
              <w:spacing w:before="0" w:after="0"/>
              <w:ind w:left="0" w:right="0" w:hanging="0"/>
              <w:rPr/>
            </w:pPr>
            <w:hyperlink w:anchor="ITEM_2_PROPERTIES">
              <w:r>
                <w:rPr>
                  <w:rStyle w:val="InternetLink"/>
                  <w:rFonts w:ascii="Arial" w:hAnsi="Arial"/>
                  <w:b w:val="false"/>
                  <w:i w:val="false"/>
                  <w:caps w:val="false"/>
                  <w:smallCaps w:val="false"/>
                  <w:sz w:val="20"/>
                  <w:u w:val="single"/>
                </w:rPr>
                <w:t>Properties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3.</w:t>
            </w:r>
          </w:p>
        </w:tc>
        <w:tc>
          <w:tcPr>
            <w:tcW w:w="8995" w:type="dxa"/>
            <w:tcBorders/>
            <w:shd w:fill="FFFFFF" w:val="clear"/>
            <w:tcMar>
              <w:bottom w:w="0" w:type="dxa"/>
            </w:tcMar>
          </w:tcPr>
          <w:p>
            <w:pPr>
              <w:pStyle w:val="TableContents"/>
              <w:spacing w:before="0" w:after="0"/>
              <w:ind w:left="0" w:right="0" w:hanging="0"/>
              <w:rPr/>
            </w:pPr>
            <w:hyperlink w:anchor="ITEM_3_LEGAL_PROCEEDINGS">
              <w:r>
                <w:rPr>
                  <w:rStyle w:val="InternetLink"/>
                  <w:rFonts w:ascii="Arial" w:hAnsi="Arial"/>
                  <w:b w:val="false"/>
                  <w:i w:val="false"/>
                  <w:caps w:val="false"/>
                  <w:smallCaps w:val="false"/>
                  <w:sz w:val="20"/>
                  <w:u w:val="single"/>
                </w:rPr>
                <w:t>Legal Proceedings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4.</w:t>
            </w:r>
          </w:p>
        </w:tc>
        <w:tc>
          <w:tcPr>
            <w:tcW w:w="8995" w:type="dxa"/>
            <w:tcBorders/>
            <w:shd w:fill="FFFFFF" w:val="clear"/>
            <w:tcMar>
              <w:bottom w:w="0" w:type="dxa"/>
            </w:tcMar>
          </w:tcPr>
          <w:p>
            <w:pPr>
              <w:pStyle w:val="TableContents"/>
              <w:spacing w:before="0" w:after="0"/>
              <w:ind w:left="0" w:right="0" w:hanging="0"/>
              <w:rPr/>
            </w:pPr>
            <w:hyperlink w:anchor="ITEM_4_MINE_SAFETY_DISCLOSURES">
              <w:r>
                <w:rPr>
                  <w:rStyle w:val="InternetLink"/>
                  <w:rFonts w:ascii="Arial" w:hAnsi="Arial"/>
                  <w:b w:val="false"/>
                  <w:i w:val="false"/>
                  <w:caps w:val="false"/>
                  <w:smallCaps w:val="false"/>
                  <w:sz w:val="20"/>
                  <w:u w:val="single"/>
                </w:rPr>
                <w:t>Mine Safety Disclosures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w:t>
            </w:r>
          </w:p>
        </w:tc>
      </w:tr>
      <w:tr>
        <w:trPr/>
        <w:tc>
          <w:tcPr>
            <w:tcW w:w="80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PART II</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5.</w:t>
            </w:r>
          </w:p>
        </w:tc>
        <w:tc>
          <w:tcPr>
            <w:tcW w:w="8995" w:type="dxa"/>
            <w:tcBorders/>
            <w:shd w:fill="FFFFFF" w:val="clear"/>
            <w:tcMar>
              <w:bottom w:w="0" w:type="dxa"/>
            </w:tcMar>
          </w:tcPr>
          <w:p>
            <w:pPr>
              <w:pStyle w:val="TableContents"/>
              <w:spacing w:before="0" w:after="0"/>
              <w:ind w:left="0" w:right="0" w:hanging="0"/>
              <w:rPr/>
            </w:pPr>
            <w:hyperlink w:anchor="ITEM_5_MARKET_FOR_REGISTRANTS_COMMON_EQU">
              <w:r>
                <w:rPr>
                  <w:rStyle w:val="InternetLink"/>
                  <w:rFonts w:ascii="Arial" w:hAnsi="Arial"/>
                  <w:b w:val="false"/>
                  <w:i w:val="false"/>
                  <w:caps w:val="false"/>
                  <w:smallCaps w:val="false"/>
                  <w:sz w:val="20"/>
                  <w:u w:val="single"/>
                </w:rPr>
                <w:t>Market for Registrant’s Common Equity, Related Stockholder Matters and Issuer Purchases of Equity Securities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6.</w:t>
            </w:r>
          </w:p>
        </w:tc>
        <w:tc>
          <w:tcPr>
            <w:tcW w:w="8995" w:type="dxa"/>
            <w:tcBorders/>
            <w:shd w:fill="FFFFFF" w:val="clear"/>
            <w:tcMar>
              <w:bottom w:w="0" w:type="dxa"/>
            </w:tcMar>
          </w:tcPr>
          <w:p>
            <w:pPr>
              <w:pStyle w:val="TableContents"/>
              <w:spacing w:before="0" w:after="0"/>
              <w:ind w:left="0" w:right="0" w:hanging="0"/>
              <w:rPr/>
            </w:pPr>
            <w:hyperlink w:anchor="ITEM_6_SELECTED_FINANCIAL_DATA">
              <w:r>
                <w:rPr>
                  <w:rStyle w:val="InternetLink"/>
                  <w:rFonts w:ascii="Arial" w:hAnsi="Arial"/>
                  <w:b w:val="false"/>
                  <w:i w:val="false"/>
                  <w:caps w:val="false"/>
                  <w:smallCaps w:val="false"/>
                  <w:sz w:val="20"/>
                  <w:u w:val="single"/>
                </w:rPr>
                <w:t>Reserved</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108</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7.</w:t>
            </w:r>
          </w:p>
        </w:tc>
        <w:tc>
          <w:tcPr>
            <w:tcW w:w="8995" w:type="dxa"/>
            <w:tcBorders/>
            <w:shd w:fill="FFFFFF" w:val="clear"/>
            <w:tcMar>
              <w:bottom w:w="0" w:type="dxa"/>
            </w:tcMar>
          </w:tcPr>
          <w:p>
            <w:pPr>
              <w:pStyle w:val="TableContents"/>
              <w:spacing w:before="0" w:after="0"/>
              <w:ind w:left="0" w:right="0" w:hanging="0"/>
              <w:rPr/>
            </w:pPr>
            <w:hyperlink w:anchor="ITEM_7_MANAGEMENTS_DISCUSSION_ANALYSIS_F">
              <w:r>
                <w:rPr>
                  <w:rStyle w:val="InternetLink"/>
                  <w:rFonts w:ascii="Arial" w:hAnsi="Arial"/>
                  <w:b w:val="false"/>
                  <w:i w:val="false"/>
                  <w:caps w:val="false"/>
                  <w:smallCaps w:val="false"/>
                  <w:sz w:val="20"/>
                  <w:u w:val="single"/>
                </w:rPr>
                <w:t>Management’s Discussion and Analysis of Financial Condition and Results of Operations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108</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7A.</w:t>
            </w:r>
          </w:p>
        </w:tc>
        <w:tc>
          <w:tcPr>
            <w:tcW w:w="8995" w:type="dxa"/>
            <w:tcBorders/>
            <w:shd w:fill="FFFFFF" w:val="clear"/>
            <w:tcMar>
              <w:bottom w:w="0" w:type="dxa"/>
            </w:tcMar>
          </w:tcPr>
          <w:p>
            <w:pPr>
              <w:pStyle w:val="TableContents"/>
              <w:spacing w:before="0" w:after="0"/>
              <w:ind w:left="0" w:right="0" w:hanging="0"/>
              <w:rPr/>
            </w:pPr>
            <w:hyperlink w:anchor="ITEM_7A_QUANTITATIVE_QUALITATIVE_DISCLOS">
              <w:r>
                <w:rPr>
                  <w:rStyle w:val="InternetLink"/>
                  <w:rFonts w:ascii="Arial" w:hAnsi="Arial"/>
                  <w:b w:val="false"/>
                  <w:i w:val="false"/>
                  <w:caps w:val="false"/>
                  <w:smallCaps w:val="false"/>
                  <w:sz w:val="20"/>
                  <w:u w:val="single"/>
                </w:rPr>
                <w:t>Quantitative and Qualitative Disclosures About Market Risk</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8.</w:t>
            </w:r>
          </w:p>
        </w:tc>
        <w:tc>
          <w:tcPr>
            <w:tcW w:w="8995" w:type="dxa"/>
            <w:tcBorders/>
            <w:shd w:fill="FFFFFF" w:val="clear"/>
            <w:tcMar>
              <w:bottom w:w="0" w:type="dxa"/>
            </w:tcMar>
          </w:tcPr>
          <w:p>
            <w:pPr>
              <w:pStyle w:val="TableContents"/>
              <w:spacing w:before="0" w:after="0"/>
              <w:ind w:left="0" w:right="0" w:hanging="0"/>
              <w:rPr/>
            </w:pPr>
            <w:hyperlink w:anchor="ITEM_8_FINANCIAL_STATEMENTS_SUPPLEMENTAR">
              <w:r>
                <w:rPr>
                  <w:rStyle w:val="InternetLink"/>
                  <w:rFonts w:ascii="Arial" w:hAnsi="Arial"/>
                  <w:b w:val="false"/>
                  <w:i w:val="false"/>
                  <w:caps w:val="false"/>
                  <w:smallCaps w:val="false"/>
                  <w:sz w:val="20"/>
                  <w:u w:val="single"/>
                </w:rPr>
                <w:t>Financial Statements and Supplementary Data</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9.</w:t>
            </w:r>
          </w:p>
        </w:tc>
        <w:tc>
          <w:tcPr>
            <w:tcW w:w="8995" w:type="dxa"/>
            <w:tcBorders/>
            <w:shd w:fill="FFFFFF" w:val="clear"/>
            <w:tcMar>
              <w:bottom w:w="0" w:type="dxa"/>
            </w:tcMar>
          </w:tcPr>
          <w:p>
            <w:pPr>
              <w:pStyle w:val="TableContents"/>
              <w:spacing w:before="0" w:after="0"/>
              <w:ind w:left="0" w:right="0" w:hanging="0"/>
              <w:rPr/>
            </w:pPr>
            <w:hyperlink w:anchor="ITEM_9_CHANGES_IN_DISAGREEMENTS_WITH_ACC">
              <w:r>
                <w:rPr>
                  <w:rStyle w:val="InternetLink"/>
                  <w:rFonts w:ascii="Arial" w:hAnsi="Arial"/>
                  <w:b w:val="false"/>
                  <w:i w:val="false"/>
                  <w:caps w:val="false"/>
                  <w:smallCaps w:val="false"/>
                  <w:sz w:val="20"/>
                  <w:u w:val="single"/>
                </w:rPr>
                <w:t>Changes in and Disagreements with Accountants on Accounting and Financial Disclosure</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9A.</w:t>
            </w:r>
          </w:p>
        </w:tc>
        <w:tc>
          <w:tcPr>
            <w:tcW w:w="8995" w:type="dxa"/>
            <w:tcBorders/>
            <w:shd w:fill="FFFFFF" w:val="clear"/>
            <w:tcMar>
              <w:bottom w:w="0" w:type="dxa"/>
            </w:tcMar>
          </w:tcPr>
          <w:p>
            <w:pPr>
              <w:pStyle w:val="TableContents"/>
              <w:spacing w:before="0" w:after="0"/>
              <w:ind w:left="0" w:right="0" w:hanging="0"/>
              <w:rPr/>
            </w:pPr>
            <w:hyperlink w:anchor="ITEM_9A_CONTROLS_PROCEDURES">
              <w:r>
                <w:rPr>
                  <w:rStyle w:val="InternetLink"/>
                  <w:rFonts w:ascii="Arial" w:hAnsi="Arial"/>
                  <w:b w:val="false"/>
                  <w:i w:val="false"/>
                  <w:caps w:val="false"/>
                  <w:smallCaps w:val="false"/>
                  <w:sz w:val="20"/>
                  <w:u w:val="single"/>
                </w:rPr>
                <w:t>Controls and Procedures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9B.</w:t>
            </w:r>
          </w:p>
        </w:tc>
        <w:tc>
          <w:tcPr>
            <w:tcW w:w="8995" w:type="dxa"/>
            <w:tcBorders/>
            <w:shd w:fill="FFFFFF" w:val="clear"/>
            <w:tcMar>
              <w:bottom w:w="0" w:type="dxa"/>
            </w:tcMar>
          </w:tcPr>
          <w:p>
            <w:pPr>
              <w:pStyle w:val="TableContents"/>
              <w:spacing w:before="0" w:after="0"/>
              <w:ind w:left="0" w:right="0" w:hanging="0"/>
              <w:rPr/>
            </w:pPr>
            <w:hyperlink w:anchor="ITEM_9B_OR_INFORMATION">
              <w:r>
                <w:rPr>
                  <w:rStyle w:val="InternetLink"/>
                  <w:rFonts w:ascii="Arial" w:hAnsi="Arial"/>
                  <w:b w:val="false"/>
                  <w:i w:val="false"/>
                  <w:caps w:val="false"/>
                  <w:smallCaps w:val="false"/>
                  <w:sz w:val="20"/>
                  <w:u w:val="single"/>
                </w:rPr>
                <w:t>Other Information</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w:t>
            </w:r>
          </w:p>
        </w:tc>
      </w:tr>
      <w:tr>
        <w:trPr/>
        <w:tc>
          <w:tcPr>
            <w:tcW w:w="80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PART III</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10.</w:t>
            </w:r>
          </w:p>
        </w:tc>
        <w:tc>
          <w:tcPr>
            <w:tcW w:w="8995" w:type="dxa"/>
            <w:tcBorders/>
            <w:shd w:fill="FFFFFF" w:val="clear"/>
            <w:tcMar>
              <w:bottom w:w="0" w:type="dxa"/>
            </w:tcMar>
          </w:tcPr>
          <w:p>
            <w:pPr>
              <w:pStyle w:val="TableContents"/>
              <w:spacing w:before="0" w:after="0"/>
              <w:ind w:left="0" w:right="0" w:hanging="0"/>
              <w:rPr/>
            </w:pPr>
            <w:hyperlink w:anchor="ITEM_10_DIRECTORS_EXECUTIVE_FICERS_CORPO">
              <w:r>
                <w:rPr>
                  <w:rStyle w:val="InternetLink"/>
                  <w:rFonts w:ascii="Arial" w:hAnsi="Arial"/>
                  <w:b w:val="false"/>
                  <w:i w:val="false"/>
                  <w:caps w:val="false"/>
                  <w:smallCaps w:val="false"/>
                  <w:sz w:val="20"/>
                  <w:u w:val="single"/>
                </w:rPr>
                <w:t>Directors, Executive Officers and Corporate Governance</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122</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11.</w:t>
            </w:r>
          </w:p>
        </w:tc>
        <w:tc>
          <w:tcPr>
            <w:tcW w:w="8995" w:type="dxa"/>
            <w:tcBorders/>
            <w:shd w:fill="FFFFFF" w:val="clear"/>
            <w:tcMar>
              <w:bottom w:w="0" w:type="dxa"/>
            </w:tcMar>
          </w:tcPr>
          <w:p>
            <w:pPr>
              <w:pStyle w:val="TableContents"/>
              <w:spacing w:before="0" w:after="0"/>
              <w:ind w:left="0" w:right="0" w:hanging="0"/>
              <w:rPr/>
            </w:pPr>
            <w:hyperlink w:anchor="ITEM_11_EXECUTIVE_COMPENSATION">
              <w:r>
                <w:rPr>
                  <w:rStyle w:val="InternetLink"/>
                  <w:rFonts w:ascii="Arial" w:hAnsi="Arial"/>
                  <w:b w:val="false"/>
                  <w:i w:val="false"/>
                  <w:caps w:val="false"/>
                  <w:smallCaps w:val="false"/>
                  <w:sz w:val="20"/>
                  <w:u w:val="single"/>
                </w:rPr>
                <w:t>Executive Compensation</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122</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12.</w:t>
            </w:r>
          </w:p>
        </w:tc>
        <w:tc>
          <w:tcPr>
            <w:tcW w:w="8995" w:type="dxa"/>
            <w:tcBorders/>
            <w:shd w:fill="FFFFFF" w:val="clear"/>
            <w:tcMar>
              <w:bottom w:w="0" w:type="dxa"/>
            </w:tcMar>
          </w:tcPr>
          <w:p>
            <w:pPr>
              <w:pStyle w:val="TableContents"/>
              <w:spacing w:before="0" w:after="0"/>
              <w:ind w:left="0" w:right="0" w:hanging="0"/>
              <w:rPr/>
            </w:pPr>
            <w:hyperlink w:anchor="ITEM_12_SECURITY_OWNERSHIP_CERTAIN_BENEF">
              <w:r>
                <w:rPr>
                  <w:rStyle w:val="InternetLink"/>
                  <w:rFonts w:ascii="Arial" w:hAnsi="Arial"/>
                  <w:b w:val="false"/>
                  <w:i w:val="false"/>
                  <w:caps w:val="false"/>
                  <w:smallCaps w:val="false"/>
                  <w:sz w:val="20"/>
                  <w:u w:val="single"/>
                </w:rPr>
                <w:t>Security Ownership of Certain Beneficial Owners and Management and Related Stockholder Matters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122</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13.</w:t>
            </w:r>
          </w:p>
        </w:tc>
        <w:tc>
          <w:tcPr>
            <w:tcW w:w="8995" w:type="dxa"/>
            <w:tcBorders/>
            <w:shd w:fill="FFFFFF" w:val="clear"/>
            <w:tcMar>
              <w:bottom w:w="0" w:type="dxa"/>
            </w:tcMar>
          </w:tcPr>
          <w:p>
            <w:pPr>
              <w:pStyle w:val="TableContents"/>
              <w:spacing w:before="0" w:after="0"/>
              <w:ind w:left="0" w:right="0" w:hanging="0"/>
              <w:rPr/>
            </w:pPr>
            <w:hyperlink w:anchor="ITEM_13_CERTAIN_RELATIONSHIPS_RELATED_TR">
              <w:r>
                <w:rPr>
                  <w:rStyle w:val="InternetLink"/>
                  <w:rFonts w:ascii="Arial" w:hAnsi="Arial"/>
                  <w:b w:val="false"/>
                  <w:i w:val="false"/>
                  <w:caps w:val="false"/>
                  <w:smallCaps w:val="false"/>
                  <w:sz w:val="20"/>
                  <w:u w:val="single"/>
                </w:rPr>
                <w:t>Certain Relationships and Related Transactions, and Director Independence</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122</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14.</w:t>
            </w:r>
          </w:p>
        </w:tc>
        <w:tc>
          <w:tcPr>
            <w:tcW w:w="8995" w:type="dxa"/>
            <w:tcBorders/>
            <w:shd w:fill="FFFFFF" w:val="clear"/>
            <w:tcMar>
              <w:bottom w:w="0" w:type="dxa"/>
            </w:tcMar>
          </w:tcPr>
          <w:p>
            <w:pPr>
              <w:pStyle w:val="TableContents"/>
              <w:spacing w:before="0" w:after="0"/>
              <w:ind w:left="0" w:right="0" w:hanging="0"/>
              <w:rPr/>
            </w:pPr>
            <w:hyperlink w:anchor="ITEM_14_PRINCIPAL_ACCOUNTING_FEES_SERVIC">
              <w:r>
                <w:rPr>
                  <w:rStyle w:val="InternetLink"/>
                  <w:rFonts w:ascii="Arial" w:hAnsi="Arial"/>
                  <w:b w:val="false"/>
                  <w:i w:val="false"/>
                  <w:caps w:val="false"/>
                  <w:smallCaps w:val="false"/>
                  <w:sz w:val="20"/>
                  <w:u w:val="single"/>
                </w:rPr>
                <w:t>Principal Accountant Fees and Services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122</w:t>
            </w:r>
          </w:p>
        </w:tc>
      </w:tr>
      <w:tr>
        <w:trPr/>
        <w:tc>
          <w:tcPr>
            <w:tcW w:w="80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PART IV</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15.</w:t>
            </w:r>
          </w:p>
        </w:tc>
        <w:tc>
          <w:tcPr>
            <w:tcW w:w="8995" w:type="dxa"/>
            <w:tcBorders/>
            <w:shd w:fill="FFFFFF" w:val="clear"/>
            <w:tcMar>
              <w:bottom w:w="0" w:type="dxa"/>
            </w:tcMar>
          </w:tcPr>
          <w:p>
            <w:pPr>
              <w:pStyle w:val="TableContents"/>
              <w:spacing w:before="0" w:after="0"/>
              <w:ind w:left="0" w:right="0" w:hanging="0"/>
              <w:rPr/>
            </w:pPr>
            <w:hyperlink w:anchor="ITEM_15_EXHIBITS_FINANCIAL_STATEMENT_SCH">
              <w:r>
                <w:rPr>
                  <w:rStyle w:val="InternetLink"/>
                  <w:rFonts w:ascii="Arial" w:hAnsi="Arial"/>
                  <w:b w:val="false"/>
                  <w:i w:val="false"/>
                  <w:caps w:val="false"/>
                  <w:smallCaps w:val="false"/>
                  <w:sz w:val="20"/>
                  <w:u w:val="single"/>
                </w:rPr>
                <w:t>Exhibits, Financial Statement Schedules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123</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16</w:t>
            </w:r>
          </w:p>
        </w:tc>
        <w:tc>
          <w:tcPr>
            <w:tcW w:w="8995" w:type="dxa"/>
            <w:tcBorders/>
            <w:shd w:fill="FFFFFF" w:val="clear"/>
            <w:tcMar>
              <w:bottom w:w="0" w:type="dxa"/>
            </w:tcMar>
          </w:tcPr>
          <w:p>
            <w:pPr>
              <w:pStyle w:val="TableContents"/>
              <w:spacing w:before="0" w:after="0"/>
              <w:ind w:left="0" w:right="0" w:hanging="0"/>
              <w:rPr/>
            </w:pPr>
            <w:hyperlink w:anchor="ITEM_16_FORM_10K_SUMMARY">
              <w:r>
                <w:rPr>
                  <w:rStyle w:val="InternetLink"/>
                  <w:rFonts w:ascii="Arial" w:hAnsi="Arial"/>
                  <w:b w:val="false"/>
                  <w:i w:val="false"/>
                  <w:caps w:val="false"/>
                  <w:smallCaps w:val="false"/>
                  <w:sz w:val="20"/>
                  <w:u w:val="single"/>
                </w:rPr>
                <w:t>Form 10-K Summary</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124</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i</w:t>
      </w:r>
    </w:p>
    <w:p>
      <w:pPr>
        <w:pStyle w:val="HorizontalLine"/>
        <w:rPr/>
      </w:pPr>
      <w:r>
        <w:rPr/>
      </w:r>
    </w:p>
    <w:p>
      <w:pPr>
        <w:pStyle w:val="TextBody"/>
        <w:spacing w:before="0" w:after="0"/>
        <w:rPr/>
      </w:pPr>
      <w:r>
        <w:rPr/>
        <w:t> </w:t>
      </w:r>
    </w:p>
    <w:p>
      <w:pPr>
        <w:pStyle w:val="TextBody"/>
        <w:shd w:fill="FFFFFF" w:val="clear"/>
        <w:spacing w:before="0" w:after="0"/>
        <w:jc w:val="center"/>
        <w:rPr>
          <w:rFonts w:ascii="Arial" w:hAnsi="Arial"/>
          <w:b/>
          <w:i w:val="false"/>
          <w:caps w:val="false"/>
          <w:smallCaps w:val="false"/>
          <w:color w:val="000000"/>
          <w:sz w:val="20"/>
        </w:rPr>
      </w:pPr>
      <w:bookmarkStart w:id="2" w:name="FORWARD_LOOKING1"/>
      <w:bookmarkEnd w:id="2"/>
      <w:r>
        <w:rPr>
          <w:rFonts w:ascii="Arial" w:hAnsi="Arial"/>
          <w:b/>
          <w:i w:val="false"/>
          <w:caps w:val="false"/>
          <w:smallCaps w:val="false"/>
          <w:color w:val="000000"/>
          <w:sz w:val="20"/>
        </w:rPr>
        <w:t>SPECIAL NOTE REGARDING F</w:t>
      </w:r>
      <w:bookmarkStart w:id="3" w:name="FORWARD_LOOKING"/>
      <w:bookmarkEnd w:id="3"/>
      <w:r>
        <w:rPr>
          <w:rFonts w:ascii="Arial" w:hAnsi="Arial"/>
          <w:b/>
          <w:i w:val="false"/>
          <w:caps w:val="false"/>
          <w:smallCaps w:val="false"/>
          <w:color w:val="000000"/>
          <w:sz w:val="20"/>
        </w:rPr>
        <w:t>ORWARD-LOOKING STATEMENTS</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Annual Report on Form 10-K contains forward-looking statements. We make such forward-looking statements pursuant to the safe harbor provisions of the Private Securities Litigation Reform Act of 1995 and other federal securities laws. Forward-looking statements are neither historical facts nor assurances of future performance. Instead, they are based on our current beliefs, expectations and assumptions regarding the future of our business, future plans and strategies, our clinical results and other future conditions. The words “aim,” “anticipate,” “believe,” “contemplate,” “continue,” “could,” “estimate,” “expect,” “goal,” “intend,” “may,” "on track," “plan,” “possible,” “potential,” “predict,” “project,” “seek,” “should,” “target,” “will,” “would” or the negative of these terms or other similar expressions are intended to identify forward-looking statements, although not all forward-looking statements contain these identifying words.</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forward-looking statements include, among other things, statements about:</w:t>
      </w:r>
    </w:p>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our expectations relating to clinical trials for our product candidates, including projected costs, study designs or the timing for initiation, recruitment, completion, or reporting top-line data;</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0" w:after="0"/>
              <w:jc w:val="left"/>
              <w:rPr>
                <w:rFonts w:ascii="Arial" w:hAnsi="Arial"/>
                <w:b w:val="false"/>
                <w:i w:val="false"/>
                <w:caps w:val="false"/>
                <w:smallCaps w:val="false"/>
                <w:color w:val="2E2E2E"/>
                <w:spacing w:val="0"/>
                <w:sz w:val="20"/>
              </w:rPr>
            </w:pPr>
            <w:r>
              <w:rPr>
                <w:rFonts w:ascii="Arial" w:hAnsi="Arial"/>
                <w:b w:val="false"/>
                <w:i w:val="false"/>
                <w:caps w:val="false"/>
                <w:smallCaps w:val="false"/>
                <w:color w:val="2E2E2E"/>
                <w:spacing w:val="0"/>
                <w:sz w:val="20"/>
              </w:rPr>
              <w:t>the potential therapeutic benefits of our product candidates and the potential indications and market opportunities therefor;</w:t>
            </w:r>
          </w:p>
        </w:tc>
      </w:tr>
    </w:tbl>
    <w:tbl>
      <w:tblPr>
        <w:tblW w:w="6385" w:type="dxa"/>
        <w:jc w:val="left"/>
        <w:tblInd w:w="0" w:type="dxa"/>
        <w:tblCellMar>
          <w:top w:w="0" w:type="dxa"/>
          <w:left w:w="0" w:type="dxa"/>
          <w:bottom w:w="0" w:type="dxa"/>
          <w:right w:w="0" w:type="dxa"/>
        </w:tblCellMar>
      </w:tblPr>
      <w:tblGrid>
        <w:gridCol w:w="60"/>
        <w:gridCol w:w="110"/>
        <w:gridCol w:w="621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6215" w:type="dxa"/>
            <w:tcBorders/>
            <w:shd w:fill="auto" w:val="clear"/>
          </w:tcPr>
          <w:p>
            <w:pPr>
              <w:pStyle w:val="TableContents"/>
              <w:shd w:fill="FFFFFF" w:val="clear"/>
              <w:spacing w:before="0" w:after="0"/>
              <w:jc w:val="left"/>
              <w:rPr>
                <w:rFonts w:ascii="Arial" w:hAnsi="Arial"/>
                <w:b w:val="false"/>
                <w:i w:val="false"/>
                <w:caps w:val="false"/>
                <w:smallCaps w:val="false"/>
                <w:color w:val="2E2E2E"/>
                <w:spacing w:val="0"/>
                <w:sz w:val="20"/>
              </w:rPr>
            </w:pPr>
            <w:r>
              <w:rPr>
                <w:rFonts w:ascii="Arial" w:hAnsi="Arial"/>
                <w:b w:val="false"/>
                <w:i w:val="false"/>
                <w:caps w:val="false"/>
                <w:smallCaps w:val="false"/>
                <w:color w:val="2E2E2E"/>
                <w:spacing w:val="0"/>
                <w:sz w:val="20"/>
              </w:rPr>
              <w:t>the safety profile and related adverse events of our product candidates;</w:t>
            </w:r>
          </w:p>
        </w:tc>
      </w:tr>
    </w:tbl>
    <w:tbl>
      <w:tblPr>
        <w:tblW w:w="8200" w:type="dxa"/>
        <w:jc w:val="left"/>
        <w:tblInd w:w="0" w:type="dxa"/>
        <w:tblCellMar>
          <w:top w:w="0" w:type="dxa"/>
          <w:left w:w="0" w:type="dxa"/>
          <w:bottom w:w="0" w:type="dxa"/>
          <w:right w:w="0" w:type="dxa"/>
        </w:tblCellMar>
      </w:tblPr>
      <w:tblGrid>
        <w:gridCol w:w="60"/>
        <w:gridCol w:w="110"/>
        <w:gridCol w:w="8030"/>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8030"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our plans to research, develop and commercialize our current and future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the potential benefits of our collaboration with Roche or any future collaboration we may enter into with Roche or others;</w:t>
            </w:r>
          </w:p>
        </w:tc>
      </w:tr>
    </w:tbl>
    <w:tbl>
      <w:tblPr>
        <w:tblW w:w="8725" w:type="dxa"/>
        <w:jc w:val="left"/>
        <w:tblInd w:w="0" w:type="dxa"/>
        <w:tblCellMar>
          <w:top w:w="0" w:type="dxa"/>
          <w:left w:w="0" w:type="dxa"/>
          <w:bottom w:w="0" w:type="dxa"/>
          <w:right w:w="0" w:type="dxa"/>
        </w:tblCellMar>
      </w:tblPr>
      <w:tblGrid>
        <w:gridCol w:w="60"/>
        <w:gridCol w:w="110"/>
        <w:gridCol w:w="855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855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the timing of and our ability to obtain and maintain regulatory approvals for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the rate and degree of market acceptance and clinical utility of any products for which we may receive marketing approval;</w:t>
            </w:r>
          </w:p>
        </w:tc>
      </w:tr>
    </w:tbl>
    <w:tbl>
      <w:tblPr>
        <w:tblW w:w="6970" w:type="dxa"/>
        <w:jc w:val="left"/>
        <w:tblInd w:w="0" w:type="dxa"/>
        <w:tblCellMar>
          <w:top w:w="0" w:type="dxa"/>
          <w:left w:w="0" w:type="dxa"/>
          <w:bottom w:w="0" w:type="dxa"/>
          <w:right w:w="0" w:type="dxa"/>
        </w:tblCellMar>
      </w:tblPr>
      <w:tblGrid>
        <w:gridCol w:w="60"/>
        <w:gridCol w:w="110"/>
        <w:gridCol w:w="6800"/>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6800"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our commercialization, marketing and manufacturing capabilities and strategy;</w:t>
            </w:r>
          </w:p>
        </w:tc>
      </w:tr>
    </w:tbl>
    <w:tbl>
      <w:tblPr>
        <w:tblW w:w="6760" w:type="dxa"/>
        <w:jc w:val="left"/>
        <w:tblInd w:w="0" w:type="dxa"/>
        <w:tblCellMar>
          <w:top w:w="0" w:type="dxa"/>
          <w:left w:w="0" w:type="dxa"/>
          <w:bottom w:w="0" w:type="dxa"/>
          <w:right w:w="0" w:type="dxa"/>
        </w:tblCellMar>
      </w:tblPr>
      <w:tblGrid>
        <w:gridCol w:w="60"/>
        <w:gridCol w:w="110"/>
        <w:gridCol w:w="6590"/>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6590"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our estimates regarding future revenue, expenses and results of operations;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the progress of, timing of and amount of expenses associated with our research, development and commercialization activities;</w:t>
            </w:r>
          </w:p>
        </w:tc>
      </w:tr>
    </w:tbl>
    <w:tbl>
      <w:tblPr>
        <w:tblW w:w="7435" w:type="dxa"/>
        <w:jc w:val="left"/>
        <w:tblInd w:w="0" w:type="dxa"/>
        <w:tblCellMar>
          <w:top w:w="0" w:type="dxa"/>
          <w:left w:w="0" w:type="dxa"/>
          <w:bottom w:w="0" w:type="dxa"/>
          <w:right w:w="0" w:type="dxa"/>
        </w:tblCellMar>
      </w:tblPr>
      <w:tblGrid>
        <w:gridCol w:w="60"/>
        <w:gridCol w:w="110"/>
        <w:gridCol w:w="726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726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our future financial position, capital requirements and needs for additional financing;</w:t>
            </w:r>
          </w:p>
        </w:tc>
      </w:tr>
    </w:tbl>
    <w:tbl>
      <w:tblPr>
        <w:tblW w:w="2125" w:type="dxa"/>
        <w:jc w:val="left"/>
        <w:tblInd w:w="0" w:type="dxa"/>
        <w:tblCellMar>
          <w:top w:w="0" w:type="dxa"/>
          <w:left w:w="0" w:type="dxa"/>
          <w:bottom w:w="0" w:type="dxa"/>
          <w:right w:w="0" w:type="dxa"/>
        </w:tblCellMar>
      </w:tblPr>
      <w:tblGrid>
        <w:gridCol w:w="60"/>
        <w:gridCol w:w="110"/>
        <w:gridCol w:w="195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195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our business strategy;</w:t>
            </w:r>
          </w:p>
        </w:tc>
      </w:tr>
    </w:tbl>
    <w:tbl>
      <w:tblPr>
        <w:tblW w:w="8470" w:type="dxa"/>
        <w:jc w:val="left"/>
        <w:tblInd w:w="0" w:type="dxa"/>
        <w:tblCellMar>
          <w:top w:w="0" w:type="dxa"/>
          <w:left w:w="0" w:type="dxa"/>
          <w:bottom w:w="0" w:type="dxa"/>
          <w:right w:w="0" w:type="dxa"/>
        </w:tblCellMar>
      </w:tblPr>
      <w:tblGrid>
        <w:gridCol w:w="60"/>
        <w:gridCol w:w="110"/>
        <w:gridCol w:w="8300"/>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8300"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developments relating to our competitors, competing treatments and vaccines and our industry;</w:t>
            </w:r>
          </w:p>
        </w:tc>
      </w:tr>
    </w:tbl>
    <w:tbl>
      <w:tblPr>
        <w:tblW w:w="6655" w:type="dxa"/>
        <w:jc w:val="left"/>
        <w:tblInd w:w="0" w:type="dxa"/>
        <w:tblCellMar>
          <w:top w:w="0" w:type="dxa"/>
          <w:left w:w="0" w:type="dxa"/>
          <w:bottom w:w="0" w:type="dxa"/>
          <w:right w:w="0" w:type="dxa"/>
        </w:tblCellMar>
      </w:tblPr>
      <w:tblGrid>
        <w:gridCol w:w="60"/>
        <w:gridCol w:w="110"/>
        <w:gridCol w:w="648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648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our expectations regarding federal, state and foreign laws and regulations; </w:t>
            </w:r>
          </w:p>
        </w:tc>
      </w:tr>
    </w:tbl>
    <w:tbl>
      <w:tblPr>
        <w:tblW w:w="5425" w:type="dxa"/>
        <w:jc w:val="left"/>
        <w:tblInd w:w="0" w:type="dxa"/>
        <w:tblCellMar>
          <w:top w:w="0" w:type="dxa"/>
          <w:left w:w="0" w:type="dxa"/>
          <w:bottom w:w="0" w:type="dxa"/>
          <w:right w:w="0" w:type="dxa"/>
        </w:tblCellMar>
      </w:tblPr>
      <w:tblGrid>
        <w:gridCol w:w="60"/>
        <w:gridCol w:w="110"/>
        <w:gridCol w:w="525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5255" w:type="dxa"/>
            <w:tcBorders/>
            <w:shd w:fill="auto" w:val="clear"/>
          </w:tcPr>
          <w:p>
            <w:pPr>
              <w:pStyle w:val="TableContents"/>
              <w:shd w:fill="FFFFFF" w:val="clear"/>
              <w:spacing w:before="0" w:after="0"/>
              <w:jc w:val="left"/>
              <w:rPr>
                <w:rFonts w:ascii="Arial" w:hAnsi="Arial"/>
                <w:b w:val="false"/>
                <w:i w:val="false"/>
                <w:caps w:val="false"/>
                <w:smallCaps w:val="false"/>
                <w:color w:val="2E2E2E"/>
                <w:spacing w:val="0"/>
                <w:sz w:val="20"/>
              </w:rPr>
            </w:pPr>
            <w:r>
              <w:rPr>
                <w:rFonts w:ascii="Arial" w:hAnsi="Arial"/>
                <w:b w:val="false"/>
                <w:i w:val="false"/>
                <w:caps w:val="false"/>
                <w:smallCaps w:val="false"/>
                <w:color w:val="2E2E2E"/>
                <w:spacing w:val="0"/>
                <w:sz w:val="20"/>
              </w:rPr>
              <w:t>our ability to attract, motivate, and retain key personnel; and</w:t>
            </w:r>
          </w:p>
        </w:tc>
      </w:tr>
    </w:tbl>
    <w:tbl>
      <w:tblPr>
        <w:tblW w:w="8125" w:type="dxa"/>
        <w:jc w:val="left"/>
        <w:tblInd w:w="0" w:type="dxa"/>
        <w:tblCellMar>
          <w:top w:w="0" w:type="dxa"/>
          <w:left w:w="0" w:type="dxa"/>
          <w:bottom w:w="0" w:type="dxa"/>
          <w:right w:w="0" w:type="dxa"/>
        </w:tblCellMar>
      </w:tblPr>
      <w:tblGrid>
        <w:gridCol w:w="60"/>
        <w:gridCol w:w="110"/>
        <w:gridCol w:w="795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795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the impact of COVID-19 on our business, including our preclinical studies and clinical trials.</w:t>
            </w:r>
          </w:p>
        </w:tc>
      </w:tr>
    </w:tbl>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the initiation, execution and completion of clinical trials, uncertainties surrounding the timing of availability of data from our clinical trials, ongoing discussions with and actions by regulatory authorities, our development activities and those other factors we discuss in Part I, Item 1A. “Risk Factors.” You should read these factors and the other cautionary statements made in this report as being applicable to all related forward-looking statements wherever they appear in this report. These risk factors are not exhaustive and other sections of this report may include additional factors which could adversely impact our business and financial performance.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As used in this Annual Report on Form 10-K, unless otherwise specified or the context otherwise requires, the terms “we,” “our,” “us,” the “Company” refer to Atea Pharmaceuticals, Inc. and its subsidiary.  All brand names or trademarks appearing in this Annual Report on Form 10-K are the property of their respective owners. </w:t>
      </w:r>
    </w:p>
    <w:p>
      <w:pPr>
        <w:pStyle w:val="TextBody"/>
        <w:spacing w:before="240" w:after="0"/>
        <w:jc w:val="center"/>
        <w:rPr>
          <w:rFonts w:ascii="Arial" w:hAnsi="Arial"/>
          <w:b w:val="false"/>
          <w:i w:val="false"/>
          <w:caps w:val="false"/>
          <w:smallCaps w:val="false"/>
          <w:sz w:val="20"/>
        </w:rPr>
      </w:pPr>
      <w:bookmarkStart w:id="4" w:name="_AEIOULastRenderedPageBreakAEIOU2"/>
      <w:bookmarkEnd w:id="4"/>
      <w:r>
        <w:rPr>
          <w:rFonts w:ascii="Arial" w:hAnsi="Arial"/>
          <w:b w:val="false"/>
          <w:i w:val="false"/>
          <w:caps w:val="false"/>
          <w:smallCaps w:val="false"/>
          <w:sz w:val="20"/>
        </w:rPr>
        <w:t>ii</w:t>
      </w:r>
    </w:p>
    <w:p>
      <w:pPr>
        <w:pStyle w:val="HorizontalLine"/>
        <w:rPr/>
      </w:pPr>
      <w:r>
        <w:rPr/>
      </w:r>
    </w:p>
    <w:p>
      <w:pPr>
        <w:pStyle w:val="TextBody"/>
        <w:shd w:fill="FFFFFF" w:val="clear"/>
        <w:spacing w:before="0" w:after="0"/>
        <w:rPr>
          <w:rFonts w:ascii="Arial" w:hAnsi="Arial"/>
          <w:b/>
          <w:i w:val="false"/>
          <w:caps w:val="false"/>
          <w:smallCaps w:val="false"/>
          <w:color w:val="000000"/>
          <w:sz w:val="20"/>
        </w:rPr>
      </w:pPr>
      <w:bookmarkStart w:id="5" w:name="SUMMARY_RISK_FACTORS"/>
      <w:bookmarkEnd w:id="5"/>
      <w:r>
        <w:rPr>
          <w:rFonts w:ascii="Arial" w:hAnsi="Arial"/>
          <w:b/>
          <w:i w:val="false"/>
          <w:caps w:val="false"/>
          <w:smallCaps w:val="false"/>
          <w:color w:val="000000"/>
          <w:sz w:val="20"/>
        </w:rPr>
        <w:t>SUMMARY RISK FACTORS</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business is subject to numerous risks and uncertainties, including those described in Part I, Item 1A. “Risk Factors” in this Annual Report on Form 10-K. The principal risks and uncertainties affecting our business include the following:</w:t>
      </w:r>
    </w:p>
    <w:p>
      <w:pPr>
        <w:pStyle w:val="TextBody"/>
        <w:shd w:fill="FFFFFF" w:val="clear"/>
        <w:spacing w:before="0" w:after="0"/>
        <w:rPr/>
      </w:pPr>
      <w:r>
        <w:rPr/>
        <w:t> </w:t>
      </w:r>
    </w:p>
    <w:tbl>
      <w:tblPr>
        <w:tblW w:w="9385" w:type="dxa"/>
        <w:jc w:val="left"/>
        <w:tblInd w:w="0" w:type="dxa"/>
        <w:tblCellMar>
          <w:top w:w="0" w:type="dxa"/>
          <w:left w:w="0" w:type="dxa"/>
          <w:bottom w:w="0" w:type="dxa"/>
          <w:right w:w="0" w:type="dxa"/>
        </w:tblCellMar>
      </w:tblPr>
      <w:tblGrid>
        <w:gridCol w:w="60"/>
        <w:gridCol w:w="110"/>
        <w:gridCol w:w="921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921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There is significant uncertainty around our development of AT-527 as a potential treatment for COVID-19. </w:t>
            </w:r>
          </w:p>
        </w:tc>
      </w:tr>
    </w:tbl>
    <w:tbl>
      <w:tblPr>
        <w:tblW w:w="7195" w:type="dxa"/>
        <w:jc w:val="left"/>
        <w:tblInd w:w="0" w:type="dxa"/>
        <w:tblCellMar>
          <w:top w:w="0" w:type="dxa"/>
          <w:left w:w="0" w:type="dxa"/>
          <w:bottom w:w="0" w:type="dxa"/>
          <w:right w:w="0" w:type="dxa"/>
        </w:tblCellMar>
      </w:tblPr>
      <w:tblGrid>
        <w:gridCol w:w="60"/>
        <w:gridCol w:w="110"/>
        <w:gridCol w:w="702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702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We are highly dependent on our management, directors and other key personnel.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may expend resources in anticipation of potential clinical trials and commercialization of AT-527, which we may not be able to recover if AT-527 is not approved for the treatment of COVID-19 or we are not successful at commercializing AT-527.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The market for therapeutics for the treatment of COVID-19 may be reduced, perhaps significantly, if vaccines are effective and widely accepted.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AT-527 may face significant competition from other treatments for COVID-19 that are currently marketed or are in development.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The COVID-19 pandemic may materially and adversely affect our other business opportunities and financial results.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have a limited operating history and no history of successfully developing or commercializing any approved antiviral products, which may make it difficult to evaluate the success of our business to date and to assess the prospects for our future viability.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have incurred significant losses since inception. We expect our expenditures will increase for the foreseeable future. We have no products that have generated any commercial revenue and we may never achieve or maintain profitability.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will require substantial additional financing, which may not be available on acceptable terms, or at all. A failure to obtain this necessary capital when needed could force us to delay, limit, reduce or terminate our product development or commercialization efforts.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Our ability to use our net operating loss carryforwards and other tax attributes to offset future taxable income may be subject to certain limitations.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Our business is highly dependent on the success of our most advanced product candidates. If these product candidates fail in preclinical or clinical development, do not receive regulatory approval or are not successfully commercialized, or are significantly delayed in doing so, our business will be harmed.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The regulatory approval processes of the U.S. Food and Drug Administration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 Even if we complete the necessary preclinical studies and clinical trials, the marketing approval process is expensive, time-consuming and uncertain and may prevent us, our current collaboration partner, Roche, or any future collaboration partners from obtaining approvals for the commercialization of any product candidate we develop.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Clinical development is lengthy and uncertain. We may encounter substantial delays and costs in our clinical trials, or may not be able to conduct or complete our clinical trials on the timelines we expect, if at all.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Our product candidates may be associated with serious adverse events, undesirable side effects or have other properties that could halt their clinical development, prevent their regulatory approval, limit their commercial potential or result in significant negative consequences.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iii</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Times New Roman" w:hAnsi="Times New Roman"/>
                <w:b w:val="false"/>
                <w:i w:val="false"/>
                <w:caps w:val="false"/>
                <w:smallCaps w:val="false"/>
                <w:color w:val="2E2E2E"/>
                <w:spacing w:val="0"/>
                <w:sz w:val="20"/>
              </w:rPr>
            </w:pPr>
            <w:r>
              <w:rPr>
                <w:rFonts w:ascii="Arial" w:hAnsi="Arial"/>
                <w:b w:val="false"/>
                <w:i w:val="false"/>
                <w:caps w:val="false"/>
                <w:smallCaps w:val="false"/>
                <w:color w:val="000000"/>
                <w:spacing w:val="0"/>
                <w:sz w:val="20"/>
              </w:rPr>
              <w:t>We currently conduct clinical trials, and</w:t>
            </w:r>
            <w:r>
              <w:rPr>
                <w:rFonts w:ascii="Times New Roman" w:hAnsi="Times New Roman"/>
                <w:b w:val="false"/>
                <w:i w:val="false"/>
                <w:caps w:val="false"/>
                <w:smallCaps w:val="false"/>
                <w:color w:val="000000"/>
                <w:spacing w:val="0"/>
                <w:sz w:val="20"/>
              </w:rPr>
              <w:t xml:space="preserve"> </w:t>
            </w:r>
            <w:r>
              <w:rPr>
                <w:rFonts w:ascii="Arial" w:hAnsi="Arial"/>
                <w:b w:val="false"/>
                <w:i w:val="false"/>
                <w:caps w:val="false"/>
                <w:smallCaps w:val="false"/>
                <w:color w:val="000000"/>
                <w:spacing w:val="0"/>
                <w:sz w:val="20"/>
              </w:rPr>
              <w:t xml:space="preserve">may in the future choose to conduct additional clinical trials, of our product candidates in sites outside the United States, and the FDA may not accept data from trials conducted in foreign locations.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Interim, topline and preliminary data from our clinical trials that we announce or publish from time to time may change as more data become available and are subject to audit and verification procedures that could result in material changes in the final data. </w:t>
            </w:r>
          </w:p>
        </w:tc>
      </w:tr>
    </w:tbl>
    <w:tbl>
      <w:tblPr>
        <w:tblW w:w="9565" w:type="dxa"/>
        <w:jc w:val="left"/>
        <w:tblInd w:w="0" w:type="dxa"/>
        <w:tblCellMar>
          <w:top w:w="0" w:type="dxa"/>
          <w:left w:w="0" w:type="dxa"/>
          <w:bottom w:w="0" w:type="dxa"/>
          <w:right w:w="0" w:type="dxa"/>
        </w:tblCellMar>
      </w:tblPr>
      <w:tblGrid>
        <w:gridCol w:w="60"/>
        <w:gridCol w:w="110"/>
        <w:gridCol w:w="939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939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may not be successful in our efforts to identify and successfully develop additional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Risks related to healthcare laws and other legal compliance matters may materially and adversely affect our business and financial results.</w:t>
            </w:r>
          </w:p>
        </w:tc>
      </w:tr>
    </w:tbl>
    <w:tbl>
      <w:tblPr>
        <w:tblW w:w="9385" w:type="dxa"/>
        <w:jc w:val="left"/>
        <w:tblInd w:w="0" w:type="dxa"/>
        <w:tblCellMar>
          <w:top w:w="0" w:type="dxa"/>
          <w:left w:w="0" w:type="dxa"/>
          <w:bottom w:w="0" w:type="dxa"/>
          <w:right w:w="0" w:type="dxa"/>
        </w:tblCellMar>
      </w:tblPr>
      <w:tblGrid>
        <w:gridCol w:w="60"/>
        <w:gridCol w:w="110"/>
        <w:gridCol w:w="921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921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Risks related to commercialization may materially and adversely affect our business and financial results.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Risks related to manufacturing and our dependence on third parties may materially and adversely affect our business and financial results.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Risks related to intellectual property may materially and adversely affect our business and financial results, including 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 </w:t>
            </w:r>
          </w:p>
        </w:tc>
      </w:tr>
    </w:tbl>
    <w:tbl>
      <w:tblPr>
        <w:tblW w:w="9715" w:type="dxa"/>
        <w:jc w:val="left"/>
        <w:tblInd w:w="0" w:type="dxa"/>
        <w:tblCellMar>
          <w:top w:w="0" w:type="dxa"/>
          <w:left w:w="0" w:type="dxa"/>
          <w:bottom w:w="0" w:type="dxa"/>
          <w:right w:w="0" w:type="dxa"/>
        </w:tblCellMar>
      </w:tblPr>
      <w:tblGrid>
        <w:gridCol w:w="60"/>
        <w:gridCol w:w="110"/>
        <w:gridCol w:w="954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954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have only a limited number of employees which may be inadequate to manage and operate our business. </w:t>
            </w:r>
          </w:p>
        </w:tc>
      </w:tr>
    </w:tbl>
    <w:tbl>
      <w:tblPr>
        <w:tblW w:w="8890" w:type="dxa"/>
        <w:jc w:val="left"/>
        <w:tblInd w:w="0" w:type="dxa"/>
        <w:tblCellMar>
          <w:top w:w="0" w:type="dxa"/>
          <w:left w:w="0" w:type="dxa"/>
          <w:bottom w:w="0" w:type="dxa"/>
          <w:right w:w="0" w:type="dxa"/>
        </w:tblCellMar>
      </w:tblPr>
      <w:tblGrid>
        <w:gridCol w:w="60"/>
        <w:gridCol w:w="110"/>
        <w:gridCol w:w="8720"/>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8720"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Our business and operations would suffer in the event of system failures, deficiencies or intrusions.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will need to expand our organization, and we may experience difficulties in managing this growth, which could disrupt our operations.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may engage in acquisitions or strategic partnerships that could disrupt our business, cause dilution to our stockholders, reduce our financial resources, cause us to incur debt or assume contingent liabilities, and subject us to other risks.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or the third parties upon whom we depend may be adversely affected by natural disasters or other unforeseen events resulting in business interruptions and our business continuity and disaster recovery plans may not adequately protect us from such business interruptions. </w:t>
            </w:r>
          </w:p>
        </w:tc>
      </w:tr>
    </w:tbl>
    <w:tbl>
      <w:tblPr>
        <w:tblW w:w="9460" w:type="dxa"/>
        <w:jc w:val="left"/>
        <w:tblInd w:w="0" w:type="dxa"/>
        <w:tblCellMar>
          <w:top w:w="0" w:type="dxa"/>
          <w:left w:w="0" w:type="dxa"/>
          <w:bottom w:w="0" w:type="dxa"/>
          <w:right w:w="0" w:type="dxa"/>
        </w:tblCellMar>
      </w:tblPr>
      <w:tblGrid>
        <w:gridCol w:w="60"/>
        <w:gridCol w:w="110"/>
        <w:gridCol w:w="9290"/>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9290"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Litigation against us could be costly and time-consuming to defend and could result in additional liabilities.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Unstable market and economic conditions may have serious adverse consequences on our business, financial condition and share price. </w:t>
            </w:r>
          </w:p>
        </w:tc>
      </w:tr>
    </w:tbl>
    <w:tbl>
      <w:tblPr>
        <w:tblW w:w="7870" w:type="dxa"/>
        <w:jc w:val="left"/>
        <w:tblInd w:w="0" w:type="dxa"/>
        <w:tblCellMar>
          <w:top w:w="0" w:type="dxa"/>
          <w:left w:w="0" w:type="dxa"/>
          <w:bottom w:w="0" w:type="dxa"/>
          <w:right w:w="0" w:type="dxa"/>
        </w:tblCellMar>
      </w:tblPr>
      <w:tblGrid>
        <w:gridCol w:w="60"/>
        <w:gridCol w:w="110"/>
        <w:gridCol w:w="7700"/>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7700"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Risks related to our common stock may materially and adversely affect our stock price.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 </w:t>
            </w:r>
          </w:p>
        </w:tc>
      </w:tr>
    </w:tbl>
    <w:tbl>
      <w:tblPr>
        <w:tblW w:w="5095" w:type="dxa"/>
        <w:jc w:val="left"/>
        <w:tblInd w:w="0" w:type="dxa"/>
        <w:tblCellMar>
          <w:top w:w="0" w:type="dxa"/>
          <w:left w:w="0" w:type="dxa"/>
          <w:bottom w:w="0" w:type="dxa"/>
          <w:right w:w="0" w:type="dxa"/>
        </w:tblCellMar>
      </w:tblPr>
      <w:tblGrid>
        <w:gridCol w:w="60"/>
        <w:gridCol w:w="110"/>
        <w:gridCol w:w="492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492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could be subject to securities class action litigation. </w:t>
            </w:r>
          </w:p>
        </w:tc>
      </w:tr>
    </w:tbl>
    <w:p>
      <w:pPr>
        <w:pStyle w:val="TextBody"/>
        <w:spacing w:before="0" w:after="0"/>
        <w:jc w:val="center"/>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iv</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bookmarkStart w:id="6" w:name="Part_I"/>
      <w:bookmarkStart w:id="7" w:name="_AEIOULastRenderedPageBreakAEIOU3"/>
      <w:bookmarkEnd w:id="6"/>
      <w:bookmarkEnd w:id="7"/>
      <w:r>
        <w:rPr>
          <w:rFonts w:ascii="Arial" w:hAnsi="Arial"/>
          <w:b/>
          <w:i w:val="false"/>
          <w:caps w:val="false"/>
          <w:smallCaps w:val="false"/>
          <w:sz w:val="20"/>
        </w:rPr>
        <w:t>PART I</w:t>
      </w:r>
    </w:p>
    <w:p>
      <w:pPr>
        <w:pStyle w:val="TextBody"/>
        <w:spacing w:before="120" w:after="0"/>
        <w:rPr>
          <w:rFonts w:ascii="Arial" w:hAnsi="Arial"/>
          <w:b/>
          <w:i w:val="false"/>
          <w:caps w:val="false"/>
          <w:smallCaps w:val="false"/>
          <w:sz w:val="20"/>
        </w:rPr>
      </w:pPr>
      <w:bookmarkStart w:id="8" w:name="ITEM_1_BUSINESS"/>
      <w:bookmarkEnd w:id="8"/>
      <w:r>
        <w:rPr>
          <w:rFonts w:ascii="Arial" w:hAnsi="Arial"/>
          <w:b/>
          <w:i w:val="false"/>
          <w:caps w:val="false"/>
          <w:smallCaps w:val="false"/>
          <w:sz w:val="20"/>
        </w:rPr>
        <w:t xml:space="preserve">Item 1. Business.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Overview</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a clinical-stage biopharmaceutical company focused on discovering, developing and commercializing antiviral therapeutics to improve the lives of patients suffering from difficult to treat, life-threatening viral infections. Our current focus is on the development of product candidates to treat COVID-19, dengue, chronic hepatitis C (“HCV”), and respiratory syncytial virus (“RSV”).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Utilizing our team’s expertise from decades of developing innovative antiviral treatments we are advancing oral product candidates that are designed to be potent and selective, which we derived from our proprietary nucleotide platform that combine unique nucleotide scaffolds with novel double prodrugs for the purpose of inhibiting the enzymes central to viral replication. We believe that utilizing this double prodrug moiety approach allows us to maximize formation of the active metabolite, potentially resulting in oral antiviral product candidates that are selective for and highly effective at preventing replication of single stranded RNA (“ssRNA”), viruses while avoiding toxicity to host cells.</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Our Development Pipeline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following table summarizes our orally administered product candidate pipeline. All of our product candidates have been discovered and developed internally and we retain full global rights to commercialize our product candidates, other than certain ex-U.S. rights for our product candidate AT-527 licensed to F. Hoffmann-LaRoche Ltd. and Genentech, Inc. (together, “Roche”), under the License Agreement we entered into with Roche in October 2020 (the “Roche License Agreement”). We retain the right to commercialize all our product candidates in the United States.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943600" cy="3009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009900"/>
                    </a:xfrm>
                    <a:prstGeom prst="rect">
                      <a:avLst/>
                    </a:prstGeom>
                  </pic:spPr>
                </pic:pic>
              </a:graphicData>
            </a:graphic>
          </wp:inline>
        </w:drawing>
      </w:r>
    </w:p>
    <w:p>
      <w:pPr>
        <w:pStyle w:val="TextBody"/>
        <w:spacing w:before="0" w:after="0"/>
        <w:rPr/>
      </w:pPr>
      <w:r>
        <w:rPr/>
        <w:t> </w:t>
      </w:r>
    </w:p>
    <w:p>
      <w:pPr>
        <w:pStyle w:val="TextBody"/>
        <w:spacing w:lineRule="auto" w:line="288" w:before="0" w:after="0"/>
        <w:rPr>
          <w:rFonts w:ascii="Arial" w:hAnsi="Arial"/>
          <w:b w:val="false"/>
          <w:i w:val="false"/>
          <w:caps w:val="false"/>
          <w:smallCaps w:val="false"/>
          <w:sz w:val="20"/>
        </w:rPr>
      </w:pPr>
      <w:r>
        <w:rPr>
          <w:rFonts w:ascii="Arial" w:hAnsi="Arial"/>
          <w:b w:val="false"/>
          <w:i w:val="false"/>
          <w:caps w:val="false"/>
          <w:smallCaps w:val="false"/>
          <w:sz w:val="20"/>
        </w:rPr>
        <w:t>1 Ex-US development and commercialization rights (other than for certain hepatitis C virus uses) licensed to Roche.</w:t>
      </w:r>
    </w:p>
    <w:p>
      <w:pPr>
        <w:pStyle w:val="TextBody"/>
        <w:spacing w:lineRule="auto" w:line="288" w:before="120" w:after="0"/>
        <w:rPr>
          <w:rFonts w:ascii="Arial" w:hAnsi="Arial"/>
          <w:b w:val="false"/>
          <w:i w:val="false"/>
          <w:caps w:val="false"/>
          <w:smallCaps w:val="false"/>
          <w:sz w:val="20"/>
        </w:rPr>
      </w:pPr>
      <w:r>
        <w:rPr>
          <w:rFonts w:ascii="Arial" w:hAnsi="Arial"/>
          <w:b w:val="false"/>
          <w:i w:val="false"/>
          <w:caps w:val="false"/>
          <w:smallCaps w:val="false"/>
          <w:sz w:val="20"/>
        </w:rPr>
        <w:t>2 Rights to develop and manufacture globally and to commercialize in the US for dengue, among other viruses, retained.  Ex-US commercialization of AT-752 for dengue is subject to agreement with Roche.</w:t>
      </w:r>
    </w:p>
    <w:p>
      <w:pPr>
        <w:pStyle w:val="TextBody"/>
        <w:spacing w:lineRule="auto" w:line="288" w:before="120" w:after="0"/>
        <w:rPr>
          <w:rFonts w:ascii="Arial" w:hAnsi="Arial"/>
          <w:b w:val="false"/>
          <w:i w:val="false"/>
          <w:caps w:val="false"/>
          <w:smallCaps w:val="false"/>
          <w:sz w:val="20"/>
        </w:rPr>
      </w:pPr>
      <w:r>
        <w:rPr>
          <w:rFonts w:ascii="Arial" w:hAnsi="Arial"/>
          <w:b w:val="false"/>
          <w:i w:val="false"/>
          <w:caps w:val="false"/>
          <w:smallCaps w:val="false"/>
          <w:sz w:val="20"/>
        </w:rPr>
        <w:t>3 AT-787 is our selected product candidate for the treatment of HCV.</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w:t>
      </w:r>
    </w:p>
    <w:p>
      <w:pPr>
        <w:pStyle w:val="HorizontalLine"/>
        <w:rPr/>
      </w:pPr>
      <w:r>
        <w:rPr/>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Our Technology Platform and Nucleosides Role in Antiviral Therapy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have produced a large library of nucleoside and nucleotide prodrugs specifically designed to target viral RNA polymerase, a key enzyme that is encoded in the viral genome. All ssRNA viruses, including SARS-CoV-2, the virus that causes COVID-19, dengue and HCV, depend on viral RNA polymerase for replication and transcription and, since viral RNA polymerase is not present in the host cell, it is an ideal target to inhibit virus replication.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Over the last 40 years, nucleoside and nucleotide (together, “nucleos(t)ide”) analogs have been developed to mimic naturally occurring nucleic acids and block viral replication by inhibiting enzymes involved in RNA and DNA viral growth cycles. Nucleos(t)ide analogs have become the backbone of therapies that treat life-threatening viral infections, including human immunodeficiency virus (“HIV”) hepatitis B virus (“HBV”) and HCV. </w:t>
      </w:r>
    </w:p>
    <w:p>
      <w:pPr>
        <w:pStyle w:val="TextBody"/>
        <w:spacing w:before="0" w:after="0"/>
        <w:rPr/>
      </w:pPr>
      <w:r>
        <w:rPr/>
        <w:t> </w:t>
      </w:r>
    </w:p>
    <w:p>
      <w:pPr>
        <w:pStyle w:val="TextBody"/>
        <w:spacing w:before="0" w:after="0"/>
        <w:rPr>
          <w:rFonts w:ascii="Arial" w:hAnsi="Arial"/>
          <w:b/>
          <w:i/>
          <w:caps w:val="false"/>
          <w:smallCaps w:val="false"/>
          <w:sz w:val="20"/>
        </w:rPr>
      </w:pPr>
      <w:r>
        <w:rPr>
          <w:rFonts w:ascii="Arial" w:hAnsi="Arial"/>
          <w:b/>
          <w:i/>
          <w:caps w:val="false"/>
          <w:smallCaps w:val="false"/>
          <w:sz w:val="20"/>
        </w:rPr>
        <w:t>COVID-19  </w:t>
      </w:r>
    </w:p>
    <w:p>
      <w:pPr>
        <w:pStyle w:val="TextBody"/>
        <w:spacing w:before="120" w:after="0"/>
        <w:rPr>
          <w:rFonts w:ascii="Arial" w:hAnsi="Arial"/>
          <w:b w:val="false"/>
          <w:i w:val="false"/>
          <w:caps w:val="false"/>
          <w:smallCaps w:val="false"/>
          <w:sz w:val="20"/>
        </w:rPr>
      </w:pPr>
      <w:bookmarkStart w:id="9" w:name="_Hlk66900583"/>
      <w:bookmarkEnd w:id="9"/>
      <w:r>
        <w:rPr>
          <w:rFonts w:ascii="Arial" w:hAnsi="Arial"/>
          <w:b w:val="false"/>
          <w:i w:val="false"/>
          <w:caps w:val="false"/>
          <w:smallCaps w:val="false"/>
          <w:sz w:val="20"/>
        </w:rPr>
        <w:t xml:space="preserve">The global pandemic of COVID-19, caused by SARS-CoV-2, has created significant disruption to public health and economic activity worldwide.  As of March 29, 2021 there have been over 126.9 million confirmed cases of COVID-19 and 2.8 million deaths worldwide.  Given our current expectation that SARS-CoV-2 is likely to become an endemic human coronavirus that has the potential to circulate in the human population for years, we believe that multiple COVID-19 preventive and therapeutic options will be needed.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At approximately one year into the pandemic, significant progress has been made with multiple vaccine and treatment options available. The treatment options include Veklury, or remdesivir, and dexamethasone, which are administered parenterally and have demonstrated benefit in hospitalized patients, and monoclonal antibody combinations, which are administered intravenously in high-risk patients.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Despite these advances, substantial need remains for new treatment options, particularly for orally administered treatments which would be more practical, convenient and efficient for use in the early stages of disease in an outpatient setting. We believe this is particularly true for patients with mild to moderate symptoms, which is the most frequent clinical presentation of the disease. Further, we believe that this need will continue for years, given that we expect there will be subsets of the population who will either refuse or fail to respond to available vaccines, or individuals for whom a vaccine is contraindicated, and who need treatment options to be available. An oral, direct acting antiviral that could be readily and easily administered in the outpatient setting would have the potential to significantly reduce disease burden and duration, prevent progression of disease or hospitalization, and have a significant impact on health systems globally.  Additionally, an oral, direct acting antiviral with a mechanism of action that targets the inhibition of viral RNA polymerase, which is a highly conserved target site, could also be of particular value since the antiviral activity is expected to remain even in the presence of newly emerging variants.  </w:t>
      </w:r>
    </w:p>
    <w:p>
      <w:pPr>
        <w:pStyle w:val="TextBody"/>
        <w:spacing w:lineRule="auto" w:line="288" w:before="120" w:after="0"/>
        <w:rPr>
          <w:rFonts w:ascii="Arial" w:hAnsi="Arial"/>
          <w:b w:val="false"/>
          <w:i w:val="false"/>
          <w:caps w:val="false"/>
          <w:smallCaps w:val="false"/>
          <w:sz w:val="20"/>
        </w:rPr>
      </w:pPr>
      <w:r>
        <w:rPr>
          <w:rFonts w:ascii="Arial" w:hAnsi="Arial"/>
          <w:b w:val="false"/>
          <w:i w:val="false"/>
          <w:caps w:val="false"/>
          <w:smallCaps w:val="false"/>
          <w:sz w:val="20"/>
        </w:rPr>
        <w:t>Our product candidate for the treatment of patients with COVID-19 is AT-527, an orally administered, novel, direct acting antiviral.  We, together with our collaborator Roche, anticipate initiating a Phase 3 clinical trial to study AT-527 in adult patients with mild or moderate COVID-19 in the outpatient setting in the second quarter of 2021.  Currently, we are evaluating AT-527 for the treatment of patients with mild to moderate COVID-19 in two Phase 2 clinical trials. The first trial is a randomized, double-blind, placebo-controlled Phase 2 clinical trial in approximately 190 adult patients with moderate COVID-19 and one or more risk factors for poor outcomes in a hospitalized setting. We dosed our first patient in September 2020 and expect to report interim virology data from this clinical trial in the second quarter of 2021.  </w:t>
      </w:r>
      <w:r>
        <w:rPr>
          <w:rFonts w:ascii="Arial" w:hAnsi="Arial"/>
          <w:b w:val="false"/>
          <w:i w:val="false"/>
          <w:caps w:val="false"/>
          <w:smallCaps w:val="false"/>
          <w:color w:val="000000"/>
          <w:sz w:val="20"/>
        </w:rPr>
        <w:t xml:space="preserve">The second trial, which is being conducted in collaboration with Roche, is a </w:t>
      </w:r>
      <w:r>
        <w:rPr>
          <w:rFonts w:ascii="Arial" w:hAnsi="Arial"/>
          <w:b w:val="false"/>
          <w:i w:val="false"/>
          <w:caps w:val="false"/>
          <w:smallCaps w:val="false"/>
          <w:color w:val="000000"/>
          <w:sz w:val="20"/>
          <w:highlight w:val="white"/>
        </w:rPr>
        <w:t>randomized, double-blind, placebo-controlled Phase 2 clinical trial in up to 220 adult patients with mild or moderate COVID-19 in an outpatient setting.</w:t>
      </w:r>
      <w:r>
        <w:rPr>
          <w:rFonts w:ascii="Arial" w:hAnsi="Arial"/>
          <w:b w:val="false"/>
          <w:i w:val="false"/>
          <w:caps w:val="false"/>
          <w:smallCaps w:val="false"/>
          <w:color w:val="000000"/>
          <w:sz w:val="20"/>
        </w:rPr>
        <w:t xml:space="preserve">  The first patient in this trial was dosed in February 2021.  We expect to report interim virology data from this trial in the second quarter of </w:t>
      </w:r>
      <w:r>
        <w:rPr>
          <w:rFonts w:ascii="Arial" w:hAnsi="Arial"/>
          <w:b w:val="false"/>
          <w:i w:val="false"/>
          <w:caps w:val="false"/>
          <w:smallCaps w:val="false"/>
          <w:sz w:val="20"/>
        </w:rPr>
        <w:t>2021</w:t>
      </w:r>
      <w:r>
        <w:rPr>
          <w:rFonts w:ascii="Arial" w:hAnsi="Arial"/>
          <w:b w:val="false"/>
          <w:i w:val="false"/>
          <w:caps w:val="false"/>
          <w:smallCaps w:val="false"/>
          <w:color w:val="000000"/>
          <w:sz w:val="20"/>
        </w:rPr>
        <w:t xml:space="preserve">.  In addition, </w:t>
      </w:r>
      <w:r>
        <w:rPr>
          <w:rFonts w:ascii="Arial" w:hAnsi="Arial"/>
          <w:b w:val="false"/>
          <w:i w:val="false"/>
          <w:caps w:val="false"/>
          <w:smallCaps w:val="false"/>
          <w:sz w:val="20"/>
        </w:rPr>
        <w:t>several Phase 1 clinical trials in healthy volunteers are planned in addition to the one currently being conducted and the one recently completed for which positive results have been announced.</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w:t>
      </w:r>
    </w:p>
    <w:p>
      <w:pPr>
        <w:pStyle w:val="HorizontalLine"/>
        <w:rPr/>
      </w:pPr>
      <w:r>
        <w:rPr/>
      </w:r>
    </w:p>
    <w:p>
      <w:pPr>
        <w:pStyle w:val="TextBody"/>
        <w:spacing w:before="0" w:after="0"/>
        <w:rPr>
          <w:rFonts w:ascii="Arial" w:hAnsi="Arial"/>
          <w:b/>
          <w:i/>
          <w:caps w:val="false"/>
          <w:smallCaps w:val="false"/>
          <w:sz w:val="20"/>
        </w:rPr>
      </w:pPr>
      <w:r>
        <w:rPr>
          <w:rFonts w:ascii="Arial" w:hAnsi="Arial"/>
          <w:b/>
          <w:i/>
          <w:caps w:val="false"/>
          <w:smallCaps w:val="false"/>
          <w:sz w:val="20"/>
        </w:rPr>
        <w:t xml:space="preserve">Dengue </w:t>
      </w:r>
    </w:p>
    <w:p>
      <w:pPr>
        <w:pStyle w:val="TextBody"/>
        <w:spacing w:before="0" w:after="0"/>
        <w:rPr/>
      </w:pPr>
      <w:r>
        <w:rPr/>
        <w:t> </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Dengue is a mosquito-borne viral infection that infects up to 400 million people a year, causing substantial </w:t>
      </w:r>
      <w:r>
        <w:rPr>
          <w:rFonts w:ascii="Arial" w:hAnsi="Arial"/>
          <w:b w:val="false"/>
          <w:i w:val="false"/>
          <w:caps w:val="false"/>
          <w:smallCaps w:val="false"/>
          <w:color w:val="000000"/>
          <w:sz w:val="20"/>
          <w:highlight w:val="white"/>
        </w:rPr>
        <w:t>public health and economic burden worldwide</w:t>
      </w:r>
      <w:r>
        <w:rPr>
          <w:rFonts w:ascii="Arial" w:hAnsi="Arial"/>
          <w:b w:val="false"/>
          <w:i w:val="false"/>
          <w:caps w:val="false"/>
          <w:smallCaps w:val="false"/>
          <w:color w:val="000000"/>
          <w:sz w:val="20"/>
        </w:rPr>
        <w:t>.</w:t>
      </w:r>
      <w:r>
        <w:rPr>
          <w:rFonts w:ascii="Arial" w:hAnsi="Arial"/>
          <w:b w:val="false"/>
          <w:i w:val="false"/>
          <w:caps w:val="false"/>
          <w:smallCaps w:val="false"/>
          <w:color w:val="202124"/>
          <w:sz w:val="20"/>
        </w:rPr>
        <w:t xml:space="preserve"> </w:t>
      </w:r>
      <w:r>
        <w:rPr>
          <w:rFonts w:ascii="Arial" w:hAnsi="Arial"/>
          <w:b w:val="false"/>
          <w:i w:val="false"/>
          <w:caps w:val="false"/>
          <w:smallCaps w:val="false"/>
          <w:color w:val="000000"/>
          <w:sz w:val="20"/>
        </w:rPr>
        <w:t xml:space="preserve">Dengue, which is life threatening in severe cases, was traditionally considered a tropical disease, endemic to countries located mostly in the tropical regions of Asia, Latin America, the Pacific, and across Africa. However, in recent decades the incidence of the disease has been spreading globally.  While a </w:t>
      </w:r>
      <w:r>
        <w:rPr>
          <w:rFonts w:ascii="Arial" w:hAnsi="Arial"/>
          <w:b w:val="false"/>
          <w:i w:val="false"/>
          <w:caps w:val="false"/>
          <w:smallCaps w:val="false"/>
          <w:color w:val="202124"/>
          <w:sz w:val="20"/>
          <w:highlight w:val="white"/>
        </w:rPr>
        <w:t xml:space="preserve">vaccine to prevent dengue is approved in some countries, it is indicated only for persons with confirmed prior dengue infection and its product label use is highly restricted. </w:t>
      </w:r>
      <w:r>
        <w:rPr>
          <w:rFonts w:ascii="Arial" w:hAnsi="Arial"/>
          <w:b w:val="false"/>
          <w:i w:val="false"/>
          <w:caps w:val="false"/>
          <w:smallCaps w:val="false"/>
          <w:color w:val="000000"/>
          <w:sz w:val="20"/>
        </w:rPr>
        <w:t>Currently there are no antiviral therapies approved by either the U.S. Food and Drug Administration (“FDA”) or the European Medicines Agency (“EMA”).</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To address this unmet medical need, we are developing AT-752, an oral, purine nucleotide prodrug for the treatment of dengue.  AT-752 targets the inhibition of the dengue viral polymerase and, in preclinical studies, AT-752 showed potent </w:t>
      </w:r>
      <w:r>
        <w:rPr>
          <w:rFonts w:ascii="Arial" w:hAnsi="Arial"/>
          <w:b w:val="false"/>
          <w:i/>
          <w:caps w:val="false"/>
          <w:smallCaps w:val="false"/>
          <w:sz w:val="20"/>
        </w:rPr>
        <w:t>in vitro</w:t>
      </w:r>
      <w:r>
        <w:rPr>
          <w:rFonts w:ascii="Arial" w:hAnsi="Arial"/>
          <w:b w:val="false"/>
          <w:i w:val="false"/>
          <w:caps w:val="false"/>
          <w:smallCaps w:val="false"/>
          <w:sz w:val="20"/>
        </w:rPr>
        <w:t xml:space="preserve"> activity against all serotypes tested, as well as potent </w:t>
      </w:r>
      <w:r>
        <w:rPr>
          <w:rFonts w:ascii="Arial" w:hAnsi="Arial"/>
          <w:b w:val="false"/>
          <w:i/>
          <w:caps w:val="false"/>
          <w:smallCaps w:val="false"/>
          <w:sz w:val="20"/>
        </w:rPr>
        <w:t>in vivo</w:t>
      </w:r>
      <w:r>
        <w:rPr>
          <w:rFonts w:ascii="Arial" w:hAnsi="Arial"/>
          <w:b w:val="false"/>
          <w:i w:val="false"/>
          <w:caps w:val="false"/>
          <w:smallCaps w:val="false"/>
          <w:sz w:val="20"/>
        </w:rPr>
        <w:t xml:space="preserve"> antiviral activity in a small animal model. In March 2021, we initiated a randomized, double-blind, placebo-controlled Phase 1a clinical trial to evaluate the safety and pharmacokinetics (“PK”), of different dosages of AT-752 in healthy adults. Following the completion of this Phase 1a clinical trial, we expect to initiate a Phase 1b clinical trial in the second half of 2021 to evaluate the antiviral activity, safety and PK of AT-752 in adult patients with dengue virus infection. </w:t>
      </w:r>
    </w:p>
    <w:p>
      <w:pPr>
        <w:pStyle w:val="TextBody"/>
        <w:spacing w:before="120" w:after="0"/>
        <w:rPr>
          <w:rFonts w:ascii="Arial" w:hAnsi="Arial"/>
          <w:b/>
          <w:i/>
          <w:caps w:val="false"/>
          <w:smallCaps w:val="false"/>
          <w:sz w:val="20"/>
        </w:rPr>
      </w:pPr>
      <w:r>
        <w:rPr>
          <w:rFonts w:ascii="Arial" w:hAnsi="Arial"/>
          <w:b/>
          <w:i/>
          <w:caps w:val="false"/>
          <w:smallCaps w:val="false"/>
          <w:sz w:val="20"/>
        </w:rPr>
        <w:t>Hepatitis C</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Despite significant recent advances in treatment, HCV remains a global health burden due to the limitations of currently available treatment options.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For the treatment of chronic HCV infection, we have created a novel combination of AT-527 with AT-777, an investigational nonstructural protein 5A (“NS5A”), inhibitor that we will coformulate into a single, oral, pan-genotypic fixed-dose combination product candidate, AT-787. We believe that AT-787 has the potential to offer a short duration protease-sparing regimen for HCV-infected patients with or without cirrhosis. For patients with decompensated cirrhosis, a life-threatening stage of liver disease, AT-787 has the potential to treat these patients without the co-administration of ribavirin. In March 2020 we paused clinical development in our HCV program due to the outbreak of the COVID-19 pandemic. In the second half of 2021, we expect to re-initiate a Phase 1/2a clinical trial, which will be designed to evaluate the safety and PK of different dosages of AT-777 in healthy adults and to evaluate the combination of AT-527 and AT-777 in HCV infected patients.</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RSV </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highlight w:val="white"/>
        </w:rPr>
        <w:t xml:space="preserve">RSV is a seasonal respiratory virus that is responsible for significant health and economic burden worldwide. RSV is a common virus that causes severe respiratory disease in infants, which often leads to hospitalization. Up to 70% of infants are infected by the age of one and virtually all infants will have been infected by their third year of life. As protective immunity wanes, RSV reinfection in children and adults, is common. While these reinfections tend to be milder, RSV is a well established cause of significant morbidity and mortality in the elderly, the immunocompromised and other high-risk patients. There is also an increased awareness of the long-term consequences of RSV primary infection that have been linked to prolonged wheezing and an increased risk of developing asthma.  There are no approved vaccines. </w:t>
      </w:r>
      <w:r>
        <w:rPr>
          <w:rFonts w:ascii="Arial" w:hAnsi="Arial"/>
          <w:b w:val="false"/>
          <w:i w:val="false"/>
          <w:caps w:val="false"/>
          <w:smallCaps w:val="false"/>
          <w:color w:val="000000"/>
          <w:sz w:val="20"/>
        </w:rPr>
        <w:t>The only approved drugs are ribavirin, which has safety concerns and questionable efficacy and Synagis, a monoclonal antibody which is indicated not for treatment but only for protection against RSV in a high risk pediatric population.</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We are evaluating AT-889, an investigational, second-generation nucleoside pyrimidine prodrug and other compounds for the treatment of RSV. AT-889 is designed to inhibit RNA polymerase through both initiation of viral replication and viral transcription and showed potent </w:t>
      </w:r>
      <w:r>
        <w:rPr>
          <w:rFonts w:ascii="Arial" w:hAnsi="Arial"/>
          <w:b w:val="false"/>
          <w:i/>
          <w:caps w:val="false"/>
          <w:smallCaps w:val="false"/>
          <w:sz w:val="20"/>
        </w:rPr>
        <w:t>in vitro</w:t>
      </w:r>
      <w:r>
        <w:rPr>
          <w:rFonts w:ascii="Arial" w:hAnsi="Arial"/>
          <w:b w:val="false"/>
          <w:i w:val="false"/>
          <w:caps w:val="false"/>
          <w:smallCaps w:val="false"/>
          <w:sz w:val="20"/>
        </w:rPr>
        <w:t xml:space="preserve"> activity in several cell based assays against RSV. In the second half of 2021, we expect to nominate a lead product candidate and initiate investigational new drug application (“IND”) enabling studies. </w:t>
      </w:r>
    </w:p>
    <w:p>
      <w:pPr>
        <w:pStyle w:val="TextBody"/>
        <w:spacing w:before="0" w:after="0"/>
        <w:jc w:val="center"/>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w:t>
      </w:r>
    </w:p>
    <w:p>
      <w:pPr>
        <w:pStyle w:val="HorizontalLine"/>
        <w:rPr/>
      </w:pPr>
      <w:r>
        <w:rPr/>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Our Team</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management team has significant experience discovering, developing and commercializing antiviral therapies for life-threatening viral infections. Our Founder, Chairman, and Chief Executive Officer, Jean-Pierre Sommadossi, Ph.D., has over 30 years of scientific, operational, strategic, and management experience in the biopharmaceutical industry.  Dr. Sommadossi has authored over 180 peer-reviewed publications and holds more than 60 U.S. patents related to the treatment of antiviral therapeutics and cancer.  Dr. Sommadossi was the principal founder of Idenix Pharmaceuticals, Inc. (“Idenix”), which was acquired by Merck &amp; Co., Inc. (“Merck”), in 2014, and a co-founder of Pharmasset, Inc. (“Pharmasset”), which was acquired by Gilead Sciences, Inc. in 2012.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have assembled an experienced management and scientific team with a track record of success in the field of antiviral drug development, many of whom have worked together previously. Our team has significant expertise in nucleos(t)ide chemistry, biochemistry and virology and has applied that expertise towards the discovery and development of innovative antiviral treatments, including Epivir, Sovaldi, Tyzeka, Valtrex, Wellferon, Videx, Reyataz, Sustiva, Mavyret, Xofluza, Relenza and Zerit. Members of our team have held senior positions at AstraZeneca plc, Merck, GlaxoSmithKline plc, Chiron, Novartis International AG, Biogen, F. Hoffmann La Roche, Abbvie, Bristol Myers Squibb, Shire, Biohaven Pharma, Pharmasset, Idenix, Valeant Pharmaceuticals International and Alnylam Pharmaceuticals.</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Our Strategy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Our goal is to become a global leader in the discovery, development, and commercialization of novel antiviral therapies for severe or life-threatening viral infections. We intend to achieve this goal by pursuing the following strategies: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rPr>
            </w:pPr>
            <w:r>
              <w:rPr>
                <w:rFonts w:ascii="Arial" w:hAnsi="Arial"/>
                <w:b/>
                <w:i/>
                <w:caps w:val="false"/>
                <w:smallCaps w:val="false"/>
                <w:color w:val="000000"/>
              </w:rPr>
              <w:t>Rapidly complete development and obtain approval for our lead product candidate, AT-527, an oral drug for the treatment of COVID-19</w:t>
            </w:r>
            <w:r>
              <w:rPr>
                <w:rFonts w:ascii="Arial" w:hAnsi="Arial"/>
                <w:b w:val="false"/>
                <w:i w:val="false"/>
                <w:caps w:val="false"/>
                <w:smallCaps w:val="false"/>
                <w:color w:val="000000"/>
              </w:rPr>
              <w:t xml:space="preserve">. In collaboration with Roche, we intend to initiate a global Phase 3 clinical trial of AT-527 in patients with mild or moderate COVID-19 in the outpatient setting in the second quarter of 2021.  Currently, we are evaluating AT-527 for the treatment of COVID-19 in two Phase 2 clinical trials and a Phase 1 clinical trial.  We are working closely with the FDA and other regulatory authorities as we plan and implement our clinical trials to align on the most efficient regulatory pathway.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i/>
                <w:caps w:val="false"/>
                <w:smallCaps w:val="false"/>
                <w:color w:val="000000"/>
              </w:rPr>
              <w:t>Deploy our medicinal chemistry expertise and proprietary nucleotide platform against severe ssRNA viruses with high unmet need.</w:t>
            </w:r>
            <w:r>
              <w:rPr>
                <w:b w:val="false"/>
                <w:i w:val="false"/>
                <w:caps w:val="false"/>
                <w:smallCaps w:val="false"/>
                <w:color w:val="000000"/>
              </w:rPr>
              <w:t xml:space="preserve"> </w:t>
            </w:r>
            <w:r>
              <w:rPr>
                <w:rFonts w:ascii="Arial" w:hAnsi="Arial"/>
                <w:b w:val="false"/>
                <w:i w:val="false"/>
                <w:caps w:val="false"/>
                <w:smallCaps w:val="false"/>
                <w:color w:val="000000"/>
              </w:rPr>
              <w:t>We are developing additional small molecule antiviral product candidates for the treatment of other severe viral diseases, including AT-752 for the treatment of dengue, which, if successfully developed and approved, we believe has the potential to become the first approved treatment for dengue fever – a disease that infects up to 400 million people each year; AT-787, a co-formulated, oral, pan-genotypic fixed dose combination of AT-527 and AT-777, for the treatment of HCV which we believe has the potential to shorten treatment duration compared to existing therapies, cure difficult-to-treat populations not currently served by existing therapies, and eliminate the need for ribavirin in patients suffering from decompensated cirrhosis; and AT-889, an investigational, second-generation nucleoside pyrimidine prodrug, and other compounds for the treatment of RSV which, if successfully developed and approved, we believe could be the first therapy in over 30 years to be approved specifically for the treatment of RSV.</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i/>
                <w:caps w:val="false"/>
                <w:smallCaps w:val="false"/>
                <w:color w:val="000000"/>
              </w:rPr>
              <w:t>Focus on excellent clinical and regulatory execution.</w:t>
            </w:r>
            <w:r>
              <w:rPr>
                <w:b w:val="false"/>
                <w:i w:val="false"/>
                <w:caps w:val="false"/>
                <w:smallCaps w:val="false"/>
                <w:color w:val="000000"/>
              </w:rPr>
              <w:t xml:space="preserve"> </w:t>
            </w:r>
            <w:r>
              <w:rPr>
                <w:rFonts w:ascii="Arial" w:hAnsi="Arial"/>
                <w:b w:val="false"/>
                <w:i w:val="false"/>
                <w:caps w:val="false"/>
                <w:smallCaps w:val="false"/>
                <w:color w:val="000000"/>
              </w:rPr>
              <w:t xml:space="preserve">We believe that building a successful antiviral-focused company requires very specific expertise in the areas of clinical study design and conduct and regulatory strategy. We have assembled a team with a successful track record of managing global clinical development activities in an efficient manner, and with multinational experience in obtaining regulatory approvals for antiviral therapeutics.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w:t>
      </w:r>
    </w:p>
    <w:p>
      <w:pPr>
        <w:pStyle w:val="HorizontalLine"/>
        <w:rPr/>
      </w:pPr>
      <w:r>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i/>
                <w:caps w:val="false"/>
                <w:smallCaps w:val="false"/>
                <w:color w:val="000000"/>
              </w:rPr>
              <w:t>Maximize the value of our product candidates.</w:t>
            </w:r>
            <w:r>
              <w:rPr>
                <w:b w:val="false"/>
                <w:i w:val="false"/>
                <w:caps w:val="false"/>
                <w:smallCaps w:val="false"/>
                <w:color w:val="000000"/>
              </w:rPr>
              <w:t xml:space="preserve"> </w:t>
            </w:r>
            <w:r>
              <w:rPr>
                <w:rFonts w:ascii="Arial" w:hAnsi="Arial"/>
                <w:b w:val="false"/>
                <w:i w:val="false"/>
                <w:caps w:val="false"/>
                <w:smallCaps w:val="false"/>
                <w:color w:val="000000"/>
              </w:rPr>
              <w:t>We generally intend to retain global commercialization rights to our product candidates, which we believe will allow us to retain the greatest potential value of our product portfolio. However, we may opportunistically enter into license agreements or collaborations where we believe there is an opportunity, particularly outside the United States, to maximize the value and accelerate the development of our product candidates and potential commercialization of any products. For example, in October 2020 we entered into the Roche License Agreement under which we granted an exclusive license for certain development and commercialization rights related to AT-527 outside of the United States to Roche. Currently, we plan to establish our own commercial organization in the United States, and we may build additional commercial organizations in other selected markets for any of our product candidates that are approved.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i/>
                <w:caps w:val="false"/>
                <w:smallCaps w:val="false"/>
                <w:color w:val="000000"/>
              </w:rPr>
              <w:t>Maintain our entrepreneurial outlook, scientifically rigorous approach, and culture of tireless commitment to patients.</w:t>
            </w:r>
            <w:r>
              <w:rPr>
                <w:b w:val="false"/>
                <w:i w:val="false"/>
                <w:caps w:val="false"/>
                <w:smallCaps w:val="false"/>
                <w:color w:val="000000"/>
              </w:rPr>
              <w:t xml:space="preserve"> </w:t>
            </w:r>
            <w:r>
              <w:rPr>
                <w:rFonts w:ascii="Arial" w:hAnsi="Arial"/>
                <w:b w:val="false"/>
                <w:i w:val="false"/>
                <w:caps w:val="false"/>
                <w:smallCaps w:val="false"/>
                <w:color w:val="000000"/>
              </w:rPr>
              <w:t>The patients we seek to treat suffer from life-threatening viral infections for which there are no approved therapies or the therapies that are approved have significant drawbacks which may include limited efficacy, or issues with safety and/or tolerability. Members of our team have dedicated their lives to discovering, developing, and commercializing novel antiviral therapies for severe or life-threatening viral infections. We intend to continue building our team of qualified individuals who share our commitment to collaborate and apply scientific rigor in the development of novel antiviral therapies that have the potential to treat or cure some of the world’s most severe viral diseases.</w:t>
            </w:r>
          </w:p>
        </w:tc>
      </w:tr>
    </w:tbl>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Antiviral therapy</w:t>
      </w:r>
    </w:p>
    <w:p>
      <w:pPr>
        <w:pStyle w:val="TextBody"/>
        <w:spacing w:before="120" w:after="0"/>
        <w:rPr>
          <w:rFonts w:ascii="Arial" w:hAnsi="Arial"/>
          <w:b/>
          <w:i/>
          <w:caps w:val="false"/>
          <w:smallCaps w:val="false"/>
          <w:sz w:val="20"/>
        </w:rPr>
      </w:pPr>
      <w:r>
        <w:rPr>
          <w:rFonts w:ascii="Arial" w:hAnsi="Arial"/>
          <w:b/>
          <w:i/>
          <w:caps w:val="false"/>
          <w:smallCaps w:val="false"/>
          <w:sz w:val="20"/>
        </w:rPr>
        <w:t>Background on viruses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Viruses are cellular parasites that can only replicate using a host cell’s replication processes, as viruses lack the machinery required to survive and replicate on their own. Unlike living organisms that use DNA as the basis for their genetic material, viruses can use either DNA or RNA. Approximately 70% of all viruses are RNA viruses.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Viruses have two primary components: nucleic acid (single or double stranded RNA or DNA) and a protective shell (the capsid). Some viruses may also have a lipid bilayer (the envelope) surrounding the capsid, an additional membrane derived from host cell membranes that contains viral proteins.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viral replication process begins when a virus attaches itself to a specific receptor site on the host-cell membrane through attachment proteins. The replication mechanism is dependent upon whether the virus is an RNA or DNA virus. DNA viruses use host cell proteins and enzymes to make additional DNA that is used to copy the viral genome or is transcribed to messenger RNA (“mRNA”). RNA viruses use their RNA as a template for synthesis of viral genomic RNA and mRNA. The mRNA then instructs the host cell to assemble viral structural proteins. Finally, the newly created virus particles (“virions”), are released from the host cell in order to repeat the infection and replication cycle. RNA viruses can be particularly challenging to treat, as the error rates around the viral RNA polymerase directed RNA synthesis cause high mutation rates during reproduction, creating variants and resistance challenges for antiviral therapies.</w:t>
      </w:r>
    </w:p>
    <w:p>
      <w:pPr>
        <w:pStyle w:val="TextBody"/>
        <w:spacing w:before="120" w:after="0"/>
        <w:rPr>
          <w:rFonts w:ascii="Arial" w:hAnsi="Arial"/>
          <w:b/>
          <w:i/>
          <w:caps w:val="false"/>
          <w:smallCaps w:val="false"/>
          <w:sz w:val="20"/>
        </w:rPr>
      </w:pPr>
      <w:r>
        <w:rPr>
          <w:rFonts w:ascii="Arial" w:hAnsi="Arial"/>
          <w:b/>
          <w:i/>
          <w:caps w:val="false"/>
          <w:smallCaps w:val="false"/>
          <w:sz w:val="20"/>
        </w:rPr>
        <w:t>Background of ssRNA viruses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RNA viruses can be single stranded (ssRNA) viruses or double-stranded (dsRNA), viruses, depending on the type of RNA used as the genetic material. A virus encased within a lipid bilayer is known as an enveloped virus, while a virus without this bilayer is called a non-enveloped virus. Enveloped ssRNA viruses are the more prevalent cause of severe human viral diseases. Studies from the last decade have placed RNA viruses as primary etiological agents of many emerging human pathogens, representing up to 50% of all emerging infectious diseases. Types of enveloped and non-enveloped ssRNA viruses and some of the diseases they cause are shown in the table below, with the types of ssRNA viruses that we are currently targeting with our product candidates highlighted in yellow.</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w:t>
      </w:r>
    </w:p>
    <w:p>
      <w:pPr>
        <w:pStyle w:val="HorizontalLine"/>
        <w:rPr/>
      </w:pPr>
      <w:r>
        <w:rPr/>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3990975" cy="3019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990975" cy="3019425"/>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Over the last 40 years, a great deal of progress has been made in the treatment of some of the most severe viral infections. However, many highly pathogenic ssRNA viruses, including dengue virus and newly emerging viruses such as SARS-CoV-2 continue to cause severe viral diseases which still remain inadequately treated or not treated at all.</w:t>
      </w:r>
    </w:p>
    <w:p>
      <w:pPr>
        <w:pStyle w:val="TextBody"/>
        <w:spacing w:before="120" w:after="0"/>
        <w:rPr>
          <w:rFonts w:ascii="Arial" w:hAnsi="Arial"/>
          <w:b/>
          <w:i/>
          <w:caps w:val="false"/>
          <w:smallCaps w:val="false"/>
          <w:sz w:val="20"/>
        </w:rPr>
      </w:pPr>
      <w:r>
        <w:rPr>
          <w:rFonts w:ascii="Arial" w:hAnsi="Arial"/>
          <w:b/>
          <w:i/>
          <w:caps w:val="false"/>
          <w:smallCaps w:val="false"/>
          <w:sz w:val="20"/>
        </w:rPr>
        <w:t>Viral polymerase as an antiviral target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From the discovery and approval of the first antiviral drug in 1963, there have been more than 100 antiviral drugs approved in the United States for the treatment of nine different human viral diseases. A historical challenge with the treatment of intracellular viruses has been selectivity or discovering drug targets that can completely inhibit viral replication without harming the host cells, leading to toxic side effects. Advances in technology and high throughput screening in recent years have driven the discovery of more selective antiviral product candidates. The viral polymerase, which is the single protein present in all RNA viruses, is a key enzyme in the replication of viruses, making for an ideal drug target as its core structural features are highly conserved across different viruses. There are four types of viral polymerase, depending upon the virus and its genomic makeup:</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RNA-dependent RNA polymerase (“RdRp”): All ssRNA viruses, including SARS-CoV-2 and HCV, depend on the RdRp, encoded in the viral genome, for replication and transcription. Since these enzymes are not present in the host cell, this facilitates the design of selective inhibitors of viral replication, which target viral but not host cell polymerases.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DNA-dependent DNA polymerase (“DdDP”): DdDP is used by DNA viruses to replicate their genome.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RNA-dependent DNA polymerase (“reverse transcriptase”): Reverse transcriptase is used by certain DNA or RNA viruses, such as HBV and HIV-1, to replicate their genomes.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DNA-dependent RNA polymerase (“DdRP”): DdRP is used by DNA viruses to transcribe mRNA from DNA templates during replication.</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viral RNA polymerase based synthesis does not occur in human host cells, antiviral drug development for RNA viruses focuses on identifying selective drug-like molecules that target viral RNA polymerase. Advances in technology have enabled intensive structural and functional studies of viral RNA polymerase including the identification in the case of SARS-CoV-2 of nidovirus RdRp associated nucleotidyltranferase (“NiRAN”), and have opened avenues for the development of new and more effective antiviral therapies.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Viral resistance and Variants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 major obstacle to antiviral therapy is viral resistance. Resistance is a function of a virus’ ability to genetically mutate, which, in the case of RNA viruses, is substantially higher than DNA viruses, as most RdRp lack proofreading abilities. The rate of mutation of RNA viruses can occur at six orders of magnitude greater than the rate of mutation of host cells. The ability of viruses to evolve makes the design of ssRNA-directed therapies challenging, as these viral strains continue to mutate and become more resistant to certain antiviral therapies over time. Since all the enzymes involved in the metabolic pathways of AT-527 and AT-752 to their active triphosphate are designed to be essentially ubiquitous host cell enzymes and not virally encoded proteins, we believe that the high rate of viral mutation does not affect the activation of the prodrug.</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At times, combination therapy has been used to combat viral resistance for specific types of human viral infections. The guiding principles to decide when combination therapy may be needed, include: the </w:t>
      </w:r>
      <w:r>
        <w:rPr>
          <w:rFonts w:ascii="Arial" w:hAnsi="Arial"/>
          <w:b w:val="false"/>
          <w:i/>
          <w:caps w:val="false"/>
          <w:smallCaps w:val="false"/>
          <w:sz w:val="20"/>
        </w:rPr>
        <w:t>in vitro</w:t>
      </w:r>
      <w:r>
        <w:rPr>
          <w:rFonts w:ascii="Arial" w:hAnsi="Arial"/>
          <w:b w:val="false"/>
          <w:i w:val="false"/>
          <w:caps w:val="false"/>
          <w:smallCaps w:val="false"/>
          <w:sz w:val="20"/>
        </w:rPr>
        <w:t xml:space="preserve"> inhibitory potency and human pharmacology of the antiviral; viral replication kinetics in patients; viral polymerase error rate; and whether the viral disease is an acute or a chronic infection. With RNA viruses, the treatment of acute infection, such as influenza, is monotherapy (e.g., Tamiflu), as compared to the treatment of chronic infection, such as HCV, which is combination therapy (e.g., Epclusa). COVID-19, dengue and RSV are each the result of acute RNA viral infections.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Another consequence of viral mutations is the emergence of new variants. For example, each year the genetic mutations accumulated in the influenza virus cause antigen drift that could significantly impact immune recognition, thus the flu vaccines have to be reviewed and updated.  SARS-CoV-2, despite the fact that it does have a proof-reading function with the nsp14 exonuclease, has proven to be able to mutate quickly as well. Multiple SARS-CoV-2 variants are circulating globally. For example, variants that have emerged since fall 2020, include B.1.1.7 (also known as 501Y.V1, VOC 202012/01) in the U.K., B.1.351 (501Y.V2) in South Africa, P.1 (20J/501Y.V3) in Brazil, and B.1.526 in New York. Some of these variants not only appear to transmit faster and cause more serious illness but may also reduce the efficacy of current vaccines and antibodies, and thus present an even greater health challenge.</w:t>
      </w:r>
    </w:p>
    <w:p>
      <w:pPr>
        <w:pStyle w:val="TextBody"/>
        <w:spacing w:before="120" w:after="0"/>
        <w:rPr>
          <w:rFonts w:ascii="Arial" w:hAnsi="Arial"/>
          <w:b/>
          <w:i/>
          <w:caps w:val="false"/>
          <w:smallCaps w:val="false"/>
          <w:sz w:val="20"/>
        </w:rPr>
      </w:pPr>
      <w:r>
        <w:rPr>
          <w:rFonts w:ascii="Arial" w:hAnsi="Arial"/>
          <w:b/>
          <w:i/>
          <w:caps w:val="false"/>
          <w:smallCaps w:val="false"/>
          <w:sz w:val="20"/>
        </w:rPr>
        <w:t>Nucleos(t)ide analogs and prodrugs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Nucleic acids (DNA and RNA), which comprise human and viral genetic material, are composed of natural chemical compounds termed nucleosides and nucleotides. Nucleos(t)ide analogs, which are synthetic compounds that mimic the structure of naturally occurring nucleosides and nucleotides, target the viral polymerase directly so that it mistakenly incorporates these analogs into nascent nucleic acids, causing inhibition of viral replication. Nucleos(t)ide analogs, compared to other classes of antiviral therapies, have a high barrier to viral resistance due to the conservation of the structure of the polymerase that is required to produce viable virions.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Prodrugs of nucleos(t)ide analogs have become the backbone of therapies to treat life threatening viral infections, including HIV, HBV, and HCV. Prodrugs are employed to bypass rate limiting activation steps and to improve the oral bioavailability and permeation of cell membranes by the nucleos(t)ide analog.</w:t>
      </w:r>
    </w:p>
    <w:p>
      <w:pPr>
        <w:pStyle w:val="TextBody"/>
        <w:spacing w:before="120" w:after="0"/>
        <w:rPr>
          <w:rFonts w:ascii="Arial" w:hAnsi="Arial"/>
          <w:b/>
          <w:i/>
          <w:caps w:val="false"/>
          <w:smallCaps w:val="false"/>
          <w:sz w:val="20"/>
        </w:rPr>
      </w:pPr>
      <w:r>
        <w:rPr>
          <w:rFonts w:ascii="Arial" w:hAnsi="Arial"/>
          <w:b/>
          <w:i/>
          <w:caps w:val="false"/>
          <w:smallCaps w:val="false"/>
          <w:sz w:val="20"/>
        </w:rPr>
        <w:t>Our Platform</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Leveraging our deep understanding of antiviral drug development, nucleos(t)ide chemistry, biochemistry and virology, we have built a proprietary purine nucleotide prodrug platform to develop novel treatments for life threatening diseases caused by ssRNA viral infections.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Our proprietary nucleotide prodrug platform, as illustrated below, is comprised of the following critical components: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specific modifications at the 6-position of the purine base, acting as a prodrug, are designed to prevent the toxic effects of other such modifications and enhance cell membrane permeability, resulting in an intermediate metabolite that maximizes formation of the triphosphate active metabolite in cells;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stereospecific phosphoramidate, acting as a prodrug, designed to bypass the first rate-limiting phosphorylation enzyme in the intracellular activation pathway;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specific modifications in the sugar moiety of the purine nucleotide scaffold, producing potent antiviral activity with a high degree of selectivity; and</w:t>
            </w:r>
          </w:p>
        </w:tc>
      </w:tr>
    </w:tbl>
    <w:tbl>
      <w:tblPr>
        <w:tblW w:w="7450" w:type="dxa"/>
        <w:jc w:val="left"/>
        <w:tblInd w:w="0" w:type="dxa"/>
        <w:tblCellMar>
          <w:top w:w="0" w:type="dxa"/>
          <w:left w:w="0" w:type="dxa"/>
          <w:bottom w:w="0" w:type="dxa"/>
          <w:right w:w="0" w:type="dxa"/>
        </w:tblCellMar>
      </w:tblPr>
      <w:tblGrid>
        <w:gridCol w:w="110"/>
        <w:gridCol w:w="73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34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highly specific salt form to enhance solubility and drug bioavailability.</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w:t>
      </w:r>
    </w:p>
    <w:p>
      <w:pPr>
        <w:pStyle w:val="HorizontalLine"/>
        <w:rPr/>
      </w:pPr>
      <w:r>
        <w:rPr/>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Atea’s purine nucleotide prodrug platform</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4124325" cy="304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124325" cy="3048000"/>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We believe that product candidates derived from our platform, which combines unique purine nucleotide scaffolds with a novel double prodrug strategy, have the following potential advantageous characteristics and features: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enhanced antiviral activity and selectivity, as well as well-established pharmacology and animal models to predict clinical activity;</w:t>
            </w:r>
          </w:p>
        </w:tc>
      </w:tr>
    </w:tbl>
    <w:tbl>
      <w:tblPr>
        <w:tblW w:w="2590" w:type="dxa"/>
        <w:jc w:val="left"/>
        <w:tblInd w:w="0" w:type="dxa"/>
        <w:tblCellMar>
          <w:top w:w="0" w:type="dxa"/>
          <w:left w:w="0" w:type="dxa"/>
          <w:bottom w:w="0" w:type="dxa"/>
          <w:right w:w="0" w:type="dxa"/>
        </w:tblCellMar>
      </w:tblPr>
      <w:tblGrid>
        <w:gridCol w:w="110"/>
        <w:gridCol w:w="24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48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favorable safety profile;</w:t>
            </w:r>
          </w:p>
        </w:tc>
      </w:tr>
    </w:tbl>
    <w:tbl>
      <w:tblPr>
        <w:tblW w:w="6430" w:type="dxa"/>
        <w:jc w:val="left"/>
        <w:tblInd w:w="0" w:type="dxa"/>
        <w:tblCellMar>
          <w:top w:w="0" w:type="dxa"/>
          <w:left w:w="0" w:type="dxa"/>
          <w:bottom w:w="0" w:type="dxa"/>
          <w:right w:w="0" w:type="dxa"/>
        </w:tblCellMar>
      </w:tblPr>
      <w:tblGrid>
        <w:gridCol w:w="110"/>
        <w:gridCol w:w="632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32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convenience of once- or twice-daily oral administration;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efficient, predictable, scalable, and reproducible manufacturing, as well as long shelf life for potential stockpiling.</w:t>
            </w:r>
          </w:p>
        </w:tc>
      </w:tr>
    </w:tbl>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Development Programs</w:t>
      </w:r>
    </w:p>
    <w:p>
      <w:pPr>
        <w:pStyle w:val="TextBody"/>
        <w:spacing w:before="0" w:after="0"/>
        <w:rPr/>
      </w:pPr>
      <w:r>
        <w:rPr/>
        <w:t> </w:t>
      </w:r>
    </w:p>
    <w:p>
      <w:pPr>
        <w:pStyle w:val="TextBody"/>
        <w:spacing w:before="0" w:after="0"/>
        <w:rPr/>
      </w:pPr>
      <w:r>
        <w:rPr/>
        <w:t> </w:t>
      </w:r>
    </w:p>
    <w:p>
      <w:pPr>
        <w:pStyle w:val="TextBody"/>
        <w:spacing w:before="0" w:after="0"/>
        <w:rPr>
          <w:rFonts w:ascii="Arial" w:hAnsi="Arial"/>
          <w:b/>
          <w:i/>
          <w:caps w:val="false"/>
          <w:smallCaps w:val="false"/>
          <w:sz w:val="20"/>
        </w:rPr>
      </w:pPr>
      <w:r>
        <w:rPr>
          <w:rFonts w:ascii="Arial" w:hAnsi="Arial"/>
          <w:b/>
          <w:i/>
          <w:caps w:val="false"/>
          <w:smallCaps w:val="false"/>
          <w:sz w:val="20"/>
        </w:rPr>
        <w:t>AT-527 for the treatment of COVID-19</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highlight w:val="white"/>
        </w:rPr>
        <w:t xml:space="preserve">Although vaccines have an important role in mitigating the COVID-19 pandemic, we believe that there will be a continuing need for treatment options to stay ahead of the virus and the emergence of variants. </w:t>
      </w:r>
      <w:r>
        <w:rPr>
          <w:rFonts w:ascii="Arial" w:hAnsi="Arial"/>
          <w:b w:val="false"/>
          <w:i w:val="false"/>
          <w:caps w:val="false"/>
          <w:smallCaps w:val="false"/>
          <w:sz w:val="20"/>
        </w:rPr>
        <w:t>While there are parenterally or intravenously administered therapeutics available for use in the hospital setting, oral treatments would be more practical and efficient for use in the early stages of disease in an outpatient setting, including for patients with mild to moderate symptoms. Thus we believe that a significant and urgent unmet medical need remains for orally administered, direct acting antivirals with broad utility for the treatment of COVID-19.</w:t>
      </w:r>
      <w:r>
        <w:rPr>
          <w:rFonts w:ascii="Arial" w:hAnsi="Arial"/>
          <w:b w:val="false"/>
          <w:i w:val="false"/>
          <w:caps w:val="false"/>
          <w:smallCaps w:val="false"/>
          <w:spacing w:val="9"/>
          <w:sz w:val="20"/>
          <w:highlight w:val="white"/>
        </w:rPr>
        <w:t xml:space="preserv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COVID-19 is an acute viral infection. We believe antiviral therapeutics should be most effective against COVID-19 within the first stage of the infection when the viral load is at its maximum, which is consistent with rapid viral replication initially in nasal cells, throat cells and ultimately pulmonary cells. As shown in the illustration below, we believe that the use of a potent, safe, oral antiviral therapeutic to treat SARS-CoV-2-infected individuals in the early stage of infection will mitigate the onset of severe COVID-19 and avert hospitalization.</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120" w:after="0"/>
        <w:jc w:val="center"/>
        <w:rPr>
          <w:caps w:val="false"/>
          <w:smallCaps w:val="false"/>
        </w:rPr>
      </w:pPr>
      <w:r>
        <w:rPr>
          <w:caps w:val="false"/>
          <w:smallCaps w:val="false"/>
        </w:rPr>
        <w:drawing>
          <wp:inline distT="0" distB="0" distL="0" distR="0">
            <wp:extent cx="5200650" cy="2647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200650" cy="2647950"/>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i/>
          <w:caps w:val="false"/>
          <w:smallCaps w:val="false"/>
          <w:sz w:val="20"/>
        </w:rPr>
      </w:pPr>
      <w:r>
        <w:rPr>
          <w:rFonts w:ascii="Arial" w:hAnsi="Arial"/>
          <w:b/>
          <w:i/>
          <w:caps w:val="false"/>
          <w:smallCaps w:val="false"/>
          <w:sz w:val="20"/>
        </w:rPr>
        <w:t>SARS-CoV-2</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Background</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SARS-CoV-2 is a coronavirus, belonging to the </w:t>
      </w:r>
      <w:r>
        <w:rPr>
          <w:rFonts w:ascii="Arial" w:hAnsi="Arial"/>
          <w:b w:val="false"/>
          <w:i/>
          <w:caps w:val="false"/>
          <w:smallCaps w:val="false"/>
          <w:sz w:val="20"/>
        </w:rPr>
        <w:t>Coronaviridae</w:t>
      </w:r>
      <w:r>
        <w:rPr>
          <w:rFonts w:ascii="Arial" w:hAnsi="Arial"/>
          <w:b w:val="false"/>
          <w:i w:val="false"/>
          <w:caps w:val="false"/>
          <w:smallCaps w:val="false"/>
          <w:sz w:val="20"/>
        </w:rPr>
        <w:t xml:space="preserve"> family, and is an enveloped virus with a positive sense ssRNA genome which encodes 29 viral proteins. It is one of six other human coronaviruses that exist, with four responsible for one third of common cold infections.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SARS-CoV-2 is structurally similar to two other life-threatening coronaviruses: SARS-CoV and Middle East Respiratory Syndrome coronavirus (“MERS-CoV-1”). SARS-CoV-2 impairs respiratory function and spreads primarily from person to person via respiratory droplets among close contacts. Symptoms, which may include fever, cough, shortness of breath and fatigue, generally appear two to twelve days after exposure. Severe complications include pneumonia, multi-organ failure, and death.</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SARS-CoV-2 is a spherical virus that carries four different structural proteins: spike protein, envelope protein, membrane glycoprotein and nucleocapsid protein. As shown in the illustration below, the infection cycle begins when the spike proteins bind to the angiotensin-converting enzyme 2 cellular receptor (“ACE2”), on the surface of the target cells. A second cell surface protein, transmembrane serine protease 2 (“TMPRSS2”), enables the virion to enter the cell, where it releases its RNA. Some of this RNA is translated into new proteins using the host cell’s machinery—these proteins include the four structural proteins, as well as a number of non-structural proteins (“nsps”), that form the replication complex. Within this complex, RdRps catalyze the synthesis of the approximately 30,000-nucleotide RNA viral genome. The proteins and RNA are then assembled into a new virion in the Golgi and released through exocytosis.</w:t>
      </w:r>
    </w:p>
    <w:p>
      <w:pPr>
        <w:pStyle w:val="TextBody"/>
        <w:spacing w:before="240" w:after="0"/>
        <w:jc w:val="center"/>
        <w:rPr>
          <w:rFonts w:ascii="Arial" w:hAnsi="Arial"/>
          <w:b/>
          <w:i w:val="false"/>
          <w:caps w:val="false"/>
          <w:smallCaps w:val="false"/>
          <w:sz w:val="20"/>
        </w:rPr>
      </w:pPr>
      <w:r>
        <w:rPr>
          <w:rFonts w:ascii="Arial" w:hAnsi="Arial"/>
          <w:b/>
          <w:i w:val="false"/>
          <w:caps w:val="false"/>
          <w:smallCaps w:val="false"/>
          <w:sz w:val="20"/>
        </w:rPr>
        <w:t>SARS-CoV-2 replication process</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181600" cy="1504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181600" cy="1504950"/>
                    </a:xfrm>
                    <a:prstGeom prst="rect">
                      <a:avLst/>
                    </a:prstGeom>
                  </pic:spPr>
                </pic:pic>
              </a:graphicData>
            </a:graphic>
          </wp:inline>
        </w:drawing>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w:t>
      </w:r>
    </w:p>
    <w:p>
      <w:pPr>
        <w:pStyle w:val="HorizontalLine"/>
        <w:rPr/>
      </w:pPr>
      <w:r>
        <w:rPr/>
      </w:r>
    </w:p>
    <w:p>
      <w:pPr>
        <w:pStyle w:val="TextBody"/>
        <w:spacing w:before="20" w:after="0"/>
        <w:rPr>
          <w:rFonts w:ascii="Arial" w:hAnsi="Arial"/>
          <w:b/>
          <w:i/>
          <w:caps w:val="false"/>
          <w:smallCaps w:val="false"/>
          <w:sz w:val="20"/>
        </w:rPr>
      </w:pPr>
      <w:r>
        <w:rPr>
          <w:rFonts w:ascii="Arial" w:hAnsi="Arial"/>
          <w:b/>
          <w:i/>
          <w:caps w:val="false"/>
          <w:smallCaps w:val="false"/>
          <w:sz w:val="20"/>
        </w:rPr>
        <w:t>COVID-19</w:t>
      </w:r>
    </w:p>
    <w:p>
      <w:pPr>
        <w:pStyle w:val="TextBody"/>
        <w:spacing w:before="2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Current vaccine and treatment landscape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Several vaccines have been recently authorized for emergency use and additional vaccines and drug candidates are being developed to prevent infection and to create herd immunity, with the aim of preventing disease and reducing the amount of virus circulating within the community. Antiviral therapies are complementary to vaccines, and we anticipate that antivirals will continue to be essential because of uncertainties around the level of immunity that the vaccines will be able to generate, the durability of such immunity and the emergence of new variants of the virus that could change and potentially lessen the effectiveness of vaccines.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of March 29, 2021, the FDA has granted emergency-use authorizations for certain monoclonal antibody regimens for the treatment of mild to moderate COVID-19 and for convalescent plasma.  Antibody therapies, including those that are currently authorized for emergency use as well as those in development, may have application in prevention as well as treatment.  However, the antibodies currently in use and in development require parenteral administration and are historically more complex than small molecules to manufacture. We believe that these two factors will impact and limit the use of antibodies for the treatment of patients, particularly outpatients with COVID-19.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Remdesivir, an antiviral that is a RdRp inhibitor, is approved by the FDA for treatment of adults and pediatric patients 12 years of age and older with COVID-19 requiring hospitalization. The limited bioavailability of remdesivir requires administration via intravenous infusion, which we believe is likely to limit its use to hospitalized patients.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Clinical drug candidates in development include small molecules designed to work as direct acting antivirals, which may be administered for both treatment and potentially prophylaxis.  In addition to our antiviral candidate, AT-527, other antiviral drug candidates currently in development include </w:t>
      </w:r>
      <w:r>
        <w:rPr>
          <w:rFonts w:ascii="Arial" w:hAnsi="Arial"/>
          <w:b w:val="false"/>
          <w:i w:val="false"/>
          <w:caps w:val="false"/>
          <w:smallCaps w:val="false"/>
          <w:sz w:val="20"/>
          <w:highlight w:val="white"/>
        </w:rPr>
        <w:t>molnupiravir</w:t>
      </w:r>
      <w:r>
        <w:rPr>
          <w:rFonts w:ascii="Arial" w:hAnsi="Arial"/>
          <w:b w:val="false"/>
          <w:i w:val="false"/>
          <w:caps w:val="false"/>
          <w:smallCaps w:val="false"/>
          <w:sz w:val="20"/>
        </w:rPr>
        <w:t>, a nucleoside analog that incorporates into the viral RNA leading to lethal accumulation of mistakes or “error catastrophe” and PF-0083521, a protease inhibitor.</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to treatments directed at the virus, there are other immunomodulatory therapies such as interleukin-6 inhibitors, steroids, JAK inhibitors, and anti-tumor necrosis factor antibodies which are being developed to treat the host inflammatory response to the disease. </w:t>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Our approach</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together with our collaboration partner, Roche, are developing AT-527, an orally administered, novel antiviral product candidate, for the treatment of COVID-19. AT-527 uniquely inhibits viral RNA polymerase including both NiRAN and RdRp functional domains. </w:t>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Targeting SARS-COV-2 NiRAN/RdRp to treat COVID-19</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RNA polymerase complex of SARS-CoV and SARS-CoV-2 supports the transcription and replication of their approximately 30,000-nucleotide viral RNA genomes. It is the largest and most complex RNA synthesis machinery among RNA viruses. As shown in the illustration below, the multi-subunit SARS-CoV polymerase complex is composed of a number of nsps including viral RNA-dependent RNA polymerase (nsp12), processivity factors (nsp7, nsp8), a proofreading exonuclease, a N7-methyl transferase (nsp14), and a helicase (nsp13). The nsp12 protein contains two domains, a RdRp core, which is the catalytic subunit incorporating ribonucleotides into RNA templates, and a N-terminal NiRAN domain, the function of which was previously unknown.  </w:t>
      </w:r>
    </w:p>
    <w:p>
      <w:pPr>
        <w:pStyle w:val="TextBody"/>
        <w:spacing w:before="240" w:after="0"/>
        <w:jc w:val="center"/>
        <w:rPr>
          <w:rFonts w:ascii="Arial" w:hAnsi="Arial"/>
          <w:b/>
          <w:i w:val="false"/>
          <w:caps w:val="false"/>
          <w:smallCaps w:val="false"/>
          <w:sz w:val="20"/>
        </w:rPr>
      </w:pPr>
      <w:r>
        <w:rPr>
          <w:rFonts w:ascii="Arial" w:hAnsi="Arial"/>
          <w:b/>
          <w:i w:val="false"/>
          <w:caps w:val="false"/>
          <w:smallCaps w:val="false"/>
          <w:sz w:val="20"/>
        </w:rPr>
        <w:t>SARS-CoV RNA Polymerase</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143500" cy="1238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143500" cy="1238250"/>
                    </a:xfrm>
                    <a:prstGeom prst="rect">
                      <a:avLst/>
                    </a:prstGeom>
                  </pic:spPr>
                </pic:pic>
              </a:graphicData>
            </a:graphic>
          </wp:inline>
        </w:drawing>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We have investigated the mechanism by which SARS-CoV initiates viral RNA synthesis and have discovered that there are two distinct pathways: one protein-primed and mediated by the NiRAN through the UMPylation of nsp8, and the other through </w:t>
      </w:r>
      <w:r>
        <w:rPr>
          <w:rFonts w:ascii="Arial" w:hAnsi="Arial"/>
          <w:b w:val="false"/>
          <w:i/>
          <w:caps w:val="false"/>
          <w:smallCaps w:val="false"/>
          <w:sz w:val="20"/>
        </w:rPr>
        <w:t>de novo</w:t>
      </w:r>
      <w:r>
        <w:rPr>
          <w:rFonts w:ascii="Arial" w:hAnsi="Arial"/>
          <w:b w:val="false"/>
          <w:i w:val="false"/>
          <w:caps w:val="false"/>
          <w:smallCaps w:val="false"/>
          <w:sz w:val="20"/>
        </w:rPr>
        <w:t xml:space="preserve"> synthesis of dinucleotide primers in a NiRAN-independent manner. Importantly, both functions can be inhibited by AT-9010, the active triphosphate metabolite of the prodrug AT-527. Furthermore, we have obtained a 2.98 Å cryo-EM quaternary structure of nsp12/7/8/RNA/AT-9100, which confirms that AT-9010 not only bound to the NiRAN active site but also was incorporated by the RdRp and functions as a chain terminator.  We believe this unique dual mechanism of AT-527 may create a potentially higher barrier to resistance compared to other direct acting antiviral inhibitors. </w:t>
      </w:r>
      <w:r>
        <w:rPr>
          <w:rFonts w:ascii="Arial" w:hAnsi="Arial"/>
          <w:b w:val="false"/>
          <w:i w:val="false"/>
          <w:caps w:val="false"/>
          <w:smallCaps w:val="false"/>
          <w:color w:val="000000"/>
          <w:sz w:val="20"/>
          <w:highlight w:val="white"/>
        </w:rPr>
        <w:t xml:space="preserve">We expect that AT-527 will maintain its antiviral activity even against the recently emerged variants with mutations in the spike (S) protein responsible for the receptor recognition and host cell membrane fusion process. </w:t>
      </w:r>
      <w:r>
        <w:rPr>
          <w:rFonts w:ascii="Arial" w:hAnsi="Arial"/>
          <w:b w:val="false"/>
          <w:i w:val="false"/>
          <w:caps w:val="false"/>
          <w:smallCaps w:val="false"/>
          <w:sz w:val="20"/>
        </w:rPr>
        <w:t>These variants may affect the efficacy of vaccines and antibodies due to the mutations in the viral spike protein.</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It is also conceivable that the proofreading exonuclease activity of nsp14 could remove the terminating analog nucleotide from the RdRp core and experiments to demonstrate this are ongoing.  However, the NiRAN function has no exonuclease activity. </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 xml:space="preserve">Preclinical Studies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AT-511, the free base of AT-527, has shown </w:t>
      </w:r>
      <w:r>
        <w:rPr>
          <w:rFonts w:ascii="Arial" w:hAnsi="Arial"/>
          <w:b w:val="false"/>
          <w:i/>
          <w:caps w:val="false"/>
          <w:smallCaps w:val="false"/>
          <w:sz w:val="20"/>
        </w:rPr>
        <w:t>in vitro</w:t>
      </w:r>
      <w:r>
        <w:rPr>
          <w:rFonts w:ascii="Arial" w:hAnsi="Arial"/>
          <w:b w:val="false"/>
          <w:i w:val="false"/>
          <w:caps w:val="false"/>
          <w:smallCaps w:val="false"/>
          <w:sz w:val="20"/>
        </w:rPr>
        <w:t xml:space="preserve"> antiviral activity against multiple ssRNA viruses, including human flaviviruses and coronaviruses.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assessed the </w:t>
      </w:r>
      <w:r>
        <w:rPr>
          <w:rFonts w:ascii="Arial" w:hAnsi="Arial"/>
          <w:b w:val="false"/>
          <w:i/>
          <w:caps w:val="false"/>
          <w:smallCaps w:val="false"/>
          <w:sz w:val="20"/>
        </w:rPr>
        <w:t>in vitro</w:t>
      </w:r>
      <w:r>
        <w:rPr>
          <w:rFonts w:ascii="Arial" w:hAnsi="Arial"/>
          <w:b w:val="false"/>
          <w:i w:val="false"/>
          <w:caps w:val="false"/>
          <w:smallCaps w:val="false"/>
          <w:sz w:val="20"/>
        </w:rPr>
        <w:t xml:space="preserve"> potency of AT-511 against SARS-CoV and SARS-CoV-2. The data observed is summarized in the table below.</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activity against SARS-CoV was assessed after exposure of Huh-7 cells to virus and serial dilutions of test compound by determining the effective concentration required to reduce secretion of infectious virus into the culture medium by 90% (EC90) after a 3-day incubation using a standard endpoint dilution CCID50 assay to determine virus yield reduction (VYR). Half-maximal cytotoxicity (CC50) was measured by neutral red staining of compound-treated duplicates in the absence of virus.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Since Huh-7 cells were unable to support infection by and replication of SARS-CoV-2, normal human airway epithelial (“HAE”) cell preparations were used to assess the activity of AT-511 against this virus, using the same method as described above. Cytotoxicity was assessed by visual inspection of the cells at the end of the 5-day incubation period.</w:t>
      </w:r>
    </w:p>
    <w:p>
      <w:pPr>
        <w:pStyle w:val="TextBody"/>
        <w:spacing w:before="120" w:after="0"/>
        <w:jc w:val="center"/>
        <w:rPr>
          <w:rFonts w:ascii="Arial" w:hAnsi="Arial"/>
          <w:b/>
          <w:i/>
          <w:caps w:val="false"/>
          <w:smallCaps w:val="false"/>
          <w:sz w:val="20"/>
        </w:rPr>
      </w:pPr>
      <w:r>
        <w:rPr>
          <w:rFonts w:ascii="Arial" w:hAnsi="Arial"/>
          <w:b/>
          <w:i/>
          <w:caps w:val="false"/>
          <w:smallCaps w:val="false"/>
          <w:sz w:val="20"/>
        </w:rPr>
        <w:t xml:space="preserve">In Vitro </w:t>
      </w:r>
      <w:r>
        <w:rPr>
          <w:rFonts w:ascii="Arial" w:hAnsi="Arial"/>
          <w:b/>
          <w:i w:val="false"/>
          <w:caps w:val="false"/>
          <w:smallCaps w:val="false"/>
          <w:sz w:val="20"/>
        </w:rPr>
        <w:t>Activity of AT-511 (free base of AT-527) Against Human Coronaviruses</w:t>
      </w:r>
    </w:p>
    <w:p>
      <w:pPr>
        <w:pStyle w:val="TextBody"/>
        <w:spacing w:before="0" w:after="0"/>
        <w:rPr/>
      </w:pPr>
      <w:r>
        <w:rPr/>
        <w:t> </w:t>
      </w:r>
    </w:p>
    <w:tbl>
      <w:tblPr>
        <w:tblW w:w="5605" w:type="dxa"/>
        <w:jc w:val="center"/>
        <w:tblInd w:w="0" w:type="dxa"/>
        <w:tblCellMar>
          <w:top w:w="0" w:type="dxa"/>
          <w:left w:w="0" w:type="dxa"/>
          <w:bottom w:w="0" w:type="dxa"/>
          <w:right w:w="0" w:type="dxa"/>
        </w:tblCellMar>
      </w:tblPr>
      <w:tblGrid>
        <w:gridCol w:w="1220"/>
        <w:gridCol w:w="710"/>
        <w:gridCol w:w="1070"/>
        <w:gridCol w:w="1160"/>
        <w:gridCol w:w="1445"/>
      </w:tblGrid>
      <w:tr>
        <w:trPr/>
        <w:tc>
          <w:tcPr>
            <w:tcW w:w="122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r>
      <w:tr>
        <w:trPr/>
        <w:tc>
          <w:tcPr>
            <w:tcW w:w="1220" w:type="dxa"/>
            <w:tcBorders>
              <w:bottom w:val="single" w:sz="36" w:space="0" w:color="FFFFFF"/>
              <w:right w:val="single" w:sz="8" w:space="0" w:color="FFFFFF"/>
            </w:tcBorders>
            <w:shd w:fill="03AD7C" w:val="clear"/>
            <w:tcMar>
              <w:bottom w:w="28" w:type="dxa"/>
              <w:right w:w="28" w:type="dxa"/>
            </w:tcMar>
            <w:vAlign w:val="center"/>
          </w:tcPr>
          <w:p>
            <w:pPr>
              <w:pStyle w:val="TableContents"/>
              <w:spacing w:before="120" w:after="120"/>
              <w:ind w:left="0" w:right="0" w:hanging="0"/>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 xml:space="preserve">Virus </w:t>
              <w:br/>
              <w:t>(genus)</w:t>
            </w:r>
          </w:p>
        </w:tc>
        <w:tc>
          <w:tcPr>
            <w:tcW w:w="710" w:type="dxa"/>
            <w:tcBorders>
              <w:left w:val="single" w:sz="8" w:space="0" w:color="FFFFFF"/>
              <w:bottom w:val="single" w:sz="36" w:space="0" w:color="FFFFFF"/>
              <w:right w:val="single" w:sz="8" w:space="0" w:color="FFFFFF"/>
            </w:tcBorders>
            <w:shd w:fill="03AD7C" w:val="clear"/>
            <w:tcMar>
              <w:left w:w="28" w:type="dxa"/>
              <w:bottom w:w="28" w:type="dxa"/>
              <w:right w:w="28" w:type="dxa"/>
            </w:tcMar>
            <w:vAlign w:val="center"/>
          </w:tcPr>
          <w:p>
            <w:pPr>
              <w:pStyle w:val="TableContents"/>
              <w:spacing w:before="120" w:after="120"/>
              <w:ind w:left="0" w:right="0" w:hanging="0"/>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Cell line</w:t>
            </w:r>
          </w:p>
        </w:tc>
        <w:tc>
          <w:tcPr>
            <w:tcW w:w="1070" w:type="dxa"/>
            <w:tcBorders>
              <w:left w:val="single" w:sz="8" w:space="0" w:color="FFFFFF"/>
              <w:bottom w:val="single" w:sz="36" w:space="0" w:color="FFFFFF"/>
              <w:right w:val="single" w:sz="8" w:space="0" w:color="FFFFFF"/>
            </w:tcBorders>
            <w:shd w:fill="03AD7C" w:val="clear"/>
            <w:tcMar>
              <w:left w:w="28" w:type="dxa"/>
              <w:bottom w:w="28" w:type="dxa"/>
              <w:right w:w="28" w:type="dxa"/>
            </w:tcMar>
            <w:vAlign w:val="center"/>
          </w:tcPr>
          <w:p>
            <w:pPr>
              <w:pStyle w:val="TableContents"/>
              <w:spacing w:before="120" w:after="120"/>
              <w:ind w:left="0" w:right="0" w:hanging="0"/>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Compound</w:t>
            </w:r>
          </w:p>
        </w:tc>
        <w:tc>
          <w:tcPr>
            <w:tcW w:w="1160" w:type="dxa"/>
            <w:tcBorders>
              <w:left w:val="single" w:sz="8" w:space="0" w:color="FFFFFF"/>
              <w:bottom w:val="single" w:sz="36" w:space="0" w:color="FFFFFF"/>
              <w:right w:val="single" w:sz="8" w:space="0" w:color="FFFFFF"/>
            </w:tcBorders>
            <w:shd w:fill="03AD7C" w:val="clear"/>
            <w:tcMar>
              <w:left w:w="28" w:type="dxa"/>
              <w:bottom w:w="28" w:type="dxa"/>
              <w:right w:w="28" w:type="dxa"/>
            </w:tcMar>
            <w:vAlign w:val="center"/>
          </w:tcPr>
          <w:p>
            <w:pPr>
              <w:pStyle w:val="TableContents"/>
              <w:spacing w:before="120" w:after="120"/>
              <w:ind w:left="0" w:right="0" w:hanging="0"/>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 xml:space="preserve">Cytopathic </w:t>
              <w:br/>
              <w:t>Effect Assay</w:t>
              <w:br/>
              <w:t>CC50 (µM)</w:t>
            </w:r>
          </w:p>
        </w:tc>
        <w:tc>
          <w:tcPr>
            <w:tcW w:w="1445" w:type="dxa"/>
            <w:tcBorders>
              <w:left w:val="single" w:sz="8" w:space="0" w:color="FFFFFF"/>
              <w:bottom w:val="single" w:sz="36" w:space="0" w:color="FFFFFF"/>
              <w:right w:val="single" w:sz="8" w:space="0" w:color="FFFFFF"/>
            </w:tcBorders>
            <w:shd w:fill="03AD7C" w:val="clear"/>
            <w:tcMar>
              <w:left w:w="28" w:type="dxa"/>
              <w:bottom w:w="28" w:type="dxa"/>
              <w:right w:w="28" w:type="dxa"/>
            </w:tcMar>
            <w:vAlign w:val="center"/>
          </w:tcPr>
          <w:p>
            <w:pPr>
              <w:pStyle w:val="TableContents"/>
              <w:spacing w:before="120" w:after="120"/>
              <w:ind w:left="0" w:right="0" w:hanging="0"/>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Virus Yield</w:t>
              <w:br/>
              <w:t xml:space="preserve">Reduction </w:t>
              <w:br/>
              <w:t xml:space="preserve">Assay EC90 </w:t>
              <w:br/>
              <w:t>(µM)(n)</w:t>
            </w:r>
          </w:p>
        </w:tc>
      </w:tr>
      <w:tr>
        <w:trPr/>
        <w:tc>
          <w:tcPr>
            <w:tcW w:w="1220" w:type="dxa"/>
            <w:tcBorders>
              <w:top w:val="single" w:sz="36" w:space="0" w:color="FFFFFF"/>
              <w:right w:val="single" w:sz="24" w:space="0" w:color="FFFFFF"/>
            </w:tcBorders>
            <w:shd w:fill="F1F1F1" w:val="clear"/>
            <w:tcMar>
              <w:top w:w="34" w:type="dxa"/>
              <w:right w:w="28" w:type="dxa"/>
            </w:tcMar>
            <w:vAlign w:val="center"/>
          </w:tcPr>
          <w:p>
            <w:pPr>
              <w:pStyle w:val="TableContents"/>
              <w:spacing w:before="120" w:after="12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SARS‐CoV</w:t>
              <w:br/>
              <w:t>(beta)</w:t>
            </w:r>
          </w:p>
        </w:tc>
        <w:tc>
          <w:tcPr>
            <w:tcW w:w="710" w:type="dxa"/>
            <w:tcBorders>
              <w:top w:val="single" w:sz="36" w:space="0" w:color="FFFFFF"/>
              <w:left w:val="single" w:sz="24" w:space="0" w:color="FFFFFF"/>
              <w:right w:val="single" w:sz="24" w:space="0" w:color="FFFFFF"/>
            </w:tcBorders>
            <w:shd w:fill="F1F1F1" w:val="clear"/>
            <w:tcMar>
              <w:top w:w="194" w:type="dxa"/>
              <w:left w:w="28" w:type="dxa"/>
              <w:right w:w="28" w:type="dxa"/>
            </w:tcMar>
            <w:vAlign w:val="center"/>
          </w:tcPr>
          <w:p>
            <w:pPr>
              <w:pStyle w:val="TableContents"/>
              <w:spacing w:before="120" w:after="12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Huh‐7</w:t>
            </w:r>
          </w:p>
        </w:tc>
        <w:tc>
          <w:tcPr>
            <w:tcW w:w="1070" w:type="dxa"/>
            <w:tcBorders>
              <w:top w:val="single" w:sz="36" w:space="0" w:color="FFFFFF"/>
              <w:left w:val="single" w:sz="24" w:space="0" w:color="FFFFFF"/>
              <w:right w:val="single" w:sz="24" w:space="0" w:color="FFFFFF"/>
            </w:tcBorders>
            <w:shd w:fill="F1F1F1" w:val="clear"/>
            <w:tcMar>
              <w:top w:w="191" w:type="dxa"/>
              <w:left w:w="28" w:type="dxa"/>
              <w:right w:w="28" w:type="dxa"/>
            </w:tcMar>
            <w:vAlign w:val="center"/>
          </w:tcPr>
          <w:p>
            <w:pPr>
              <w:pStyle w:val="TableContents"/>
              <w:spacing w:before="120" w:after="12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AT‐511</w:t>
            </w:r>
          </w:p>
        </w:tc>
        <w:tc>
          <w:tcPr>
            <w:tcW w:w="1160" w:type="dxa"/>
            <w:tcBorders>
              <w:top w:val="single" w:sz="36" w:space="0" w:color="FFFFFF"/>
              <w:left w:val="single" w:sz="24" w:space="0" w:color="FFFFFF"/>
              <w:right w:val="single" w:sz="24" w:space="0" w:color="FFFFFF"/>
            </w:tcBorders>
            <w:shd w:fill="F1F1F1" w:val="clear"/>
            <w:tcMar>
              <w:top w:w="194" w:type="dxa"/>
              <w:left w:w="28" w:type="dxa"/>
              <w:right w:w="28" w:type="dxa"/>
            </w:tcMar>
            <w:vAlign w:val="center"/>
          </w:tcPr>
          <w:p>
            <w:pPr>
              <w:pStyle w:val="TableContents"/>
              <w:spacing w:before="120" w:after="12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&gt;86</w:t>
            </w:r>
          </w:p>
        </w:tc>
        <w:tc>
          <w:tcPr>
            <w:tcW w:w="1445" w:type="dxa"/>
            <w:tcBorders>
              <w:top w:val="single" w:sz="36" w:space="0" w:color="FFFFFF"/>
              <w:left w:val="single" w:sz="24" w:space="0" w:color="FFFFFF"/>
              <w:right w:val="single" w:sz="24" w:space="0" w:color="FFFFFF"/>
            </w:tcBorders>
            <w:shd w:fill="F1F1F1" w:val="clear"/>
            <w:tcMar>
              <w:top w:w="191" w:type="dxa"/>
              <w:left w:w="28" w:type="dxa"/>
              <w:right w:w="28" w:type="dxa"/>
            </w:tcMar>
            <w:vAlign w:val="center"/>
          </w:tcPr>
          <w:p>
            <w:pPr>
              <w:pStyle w:val="TableContents"/>
              <w:spacing w:before="120" w:after="12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0.34</w:t>
            </w:r>
          </w:p>
        </w:tc>
      </w:tr>
      <w:tr>
        <w:trPr/>
        <w:tc>
          <w:tcPr>
            <w:tcW w:w="1220" w:type="dxa"/>
            <w:tcBorders>
              <w:right w:val="single" w:sz="24" w:space="0" w:color="FFFFFF"/>
            </w:tcBorders>
            <w:shd w:fill="F1F1F1" w:val="clear"/>
            <w:tcMar>
              <w:right w:w="28" w:type="dxa"/>
            </w:tcMar>
            <w:vAlign w:val="center"/>
          </w:tcPr>
          <w:p>
            <w:pPr>
              <w:pStyle w:val="TableContents"/>
              <w:spacing w:before="120" w:after="12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 xml:space="preserve">SARS‐CoV‐2 </w:t>
              <w:br/>
              <w:t>(beta)</w:t>
            </w:r>
          </w:p>
        </w:tc>
        <w:tc>
          <w:tcPr>
            <w:tcW w:w="710" w:type="dxa"/>
            <w:tcBorders>
              <w:left w:val="single" w:sz="24" w:space="0" w:color="FFFFFF"/>
              <w:right w:val="single" w:sz="24" w:space="0" w:color="FFFFFF"/>
            </w:tcBorders>
            <w:shd w:fill="F1F1F1" w:val="clear"/>
            <w:tcMar>
              <w:left w:w="28" w:type="dxa"/>
              <w:right w:w="28" w:type="dxa"/>
            </w:tcMar>
            <w:vAlign w:val="center"/>
          </w:tcPr>
          <w:p>
            <w:pPr>
              <w:pStyle w:val="TableContents"/>
              <w:spacing w:before="120" w:after="12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HAE</w:t>
            </w:r>
          </w:p>
        </w:tc>
        <w:tc>
          <w:tcPr>
            <w:tcW w:w="1070" w:type="dxa"/>
            <w:tcBorders>
              <w:left w:val="single" w:sz="24" w:space="0" w:color="FFFFFF"/>
              <w:right w:val="single" w:sz="24" w:space="0" w:color="FFFFFF"/>
            </w:tcBorders>
            <w:shd w:fill="F1F1F1" w:val="clear"/>
            <w:tcMar>
              <w:left w:w="28" w:type="dxa"/>
              <w:right w:w="28" w:type="dxa"/>
            </w:tcMar>
            <w:vAlign w:val="center"/>
          </w:tcPr>
          <w:p>
            <w:pPr>
              <w:pStyle w:val="TableContents"/>
              <w:spacing w:before="12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AT‐511</w:t>
            </w:r>
          </w:p>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molnupiravir</w:t>
            </w:r>
          </w:p>
          <w:p>
            <w:pPr>
              <w:pStyle w:val="TableContents"/>
              <w:spacing w:before="0" w:after="12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 xml:space="preserve">remdesivir </w:t>
            </w:r>
          </w:p>
        </w:tc>
        <w:tc>
          <w:tcPr>
            <w:tcW w:w="1160" w:type="dxa"/>
            <w:tcBorders>
              <w:left w:val="single" w:sz="24" w:space="0" w:color="FFFFFF"/>
              <w:right w:val="single" w:sz="24" w:space="0" w:color="FFFFFF"/>
            </w:tcBorders>
            <w:shd w:fill="F1F1F1" w:val="clear"/>
            <w:tcMar>
              <w:left w:w="28" w:type="dxa"/>
              <w:right w:w="28" w:type="dxa"/>
            </w:tcMar>
            <w:vAlign w:val="center"/>
          </w:tcPr>
          <w:p>
            <w:pPr>
              <w:pStyle w:val="TableContents"/>
              <w:spacing w:lineRule="auto" w:line="288" w:before="12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&gt;86a</w:t>
            </w:r>
          </w:p>
          <w:p>
            <w:pPr>
              <w:pStyle w:val="TableContents"/>
              <w:spacing w:lineRule="auto" w:line="288"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&gt;19a</w:t>
            </w:r>
          </w:p>
          <w:p>
            <w:pPr>
              <w:pStyle w:val="TableContents"/>
              <w:spacing w:lineRule="auto" w:line="288" w:before="0" w:after="12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&gt;8.3a</w:t>
            </w:r>
          </w:p>
        </w:tc>
        <w:tc>
          <w:tcPr>
            <w:tcW w:w="1445" w:type="dxa"/>
            <w:tcBorders>
              <w:left w:val="single" w:sz="24" w:space="0" w:color="FFFFFF"/>
              <w:right w:val="single" w:sz="24" w:space="0" w:color="FFFFFF"/>
            </w:tcBorders>
            <w:shd w:fill="F1F1F1" w:val="clear"/>
            <w:tcMar>
              <w:left w:w="28" w:type="dxa"/>
              <w:right w:w="28" w:type="dxa"/>
            </w:tcMar>
            <w:vAlign w:val="center"/>
          </w:tcPr>
          <w:p>
            <w:pPr>
              <w:pStyle w:val="TableContents"/>
              <w:spacing w:before="12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0.47 ± 0.012 (5)</w:t>
            </w:r>
          </w:p>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2.8 ± 1.0 (3)</w:t>
            </w:r>
          </w:p>
          <w:p>
            <w:pPr>
              <w:pStyle w:val="TableContents"/>
              <w:spacing w:before="0" w:after="12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0.002 to 0.27 (5)</w:t>
            </w:r>
          </w:p>
        </w:tc>
      </w:tr>
    </w:tbl>
    <w:p>
      <w:pPr>
        <w:pStyle w:val="TextBody"/>
        <w:spacing w:before="0" w:after="0"/>
        <w:rPr/>
      </w:pPr>
      <w:r>
        <w:rPr/>
        <w:t> </w:t>
      </w:r>
    </w:p>
    <w:p>
      <w:pPr>
        <w:pStyle w:val="TextBody"/>
        <w:spacing w:lineRule="auto" w:line="288" w:before="0" w:after="0"/>
        <w:rPr>
          <w:rFonts w:ascii="Arial" w:hAnsi="Arial"/>
          <w:b w:val="false"/>
          <w:i w:val="false"/>
          <w:caps w:val="false"/>
          <w:smallCaps w:val="false"/>
          <w:sz w:val="20"/>
        </w:rPr>
      </w:pPr>
      <w:r>
        <w:rPr>
          <w:rFonts w:ascii="Arial" w:hAnsi="Arial"/>
          <w:b w:val="false"/>
          <w:i w:val="false"/>
          <w:caps w:val="false"/>
          <w:smallCaps w:val="false"/>
          <w:sz w:val="20"/>
        </w:rPr>
        <w:t>aCytotoxicity assessed by visual inspection of cell monolayers</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Huh‐7, human hepatocyte carcinoma cell line (established ability to form triphosphate from AT‐511)</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HAE, human airway epithelial cell culture (established ability to form triphosphate from AT‐511)</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The EC90 values for AT-511 against SARS-CoV and SARS-CoV-2 were 0.34 µM and an average of 0.5 µM from five independent experiments. The concentration of AT-511 required to exhibit CC50 of the host cells used in these assays to support viral infection and propagation was consistently greater than the highest concentration tested (&gt;86 µM). The sub-micromolar EC90 values, in combination with the lack of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w:t>
      </w:r>
    </w:p>
    <w:p>
      <w:pPr>
        <w:pStyle w:val="HorizontalLine"/>
        <w:rPr/>
      </w:pPr>
      <w:r>
        <w:rPr/>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toxicity observed in the host cells, suggests the potential for high potency and selectivity of AT-511 </w:t>
      </w:r>
      <w:r>
        <w:rPr>
          <w:rFonts w:ascii="Arial" w:hAnsi="Arial"/>
          <w:b w:val="false"/>
          <w:i/>
          <w:caps w:val="false"/>
          <w:smallCaps w:val="false"/>
          <w:sz w:val="20"/>
        </w:rPr>
        <w:t>in vivo</w:t>
      </w:r>
      <w:r>
        <w:rPr>
          <w:rFonts w:ascii="Arial" w:hAnsi="Arial"/>
          <w:b w:val="false"/>
          <w:i w:val="false"/>
          <w:caps w:val="false"/>
          <w:smallCaps w:val="false"/>
          <w:sz w:val="20"/>
        </w:rPr>
        <w:t xml:space="preserve"> against these SARS coronaviruses.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EC90 for remdesivir, which was included in all SARS-CoV-2 assays as a positive control and was included as a blinded test article in two independent assays, ranged from 0.002-0.27 µM. The potency of remdesivir, however, is likely a combination of its antiviral activity and cytotoxicity since dying and dead cells cannot support efficient viral replication. The CC50 for remdesivir, determined by neutral red staining in the SARS-CoV assay conducted in human cells (Huh-7; less precise visual assessments without staining were used to determine cytotoxicity in the HAE assays) ranged from 5-11 µM. Similar </w:t>
      </w:r>
      <w:r>
        <w:rPr>
          <w:rFonts w:ascii="Arial" w:hAnsi="Arial"/>
          <w:b w:val="false"/>
          <w:i/>
          <w:caps w:val="false"/>
          <w:smallCaps w:val="false"/>
          <w:sz w:val="20"/>
        </w:rPr>
        <w:t>in vitro</w:t>
      </w:r>
      <w:r>
        <w:rPr>
          <w:rFonts w:ascii="Arial" w:hAnsi="Arial"/>
          <w:b w:val="false"/>
          <w:i w:val="false"/>
          <w:caps w:val="false"/>
          <w:smallCaps w:val="false"/>
          <w:sz w:val="20"/>
        </w:rPr>
        <w:t xml:space="preserve"> cytotoxicity of remdesivir (1.7-36 µM CC50) has been reported in other cell lines.</w:t>
      </w:r>
    </w:p>
    <w:p>
      <w:pPr>
        <w:pStyle w:val="TextBody"/>
        <w:spacing w:lineRule="auto" w:line="288"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also assessed the </w:t>
      </w:r>
      <w:r>
        <w:rPr>
          <w:rFonts w:ascii="Arial" w:hAnsi="Arial"/>
          <w:b w:val="false"/>
          <w:i/>
          <w:caps w:val="false"/>
          <w:smallCaps w:val="false"/>
          <w:sz w:val="20"/>
        </w:rPr>
        <w:t>in vitro</w:t>
      </w:r>
      <w:r>
        <w:rPr>
          <w:rFonts w:ascii="Arial" w:hAnsi="Arial"/>
          <w:b w:val="false"/>
          <w:i w:val="false"/>
          <w:caps w:val="false"/>
          <w:smallCaps w:val="false"/>
          <w:sz w:val="20"/>
        </w:rPr>
        <w:t xml:space="preserve"> potency of N4-hydroxycytidine, the nucleoside formed from the oral prodrug molnupiravir currently being developed by Ridgeback/Merck for the treatment of COVID-19. N4-hydroxycytidine was five to eight times less potent than AT-511 against SARS-CoV-2 in the same experiment. We also assessed the antiviral activity of sofosbuvir and found that it did not inhibit SARS-CoV replication in BHK-21 cells at concentrations as high as 100 µM and was a poor inhibitor of SARS-CoV-2 with an estimated EC90 of about 8 µM in HAE cells.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to assessing the </w:t>
      </w:r>
      <w:r>
        <w:rPr>
          <w:rFonts w:ascii="Arial" w:hAnsi="Arial"/>
          <w:b w:val="false"/>
          <w:i/>
          <w:caps w:val="false"/>
          <w:smallCaps w:val="false"/>
          <w:sz w:val="20"/>
        </w:rPr>
        <w:t>in vitro</w:t>
      </w:r>
      <w:r>
        <w:rPr>
          <w:rFonts w:ascii="Arial" w:hAnsi="Arial"/>
          <w:b w:val="false"/>
          <w:i w:val="false"/>
          <w:caps w:val="false"/>
          <w:smallCaps w:val="false"/>
          <w:sz w:val="20"/>
        </w:rPr>
        <w:t xml:space="preserve"> potency of AT-511 against SARS-CoV-2 and SARS-CoV, we evaluated the formation and intracellular half-life of AT-9010, the active triphosphate metabolite of AT-527, in primary human nasal and bronchial epithelial cells. Also, we evaluated the pharmacokinetics and intracellular half-life of AT-9010 in tissues of non-human primates after oral administration of AT-527.</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Substantial levels of the active triphosphate of AT-527 were formed in normal human bronchial and nasal epithelial cells incubated </w:t>
      </w:r>
      <w:r>
        <w:rPr>
          <w:rFonts w:ascii="Arial" w:hAnsi="Arial"/>
          <w:b w:val="false"/>
          <w:i/>
          <w:caps w:val="false"/>
          <w:smallCaps w:val="false"/>
          <w:sz w:val="20"/>
        </w:rPr>
        <w:t>in vitro</w:t>
      </w:r>
      <w:r>
        <w:rPr>
          <w:rFonts w:ascii="Arial" w:hAnsi="Arial"/>
          <w:b w:val="false"/>
          <w:i w:val="false"/>
          <w:caps w:val="false"/>
          <w:smallCaps w:val="false"/>
          <w:sz w:val="20"/>
        </w:rPr>
        <w:t xml:space="preserve"> with 10 µM AT-511. After an 8-hour incubation, intracellular concentrations of the triphosphate were 698 and 236 µM in the bronchial and nasal cells, respectively. After replacement of the culture medium at 8 hours with fresh medium without AT-511, the half-life of the active triphosphate was determined to be 39 and 38 hours in the respective cell incubations. The accumulation and half-life of remdesivir triphosphate has been reported in the same type of human bronchial epithelial cells incubated with 1 µM remdesivir. After similar eight hour incubations, the concentration of remdesivir triphosphate, normalized to a dose of 10 µM, is at least 7-fold lower than the observed concentration of AT-9010 in the same cell type. In similar incubations of 1 µM remdesivir with human bronchial epithelial cells for two hours followed by washout of drug and continued incubation for 30 hours, the initial half-life of remdesivir triphosphate was less than 8 hours which is at least 4 times shorter than the half-life of AT-9010 in the same primary human lung cells, suggesting the accumulation of higher levels of AT-9010 leading to a potentially greater antiviral effect after twice daily oral administration of 550 mg AT-527 versus daily intravenous administration of remdesivir (200 mg loading + 100 mg maintenance doses).</w:t>
      </w:r>
    </w:p>
    <w:p>
      <w:pPr>
        <w:pStyle w:val="TextBody"/>
        <w:spacing w:before="120" w:after="0"/>
        <w:rPr>
          <w:rFonts w:ascii="Arial" w:hAnsi="Arial"/>
          <w:b w:val="false"/>
          <w:i w:val="false"/>
          <w:caps w:val="false"/>
          <w:smallCaps w:val="false"/>
          <w:sz w:val="20"/>
        </w:rPr>
      </w:pPr>
      <w:bookmarkStart w:id="10" w:name="_Hlk67407049"/>
      <w:bookmarkEnd w:id="10"/>
      <w:r>
        <w:rPr>
          <w:rFonts w:ascii="Arial" w:hAnsi="Arial"/>
          <w:b w:val="false"/>
          <w:i w:val="false"/>
          <w:caps w:val="false"/>
          <w:smallCaps w:val="false"/>
          <w:sz w:val="20"/>
        </w:rPr>
        <w:t xml:space="preserve">In non-human primates (“NHPs”) administered AT-527 orally for three days in the form of a loading dose (60 mg/kg) followed by five maintenance doses (30 mg/kg each) 12 hours apart, intracellular concentrations of the active triphosphate metabolite in lung, kidney and liver tissue 12 hours after the last dose (steady-state trough levels with respect to twice daily dosing) were 0.14, 0.13 and 0.09 µM, respectively. Since the NHP maintenance doses were allometrically scaled to be equivalent to the initially intended clinical maintenance doses for COVID-19 subjects (550 mg AT-527 given orally twice daily), predicted trough concentrations of AT-9010 in lung cells in prospective COVID-19 subjects were obtained from the plasma pharmacokinetics of AT-273 (surrogate for intracellular triphosphate concentrations) obtained from COVID-19 subjects given twice-daily oral doses of 550 mg AT-527.These values were adjusted by either the 1.6-fold greater triphosphate lung versus liver concentrations or the 1.2-fold greater lung triphosphate versus plasma AT-273 concentrations observed at 12 hours after the last dose in NHPs. These predictions of the trough human lung concentrations (0.9 and 0.7 µM, respectively) were based on the established close pharmacokinetic-pharmacodynamic relationship between plasma AT-273 concentrations and the antiviral effect in HCV-infected patients. We believe both predictions suggest that trough levels of the active triphosphate in COVID-19 patients during treatment with AT-527 should exceed the EC90 of 0.5 µM for AT-511 against SARS-CoV-2 replication. Moreover, we believe both predictions likely underestimate triphosphate trough levels in human lung since neither account for the extended intracellular half-life (39 hours) of the triphosphate observed exclusively in human lung epithelial cells </w:t>
      </w:r>
      <w:r>
        <w:rPr>
          <w:rFonts w:ascii="Arial" w:hAnsi="Arial"/>
          <w:b w:val="false"/>
          <w:i/>
          <w:caps w:val="false"/>
          <w:smallCaps w:val="false"/>
          <w:sz w:val="20"/>
        </w:rPr>
        <w:t>in vitro</w:t>
      </w:r>
      <w:r>
        <w:rPr>
          <w:rFonts w:ascii="Arial" w:hAnsi="Arial"/>
          <w:b w:val="false"/>
          <w:i w:val="false"/>
          <w:caps w:val="false"/>
          <w:smallCaps w:val="false"/>
          <w:sz w:val="20"/>
        </w:rPr>
        <w:t xml:space="preserve">.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w:t>
      </w:r>
    </w:p>
    <w:p>
      <w:pPr>
        <w:pStyle w:val="HorizontalLine"/>
        <w:rPr/>
      </w:pPr>
      <w:r>
        <w:rPr/>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Clinical Development History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AT-527 was initially developed for the treatment of chronic HCV, and we have completed two clinical trials of AT-527 in HCV. See –</w:t>
      </w:r>
      <w:r>
        <w:rPr>
          <w:rFonts w:ascii="Arial" w:hAnsi="Arial"/>
          <w:b w:val="false"/>
          <w:i/>
          <w:caps w:val="false"/>
          <w:smallCaps w:val="false"/>
          <w:sz w:val="20"/>
        </w:rPr>
        <w:t>Hepatitis C virus (HCV)—Clinical development</w:t>
      </w:r>
      <w:r>
        <w:rPr>
          <w:rFonts w:ascii="Arial" w:hAnsi="Arial"/>
          <w:b w:val="false"/>
          <w:i w:val="false"/>
          <w:caps w:val="false"/>
          <w:smallCaps w:val="false"/>
          <w:sz w:val="20"/>
        </w:rPr>
        <w:t xml:space="preserve">. By utilizing data that we obtained in our HCV clinical trials of AT-527, we were able to initiate our clinical development program of AT-527 for the treatment of patients with COVID-19. Ongoing clinical trials include a Phase 2 clinical trial in hospitalized patients, a Phase 2 clinical trial in the outpatient setting and a Phase 1 clinical trial in healthy volunteers. </w:t>
      </w:r>
    </w:p>
    <w:p>
      <w:pPr>
        <w:pStyle w:val="TextBody"/>
        <w:spacing w:before="0" w:after="0"/>
        <w:jc w:val="center"/>
        <w:rPr/>
      </w:pPr>
      <w:r>
        <w:rPr/>
        <w:t> </w:t>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Ongoing Phase 2 clinical trial in hospitalized patients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are currently conducting a randomized, double-blind, placebo-controlled, multi-center, global Phase 2 clinical trial of AT-527, which is expected to enroll approximately 190 COVID-19 hospitalized patients.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Patients eligible for enrollment in this Phase 2 clinical trial are aged 18 to 80 years with moderate COVID-19 illness and at least one risk factor suggestive of poor outcome (such as obesity, hypertension, a history of diabetes, or a history of asthma). Moderate severity is defined as having at least one symptom of lower respiratory infection consistent with COVID-19, as well as oxygen saturation below 93% on room air or requiring ≤2L/min oxygen to maintain oxygen saturation in excess of 93%. The primary efficacy endpoint is the change in level of respiratory insufficiency, assessed on an ordinal 6-category scale of respiratory support levels, as compared to placebo, where a statistically significant finding would be reflected by a significantly lower probability for AT-527-treated subjects to exhibit a worsening of respiratory insufficiency (requiring ≤2 level higher respiratory support) during the study compared to placebo recipients. The six categories of the ordinal scale are: (1) no respiratory support; (2) low-level passive O2 supplementation (up to 2 L/min) by mask or nasal cannula; (3) higher O2 supplementation (&gt;2 L/min); (4) any non-invasive form of positive-pressure oxygenation/ventilation; (5) invasive respiratory support; and (6) death. We believe the most important outcomes to be assessed in this trial are the effect of AT-527 versus placebo on the viral kinetics of the infection and the elucidation of the safety and tolerability of the drug at the dose of 550mg administered twice daily.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Trial participants are being randomized 1:1 (AT-527: placebo). The first 40 patients (20 AT-527, 20 placebo) received a dose of either 550 mg of AT-527 or placebo twice daily for five days in addition to supportive standard of care. In accordance with the protocol, an independent Data Safety Monitoring Board (“DSMB”), conducted safety reviews after the first cohort of 20 patients, and again after the second cohort of 20 patients, and approved continued enrollment of patients in the trial.</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There are additional planned pauses and DSMB reviews at each of the 50% and 75% enrollment levels.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expect to report interim virology data from this Phase 2 clinical trial in the second quarter of 2021.</w:t>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Ongoing Phase 2 clinical trial in an outpatient setting</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sz w:val="20"/>
        </w:rPr>
      </w:pPr>
      <w:r>
        <w:rPr>
          <w:rFonts w:ascii="Arial" w:hAnsi="Arial"/>
          <w:b w:val="false"/>
          <w:i w:val="false"/>
          <w:caps w:val="false"/>
          <w:smallCaps w:val="false"/>
          <w:sz w:val="20"/>
        </w:rPr>
        <w:t>In addition to the Phase 2 clinical trial in hospitalized patients, we, together with our collaborator, Roche, are conducting a randomized, double-blind, placebo-controlled Phase 2 clinical trial to evaluate the antiviral activity, safety, and pharmacokinetics of AT-527 in adult patients with mild or moderate COVID-19, with and without risk factors, in an outpatient setting (MOONSONG). There are multiple cohorts included in this clinical trial. The initial cohort is receiving 550 mg of AT-527 administered twice daily.  With additional cohorts we may investigate dosing regimens in addition to the 550 mg twice-daily dose. The study may enroll up to 220 patients in the U.K., Ireland and other countries.</w:t>
      </w:r>
    </w:p>
    <w:p>
      <w:pPr>
        <w:pStyle w:val="TextBody"/>
        <w:shd w:fill="FFFFFF" w:val="clear"/>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We expect to report interim virology data from this Phase 2 clinical trial in the second quarter of 2021.</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 xml:space="preserve">Phase 1 clinical trials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to the Phase 2 clinical trials, we, in collaboration with Roche, are conducting a Phase 1 clinical trial of AT-527 in healthy volunteers and we are planning several additional Phase 1 clinical trials, including clinical pharmacology studies required to support applications for regulatory approval.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On March 6, 2021 we announced favorable results from a Phase 1 clinical trial that evaluated 20 healthy volunteers who were randomized 1:1 to receive oral AT-527 550 mg twice daily (BID) or matching placebo for 5 days. </w:t>
      </w:r>
      <w:r>
        <w:rPr>
          <w:rFonts w:ascii="Arial" w:hAnsi="Arial"/>
          <w:b w:val="false"/>
          <w:i w:val="false"/>
          <w:caps w:val="false"/>
          <w:smallCaps w:val="false"/>
          <w:sz w:val="20"/>
          <w:highlight w:val="white"/>
        </w:rPr>
        <w:t xml:space="preserve">The results demonstrated that AT-527 was well tolerated. In this Phase 1 clinical trial, there were no discontinuations, serious adverse events, clinically significant changes in vital signs, or electrocardiograms observed. The data also demonstrated that AT-511, the free base of AT-527, was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w:t>
      </w:r>
    </w:p>
    <w:p>
      <w:pPr>
        <w:pStyle w:val="HorizontalLine"/>
        <w:rPr/>
      </w:pPr>
      <w:r>
        <w:rPr/>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highlight w:val="white"/>
        </w:rPr>
        <w:t xml:space="preserve">rapidly absorbed, followed by fast and extensive stepwise metabolic activation ultimately to the active triphosphate metabolite AT-9010, reflected by plasma AT-273.  AT-527 550 mg BID led to fast attainment of steady-state levels of AT-273 within two days of dosing. Plasma levels of AT-273 were further used to predict lung concentrations of AT-9010 using a scaling factor of 1.2X which was previously determined based on </w:t>
      </w:r>
      <w:r>
        <w:rPr>
          <w:rFonts w:ascii="Arial" w:hAnsi="Arial"/>
          <w:b w:val="false"/>
          <w:i/>
          <w:caps w:val="false"/>
          <w:smallCaps w:val="false"/>
          <w:sz w:val="20"/>
          <w:highlight w:val="white"/>
        </w:rPr>
        <w:t>in vivo</w:t>
      </w:r>
      <w:r>
        <w:rPr>
          <w:rFonts w:ascii="Arial" w:hAnsi="Arial"/>
          <w:b w:val="false"/>
          <w:i w:val="false"/>
          <w:caps w:val="false"/>
          <w:smallCaps w:val="false"/>
          <w:sz w:val="20"/>
          <w:highlight w:val="white"/>
        </w:rPr>
        <w:t xml:space="preserve"> tissue distribution of the triphosphate metabolite observed in cynomolgus monkeys. Beginning as early as three hours after the first dose, and maintained thereafter throughout the five days of dosing, predicted lung AT-9010 levels were consistently above the EC90 level of 0.5 µM that was required for </w:t>
      </w:r>
      <w:r>
        <w:rPr>
          <w:rFonts w:ascii="Arial" w:hAnsi="Arial"/>
          <w:b w:val="false"/>
          <w:i/>
          <w:caps w:val="false"/>
          <w:smallCaps w:val="false"/>
          <w:sz w:val="20"/>
          <w:highlight w:val="white"/>
        </w:rPr>
        <w:t>in vitro</w:t>
      </w:r>
      <w:r>
        <w:rPr>
          <w:rFonts w:ascii="Arial" w:hAnsi="Arial"/>
          <w:b w:val="false"/>
          <w:i w:val="false"/>
          <w:caps w:val="false"/>
          <w:smallCaps w:val="false"/>
          <w:sz w:val="20"/>
          <w:highlight w:val="white"/>
        </w:rPr>
        <w:t xml:space="preserve"> inhibition of SARS-CoV-2 replication in cynomolgus monkeys. </w:t>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Planned Phase 3 Global Clinical Development Program</w:t>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 xml:space="preserve">Phase 3 Registrational Clinical Trial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together with Roche, are currently engaging with regulatory authorities in order to open a Phase 3 clinical trial of AT-527 in an outpatient setting (MORNINGSKY). This clinical trial is expected to enroll patients aged 18 years and older with mild or moderate COVID-19. The primary objective of the trial is expected to be evaluation of the efficacy of AT-527 compared to placebo by measuring the time to alleviation of symptoms (“TAS”), in patients with SARS-CoV-2 virus infection with mild or moderate disease. The primary endpoint of TAS is defined as the time when all COVID-19 symptoms are assessed and self-reported by the patient as none or mild for a duration of at least 24 hours. Patients will assess the severity of disease on a 4-point scale (with 0 indicating no symptoms, 1 mild symptoms, 2 moderate symptoms, and 3 severe symptoms).  We expect to enroll approximately 1,500 patients in this clinical trial. </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Post-exposure Prophylaxis Clinical Trial</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together with Roche, are also planning to conduct a randomized, double-blind, post-exposure prophylaxis Phase 3 clinical trial evaluating the reduction of direct transmission from SARS-CoV-2 infected patients (index case) to contacts.  In this outpatient clinical trial, we expect to enroll approximately 3,000 patients aged 18 years or older. Pending additional discussions with regulatory authorities, the primary endpoint is expected to be the proportion of participants who test positive by RT-PCR at predetermined timepoints.</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Regulatory Strategy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To align on the most efficient regulatory pathway for AT-527 in COVID-19, we and Roche are engaging in discussions with the FDA and other regulatory authorities as we plan and implement the clinical trials described above.</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 xml:space="preserve">Clinical Trial Material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and Roche are currently conducting manufacturing campaigns at third-party contract manufacturers that are expected to result, when combined with our current drug tablet inventory, in an inventory of AT-527 275 mg and 550 mg tablets and matching placebo that is expected to satisfy the clinical trial material requirements for currently planned COVID-19 clinical trials. Additionally, we, together with Roche, are engaged, through our contract manufacturers, in the optimization of the synthetic process and formulation for commercial scale manufacture of AT-527 275 mg tablets. We are targeting availability of initial commercial supply of AT-527 beginning in 2022.</w:t>
      </w:r>
    </w:p>
    <w:p>
      <w:pPr>
        <w:pStyle w:val="TextBody"/>
        <w:spacing w:before="120" w:after="0"/>
        <w:rPr>
          <w:rFonts w:ascii="Arial" w:hAnsi="Arial"/>
          <w:b/>
          <w:i/>
          <w:caps w:val="false"/>
          <w:smallCaps w:val="false"/>
          <w:sz w:val="20"/>
        </w:rPr>
      </w:pPr>
      <w:r>
        <w:rPr>
          <w:rFonts w:ascii="Arial" w:hAnsi="Arial"/>
          <w:b/>
          <w:i/>
          <w:caps w:val="false"/>
          <w:smallCaps w:val="false"/>
          <w:sz w:val="20"/>
        </w:rPr>
        <w:t>AT-752 for the Treatment of</w:t>
      </w:r>
    </w:p>
    <w:p>
      <w:pPr>
        <w:pStyle w:val="TextBody"/>
        <w:spacing w:before="120" w:after="0"/>
        <w:rPr>
          <w:rFonts w:ascii="Arial" w:hAnsi="Arial"/>
          <w:b/>
          <w:i/>
          <w:caps w:val="false"/>
          <w:smallCaps w:val="false"/>
          <w:sz w:val="20"/>
        </w:rPr>
      </w:pPr>
      <w:r>
        <w:rPr>
          <w:rFonts w:ascii="Arial" w:hAnsi="Arial"/>
          <w:b/>
          <w:i/>
          <w:caps w:val="false"/>
          <w:smallCaps w:val="false"/>
          <w:sz w:val="20"/>
        </w:rPr>
        <w:t>Dengue</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Background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Dengue, which is caused by a positive sense ssRNA virus belonging to the </w:t>
      </w:r>
      <w:r>
        <w:rPr>
          <w:rFonts w:ascii="Arial" w:hAnsi="Arial"/>
          <w:b w:val="false"/>
          <w:i/>
          <w:caps w:val="false"/>
          <w:smallCaps w:val="false"/>
          <w:sz w:val="20"/>
        </w:rPr>
        <w:t>Flaviviridae</w:t>
      </w:r>
      <w:r>
        <w:rPr>
          <w:rFonts w:ascii="Arial" w:hAnsi="Arial"/>
          <w:b w:val="false"/>
          <w:i w:val="false"/>
          <w:caps w:val="false"/>
          <w:smallCaps w:val="false"/>
          <w:sz w:val="20"/>
        </w:rPr>
        <w:t xml:space="preserve"> family, is a mosquito-borne viral infection. Dengue causes flu-like symptoms in both children and adults and is spread through the bite of an infected mosquito. There are five dengue viral serotypes, and infection with one serotype does not produce immunity to another serotype. Thus, a person could be infected with dengue multiple times and reinfection typically results in a more severe disease. Symptoms include fever, eye pain, headache, swollen glands, rash, muscle pain, bone pain, nausea, vomiting, and joint pain, and last two to seven days post-infection.</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14</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Globally, three billion people, or roughly 40% percent of the world’s population, live in high-risk dengue areas, while up to 400 million are infected each year, resulting in 500,000 hospitalizations. The WHO has called dengue the most important mosquito-borne viral disease in the world. Although dengue rarely occurs in the continental United States, it is endemic in Puerto Rico, Southeast Asia, Latin America and the Pacific Islands, as shown in the map below. Seventy percent of the global disease burden for dengue is in Asia.</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4029075" cy="1857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029075" cy="1857375"/>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According to the Center for Disease Control (“CDC”), 5% of infected patients develop a life-threatening form of dengue called severe dengue. Those who develop severe dengue may have some or all of the following complications: severe abdominal pain, fatigue, severe bleeding, organ impairment, and plasma leakage. The mortality rate of severe dengue ranges between 12% and 44%, if left untreated. The global economic cost burden of dengue was estimated at $8.9 billion in 2013, with nearly 50% of the costs associated with hospitalizations. </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Current treatment landscape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There are no FDA or EMA approved therapies indicated for the treatment of dengue. Current treatment protocols involve supportive care, including analgesics, judicious fluid replacement, and bed rest. In 2019, a vaccine, Dengvaxia developed by Sanofi Pasteur Inc. (“Sanofi”), was approved by the FDA for the prevention of disease caused by dengue virus serotypes 1, 2, 3 and 4 in children ages nine to 16 with laboratory-confirmed previous dengue infection and living in endemic areas.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Takeda Pharmaceuticals Co Ltd, (“Takeda”), is also advancing a dengue vaccine, TAK-003, which is in Phase 3 development. Primary endpoint analysis of its ongoing Phase 3 trial in children ages four to 16 years showed protection against virologically-confirmed dengue.</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Our approach</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developing AT-752, an oral, purine nucleoside prodrug product candidate for the treatment of dengue. AT-752 has shown potent activity against all serotypes tested in preclinical studies. AT-752 is designed to target the inhibition of the dengue viral polymerase. We also intend to explore the potential development of AT-752 as a prophylactic treatment for dengue, which we believe, if approved, could be directed at the travelers’ market. As a part of the Roche License Agreement, we agreed that we would not commercialize AT-752 outside the United States unless we enter into a separate commercialization agreement with Roche to do so.  We retain global rights to develop and manufacture AT-752 for the treatment of dengue. </w:t>
      </w:r>
    </w:p>
    <w:p>
      <w:pPr>
        <w:pStyle w:val="TextBody"/>
        <w:spacing w:before="240" w:after="0"/>
        <w:jc w:val="center"/>
        <w:rPr>
          <w:rFonts w:ascii="Arial" w:hAnsi="Arial"/>
          <w:b w:val="false"/>
          <w:i w:val="false"/>
          <w:caps w:val="false"/>
          <w:smallCaps w:val="false"/>
          <w:sz w:val="20"/>
        </w:rPr>
      </w:pPr>
      <w:bookmarkStart w:id="11" w:name="_AEIOULastRenderedPageBreakAEIOU4"/>
      <w:bookmarkEnd w:id="11"/>
      <w:r>
        <w:rPr>
          <w:rFonts w:ascii="Arial" w:hAnsi="Arial"/>
          <w:b w:val="false"/>
          <w:i w:val="false"/>
          <w:caps w:val="false"/>
          <w:smallCaps w:val="false"/>
          <w:sz w:val="20"/>
        </w:rPr>
        <w:t>15</w:t>
      </w:r>
    </w:p>
    <w:p>
      <w:pPr>
        <w:pStyle w:val="HorizontalLine"/>
        <w:rPr/>
      </w:pPr>
      <w:r>
        <w:rPr/>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Preclinical development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have conducted preclinical studies of AT-752 in which we pre-treated AG129 mice with AT-752 (1000 mg/kg, p.o.) for four hours before subcutaneous inoculation with D2Y98P dengue strain and subsequent dosing of AT-752 twice daily (500 mg/kg, p.o.) for seven days, starting one hour post inoculation. This disease model, which ultimately resulted in fatal central nervous system sequelae, showed notable differences in overall health, survival, and viremia between AT-752-treated mice and mice that were treated with vehicle. As shown in the graphs below, viral RNA in serum was statistically significantly lower than control by day 6 and below the limit of detection (“LOD”) (LOD: 50 copies per m/L) on day 8, after seven days of drug treatment.</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4705350" cy="2381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705350" cy="2381250"/>
                    </a:xfrm>
                    <a:prstGeom prst="rect">
                      <a:avLst/>
                    </a:prstGeom>
                  </pic:spPr>
                </pic:pic>
              </a:graphicData>
            </a:graphic>
          </wp:inline>
        </w:drawing>
      </w:r>
    </w:p>
    <w:p>
      <w:pPr>
        <w:pStyle w:val="TextBody"/>
        <w:spacing w:before="0" w:after="0"/>
        <w:jc w:val="center"/>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antiviral activity of AT-281, the free base of AT-752, was evaluated under contract with the National Institutes of Health and Infectious Disease against a variety of flaviviruses. Huh-7 cells were infected with individual viral strains and exposed to serial dilutions of AT-281. A virally induced cytopathic effect (“CPE”), assay using a neutral red dye uptake endpoint or a virus yield reduction measurement using a standard endpoint dilution CCID50 assay was used to measure the antiviral EC50 or EC90 value, respectively. Uninfected cell controls concurrently exposed to drug were used to determine cytotoxicity (CC50) using the CPE assay. AT-281 demonstrated sub-micromolar potencies against all flaviviruses tested (summarized in the table below), with an EC90 of 0.64 µM against Dengue type 2 and an EC50 of 0.77 µM against Dengue type 3. No toxicity was detected for AT-281 up to the highest concentration tested (172 µM).</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010150" cy="2266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10150" cy="2266950"/>
                    </a:xfrm>
                    <a:prstGeom prst="rect">
                      <a:avLst/>
                    </a:prstGeom>
                  </pic:spPr>
                </pic:pic>
              </a:graphicData>
            </a:graphic>
          </wp:inline>
        </w:drawing>
      </w:r>
    </w:p>
    <w:p>
      <w:pPr>
        <w:pStyle w:val="TextBody"/>
        <w:spacing w:before="0" w:after="0"/>
        <w:rPr/>
      </w:pPr>
      <w:r>
        <w:rPr/>
        <w:t> </w:t>
      </w:r>
    </w:p>
    <w:tbl>
      <w:tblPr>
        <w:tblW w:w="4150" w:type="dxa"/>
        <w:jc w:val="left"/>
        <w:tblInd w:w="0" w:type="dxa"/>
        <w:tblCellMar>
          <w:top w:w="0" w:type="dxa"/>
          <w:left w:w="0" w:type="dxa"/>
          <w:bottom w:w="0" w:type="dxa"/>
          <w:right w:w="0" w:type="dxa"/>
        </w:tblCellMar>
      </w:tblPr>
      <w:tblGrid>
        <w:gridCol w:w="185"/>
        <w:gridCol w:w="3965"/>
      </w:tblGrid>
      <w:tr>
        <w:trPr/>
        <w:tc>
          <w:tcPr>
            <w:tcW w:w="18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a </w:t>
            </w:r>
          </w:p>
        </w:tc>
        <w:tc>
          <w:tcPr>
            <w:tcW w:w="396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Selectivity index (CC50/EC90 or CC50/EC50)</w:t>
            </w:r>
          </w:p>
        </w:tc>
      </w:tr>
    </w:tbl>
    <w:tbl>
      <w:tblPr>
        <w:tblW w:w="685" w:type="dxa"/>
        <w:jc w:val="left"/>
        <w:tblInd w:w="0" w:type="dxa"/>
        <w:tblCellMar>
          <w:top w:w="0" w:type="dxa"/>
          <w:left w:w="0" w:type="dxa"/>
          <w:bottom w:w="0" w:type="dxa"/>
          <w:right w:w="0" w:type="dxa"/>
        </w:tblCellMar>
      </w:tblPr>
      <w:tblGrid>
        <w:gridCol w:w="185"/>
        <w:gridCol w:w="500"/>
      </w:tblGrid>
      <w:tr>
        <w:trPr/>
        <w:tc>
          <w:tcPr>
            <w:tcW w:w="18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b </w:t>
            </w:r>
          </w:p>
        </w:tc>
        <w:tc>
          <w:tcPr>
            <w:tcW w:w="50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EC50</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16</w:t>
      </w:r>
    </w:p>
    <w:p>
      <w:pPr>
        <w:pStyle w:val="HorizontalLine"/>
        <w:rPr/>
      </w:pPr>
      <w:r>
        <w:rPr/>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Clinical development</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 xml:space="preserve">Phase 1 Clinical Trial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have initiated a randomized, double-blind, placebo-controlled Phase 1a trial to evaluate the safety and pharmacokinetics (“PK”) of several different dosages of AT-752 in 50 to 60 healthy adult subjects.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Following the completion of the Phase 1a trial, we expect to initiate in the second half of 2021 a Phase 1b trial of AT-752 in 60 to 80 adult subjects with dengue, to evaluate antiviral activity, safety and PK. Currently, we expect that the endpoints of the Phase 1b trial will include reductions in viral load, fever and time to clearance of non-structural protein 1.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intend to pursue FDA expedited development and review programs for AT-752. Dengue is also defined as a tropical disease under the Federal Food, Drug and Cosmetic Act (the “FDCA”), and therefore FDA approval of AT-752 for the treatment of Dengue may result in a tropical disease priority review voucher.</w:t>
      </w:r>
    </w:p>
    <w:p>
      <w:pPr>
        <w:pStyle w:val="TextBody"/>
        <w:spacing w:before="120" w:after="0"/>
        <w:rPr>
          <w:rFonts w:ascii="Arial" w:hAnsi="Arial"/>
          <w:b/>
          <w:i/>
          <w:caps w:val="false"/>
          <w:smallCaps w:val="false"/>
          <w:sz w:val="20"/>
        </w:rPr>
      </w:pPr>
      <w:r>
        <w:rPr>
          <w:rFonts w:ascii="Arial" w:hAnsi="Arial"/>
          <w:b/>
          <w:i/>
          <w:caps w:val="false"/>
          <w:smallCaps w:val="false"/>
          <w:sz w:val="20"/>
        </w:rPr>
        <w:t>AT-787 for the Treatment of Hepatitis C</w:t>
      </w:r>
    </w:p>
    <w:p>
      <w:pPr>
        <w:pStyle w:val="TextBody"/>
        <w:spacing w:before="120" w:after="0"/>
        <w:rPr>
          <w:rFonts w:ascii="Arial" w:hAnsi="Arial"/>
          <w:b/>
          <w:i/>
          <w:caps w:val="false"/>
          <w:smallCaps w:val="false"/>
          <w:sz w:val="20"/>
        </w:rPr>
      </w:pPr>
      <w:r>
        <w:rPr>
          <w:rFonts w:ascii="Arial" w:hAnsi="Arial"/>
          <w:b/>
          <w:i/>
          <w:caps w:val="false"/>
          <w:smallCaps w:val="false"/>
          <w:sz w:val="20"/>
        </w:rPr>
        <w:t>Hepatitis C virus (HCV)</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Background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HCV is a blood-borne, positive sense, ssRNA virus, primarily infecting cells of the liver. HCV is a leading cause of chronic liver disease and liver transplants and spreads via blood transfusion, hemodialysis and needle sticks. Injection drug use accounts for approximately 60% of all new cases of HCV. Diagnosis of HCV is made through blood tests, including molecular tests that allow for the detection, quantification and analysis of viral genomes and the classification of an infection into specific viral genotypes. Hepatitis C becomes chronic Hepatitis C in 75% to 85% of cases, with an incubation period lasting from two to 26 weeks.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HCV is classified into seven genotypes and 67 subtypes, with genotype 1 responsible for more than 70% of HCV cases in the United States. Patients with HCV are also classified by liver function status: compensated cirrhosis (liver scarring) denotes those patients that do not yet have impaired liver function, while decompensated cirrhosis describes patients with moderate to severe liver function impairment.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According to the WHO, an estimated 71 million people are chronically infected with HCV, a significant portion of which are likely to develop cirrhosis or liver cancer. Of those infected with HCV, only 20% are diagnosed and 2% are treated globally. The WHO estimates that 399,000 people died from HCV in 2016.</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shown in the table below, the CDC reported that new infections in the United States have increased substantially from 2011 to 2017 with the greatest increase in incidence occurring in individuals ages 20 to 39 years old.</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010150" cy="2314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010150" cy="2314575"/>
                    </a:xfrm>
                    <a:prstGeom prst="rect">
                      <a:avLst/>
                    </a:prstGeom>
                  </pic:spPr>
                </pic:pic>
              </a:graphicData>
            </a:graphic>
          </wp:inline>
        </w:drawing>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17</w:t>
      </w:r>
    </w:p>
    <w:p>
      <w:pPr>
        <w:pStyle w:val="HorizontalLine"/>
        <w:rPr/>
      </w:pPr>
      <w:r>
        <w:rPr/>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Despite recent advances in treatment, there remains a large underserved HCV patient population which continues to grow. The CDC estimated the incidence of HCV in 2018 increased by 50,300 cases in the United States. It is estimated that a substantial global market for HCV therapeutics will exist to 2050 and beyond.</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Current treatment landscape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No vaccine exists for the prevention of HCV, but several recently introduced oral antiviral therapeutics have boosted sustained virologic response rates to over 95% in a majority of patients, with treatment durations reduced to eight to 12 weeks depending upon the regimen and patient population. There are three classes of direct acting antiviral therapeutics, defined by their mechanism of action and therapeutic target: NS3/4A protease inhibitors, NS5A inhibitors, and NS5B non-nucleos(t)ide polymerase inhibitors. A patient’s genotype, cirrhotic status, and prior treatment failures determine the appropriate antiviral therapeutic used in treatment. The two leading therapeutics for treatment of chronic HCV are: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i w:val="false"/>
                <w:caps w:val="false"/>
                <w:smallCaps w:val="false"/>
                <w:color w:val="000000"/>
              </w:rPr>
              <w:t>Epclusa</w:t>
            </w:r>
            <w:r>
              <w:rPr>
                <w:b w:val="false"/>
                <w:i w:val="false"/>
                <w:caps w:val="false"/>
                <w:smallCaps w:val="false"/>
                <w:color w:val="000000"/>
              </w:rPr>
              <w:t xml:space="preserve"> </w:t>
            </w:r>
            <w:r>
              <w:rPr>
                <w:rFonts w:ascii="Arial" w:hAnsi="Arial"/>
                <w:b w:val="false"/>
                <w:i w:val="false"/>
                <w:caps w:val="false"/>
                <w:smallCaps w:val="false"/>
                <w:color w:val="000000"/>
              </w:rPr>
              <w:t>(sofosbuvir/velpatasvir): Epclusa was first approved by the FDA in 2016 for the treatment of adults with chronic HCV infection with any of genotypes one through six infection, either without cirrhosis or with compensated cirrhosis. For patients with decompensated cirrhosis, Epclusa is approved for use in combination with ribavirin. Patients on Epclusa require 12 weeks of treatment.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i w:val="false"/>
                <w:caps w:val="false"/>
                <w:smallCaps w:val="false"/>
                <w:color w:val="000000"/>
              </w:rPr>
              <w:t>Mavyret</w:t>
            </w:r>
            <w:r>
              <w:rPr>
                <w:b w:val="false"/>
                <w:i w:val="false"/>
                <w:caps w:val="false"/>
                <w:smallCaps w:val="false"/>
                <w:color w:val="000000"/>
              </w:rPr>
              <w:t xml:space="preserve"> </w:t>
            </w:r>
            <w:r>
              <w:rPr>
                <w:rFonts w:ascii="Arial" w:hAnsi="Arial"/>
                <w:b w:val="false"/>
                <w:i w:val="false"/>
                <w:caps w:val="false"/>
                <w:smallCaps w:val="false"/>
                <w:color w:val="000000"/>
              </w:rPr>
              <w:t>(glecaprevir/pibrentasvir): Mavyret was first approved by the FDA in 2017 for the treatment of adults with chronic HCV with any of genotypes one through six infection, without cirrhosis or with compensated cirrhosis. Mavyret is also approved for HCV patients with genotype 1 infection who have been previously treated with a regimen either containing an NS5A inhibitor or an NS3/4A protease inhibitor (but not both). Mavyret was the first eight-week treatment approved for HCV genotypes one through six in adult patients without cirrhosis who have not been previously treated. In 2019, the FDA approved shortening the treatment duration from 12 weeks to eight weeks in treatment-naïve, compensated cirrhotic HCV patients across all genotypes one through six. Mavyret is not approved for use in patients with decompensated cirrhosis.</w:t>
            </w:r>
          </w:p>
        </w:tc>
      </w:tr>
    </w:tbl>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Our approach</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are developing AT-787 for the treatment of chronic HCV infection, including patients with decompensated cirrhosis. AT-787 combines AT-527 with a second-generation NS5A inhibitor, AT-777, into a single, oral, pan-genotypic fixed-dose combination therapy. Based on our preclinical and clinical data to date, we believe that AT-787, if approved, could offer the following potential benefits over currently available treatments: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Shorten treatment duration to eight weeks in non-cirrhotic and compensated cirrhosis HCV in all genotypes. Current HCV therapies typically require longer dosing in cirrhotic patients to achieve a sustained virologic response (“SVR”), that is close to, but often proportionally lower, than the SVR achieved with shorter treatment of non-cirrhotic patients.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Equivalent antiviral potency across all genotypes, regardless of cirrhotic status, including the difficult to treat genotype-3 population.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Obviate the need for extensive pretreatment assessments required by current treatment options, including genotyping, fibroscan (if cirrhosis is present), and liver function assessment.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Eliminate the need for ribavirin in patients with decompensated cirrhosis. Ribavirin, an antiviral first approved in 1986, carries several FDA boxed warnings, including the risk of hemolytic anemia and teratogenicity.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Well tolerated, with low potential for drug-drug interactions. Mavyret, which carries an FDA warning for cirrhotic patient treatment, is not to be prescribed for patients on atazanavir or rifampin, while Epclusa could cause a slow heart rate when taken with amiodarone.</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18</w:t>
      </w:r>
    </w:p>
    <w:p>
      <w:pPr>
        <w:pStyle w:val="HorizontalLine"/>
        <w:rPr/>
      </w:pPr>
      <w:r>
        <w:rPr/>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Clinical development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have completed two clinical trials of AT-527 for the treatment of chronic HCV infection.</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Phase 1 clinical trial of AT-527</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conducted a Phase 1 trial to evaluate single and multiple doses of AT-527 as a single agent in healthy and HCV-infected subjects for up to seven days. All HCV-infected subjects were treatment-naïve with HCV RNA ≥ 5 log10 IU/mL. The objectives of the trial were to assess safety, tolerability, PK and antiviral activity.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trial evaluated single oral doses of AT-527 up to 369 mg free base (400 mg salt form) in healthy subjects (Part A), single doses up to 600 mg salt form (553 mg free base) in non-cirrhotic HCV-infected subjects (Part B), and multiple doses up to 600 mg salt form (553 mg free base) once daily for seven days in non-cirrhotic genotype 1b (“GT1”), HCV-infected subjects (Part C). Additional cohorts evaluated 600 mg salt form (553 mg free base) once daily for seven days in non-cirrhotic genotype 3 (“GT3”), (Part D) and Child-Pugh A cirrhotic genotype 1b/3 (“GT1b/2”), HCV-infected subjects (Part E). The tables below show the dosage and mean maximum HCV RNA reductions for each treatment cohort.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 total of 88 subjects were dosed across all parts of the trial, with 72 subjects who received active drug and 16 subjects who received placebo. In this trial, AT-527 showed equivalent pan-genotypic antiviral activity in both cirrhotic and non-cirrhotic HCV infected patients. The mean HCV reduction within 24 hours after a single dose was up to 2.4 log10 IU/mL, and the mean maximum HCV RNA reduction after seven days of dosing with AT-527 at 553 mg free base was 4.6 log10 IU/mL. Data also showed a mean maximum HCV RNA reduction of 4.4 log10 IU/mL after seven days of dosing of AT-527 at 553 mg free base in non-cirrhotic genotype 1b (“GT1b”), HCV-infected subjects, and a mean reduction of 4.5 log10 IU/mL after seven days of dosing in non-cirrhotic GT3 HCV-infected subjects. The PK data in cirrhotic subjects was similar to non-cirrhotic subjects. Emax modeling predicted that a dose of 553 mg free base of AT-527 once daily would result in maximum viral load reduction.</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Maximum HCV RNA change in Part B (single dose in non-cirrhotic, GT1 HCV-infected subjects)</w:t>
      </w:r>
    </w:p>
    <w:p>
      <w:pPr>
        <w:pStyle w:val="TextBody"/>
        <w:spacing w:before="0" w:after="0"/>
        <w:rPr>
          <w:caps w:val="false"/>
          <w:smallCaps w:val="false"/>
        </w:rPr>
      </w:pPr>
      <w:r>
        <w:rPr>
          <w:caps w:val="false"/>
          <w:smallCaps w:val="false"/>
        </w:rPr>
        <w:t> </w:t>
      </w:r>
    </w:p>
    <w:tbl>
      <w:tblPr>
        <w:tblW w:w="9370" w:type="dxa"/>
        <w:jc w:val="center"/>
        <w:tblInd w:w="0" w:type="dxa"/>
        <w:tblCellMar>
          <w:top w:w="0" w:type="dxa"/>
          <w:left w:w="0" w:type="dxa"/>
          <w:bottom w:w="0" w:type="dxa"/>
          <w:right w:w="0" w:type="dxa"/>
        </w:tblCellMar>
      </w:tblPr>
      <w:tblGrid>
        <w:gridCol w:w="3275"/>
        <w:gridCol w:w="60"/>
        <w:gridCol w:w="1385"/>
        <w:gridCol w:w="60"/>
        <w:gridCol w:w="1490"/>
        <w:gridCol w:w="60"/>
        <w:gridCol w:w="1490"/>
        <w:gridCol w:w="60"/>
        <w:gridCol w:w="1490"/>
      </w:tblGrid>
      <w:tr>
        <w:trPr/>
        <w:tc>
          <w:tcPr>
            <w:tcW w:w="3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r>
      <w:tr>
        <w:trPr/>
        <w:tc>
          <w:tcPr>
            <w:tcW w:w="3275" w:type="dxa"/>
            <w:tcBorders>
              <w:top w:val="single" w:sz="6" w:space="0" w:color="000000"/>
              <w:left w:val="single" w:sz="6" w:space="0" w:color="000000"/>
              <w:bottom w:val="single" w:sz="6" w:space="0" w:color="000000"/>
            </w:tcBorders>
            <w:shd w:fill="auto" w:val="clear"/>
            <w:tcMar>
              <w:top w:w="28" w:type="dxa"/>
              <w:left w:w="28" w:type="dxa"/>
              <w:bottom w:w="28" w:type="dxa"/>
            </w:tcMar>
          </w:tcPr>
          <w:p>
            <w:pPr>
              <w:pStyle w:val="TableContents"/>
              <w:spacing w:before="60" w:after="60"/>
              <w:ind w:left="86" w:right="0" w:hanging="0"/>
              <w:rPr>
                <w:rFonts w:ascii="Arial" w:hAnsi="Arial"/>
                <w:b w:val="false"/>
                <w:i w:val="false"/>
                <w:caps w:val="false"/>
                <w:smallCaps w:val="false"/>
                <w:sz w:val="20"/>
              </w:rPr>
            </w:pPr>
            <w:r>
              <w:rPr>
                <w:rFonts w:ascii="Arial" w:hAnsi="Arial"/>
                <w:b w:val="false"/>
                <w:i w:val="false"/>
                <w:caps w:val="false"/>
                <w:smallCaps w:val="false"/>
                <w:sz w:val="20"/>
              </w:rPr>
              <w:t>Maximum Reduction (log10 IU/mL)</w:t>
              <w:br/>
              <w:t>AT-527 dosage (free base equivalent)</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60" w:after="60"/>
              <w:ind w:left="0" w:right="0" w:hanging="0"/>
              <w:rPr>
                <w:caps w:val="false"/>
                <w:smallCaps w:val="false"/>
              </w:rPr>
            </w:pPr>
            <w:r>
              <w:rPr>
                <w:caps w:val="false"/>
                <w:smallCaps w:val="false"/>
              </w:rPr>
              <w:t> </w:t>
            </w:r>
          </w:p>
        </w:tc>
        <w:tc>
          <w:tcPr>
            <w:tcW w:w="1385" w:type="dxa"/>
            <w:tcBorders>
              <w:top w:val="single" w:sz="6" w:space="0" w:color="000000"/>
              <w:bottom w:val="single" w:sz="6" w:space="0" w:color="000000"/>
              <w:right w:val="single" w:sz="6" w:space="0" w:color="000000"/>
            </w:tcBorders>
            <w:shd w:fill="auto" w:val="clear"/>
            <w:tcMar>
              <w:top w:w="28" w:type="dxa"/>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100 mg (92 mg)</w:t>
              <w:br/>
              <w:t>N=3</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60" w:after="60"/>
              <w:ind w:left="0" w:right="0" w:hanging="0"/>
              <w:rPr>
                <w:caps w:val="false"/>
                <w:smallCaps w:val="false"/>
              </w:rPr>
            </w:pPr>
            <w:r>
              <w:rPr>
                <w:caps w:val="false"/>
                <w:smallCaps w:val="false"/>
              </w:rPr>
              <w:t> </w:t>
            </w:r>
          </w:p>
        </w:tc>
        <w:tc>
          <w:tcPr>
            <w:tcW w:w="1490" w:type="dxa"/>
            <w:tcBorders>
              <w:top w:val="single" w:sz="6" w:space="0" w:color="000000"/>
              <w:bottom w:val="single" w:sz="6" w:space="0" w:color="000000"/>
              <w:right w:val="single" w:sz="6" w:space="0" w:color="000000"/>
            </w:tcBorders>
            <w:shd w:fill="auto" w:val="clear"/>
            <w:tcMar>
              <w:top w:w="28" w:type="dxa"/>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300 mg (277 mg)</w:t>
              <w:br/>
              <w:t>N=3</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60" w:after="60"/>
              <w:ind w:left="0" w:right="0" w:hanging="0"/>
              <w:rPr>
                <w:caps w:val="false"/>
                <w:smallCaps w:val="false"/>
              </w:rPr>
            </w:pPr>
            <w:r>
              <w:rPr>
                <w:caps w:val="false"/>
                <w:smallCaps w:val="false"/>
              </w:rPr>
              <w:t> </w:t>
            </w:r>
          </w:p>
        </w:tc>
        <w:tc>
          <w:tcPr>
            <w:tcW w:w="1490" w:type="dxa"/>
            <w:tcBorders>
              <w:top w:val="single" w:sz="6" w:space="0" w:color="000000"/>
              <w:bottom w:val="single" w:sz="6" w:space="0" w:color="000000"/>
              <w:right w:val="single" w:sz="6" w:space="0" w:color="000000"/>
            </w:tcBorders>
            <w:shd w:fill="auto" w:val="clear"/>
            <w:tcMar>
              <w:top w:w="28" w:type="dxa"/>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400 mg (369 mg)</w:t>
              <w:br/>
              <w:t>N=3</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60" w:after="60"/>
              <w:ind w:left="0" w:right="0" w:hanging="0"/>
              <w:rPr>
                <w:caps w:val="false"/>
                <w:smallCaps w:val="false"/>
              </w:rPr>
            </w:pPr>
            <w:r>
              <w:rPr>
                <w:caps w:val="false"/>
                <w:smallCaps w:val="false"/>
              </w:rPr>
              <w:t> </w:t>
            </w:r>
          </w:p>
        </w:tc>
        <w:tc>
          <w:tcPr>
            <w:tcW w:w="1490" w:type="dxa"/>
            <w:tcBorders>
              <w:top w:val="single" w:sz="6" w:space="0" w:color="000000"/>
              <w:bottom w:val="single" w:sz="6" w:space="0" w:color="000000"/>
              <w:right w:val="single" w:sz="6" w:space="0" w:color="000000"/>
            </w:tcBorders>
            <w:shd w:fill="auto" w:val="clear"/>
            <w:tcMar>
              <w:top w:w="28" w:type="dxa"/>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600 mg (553 mg)</w:t>
              <w:br/>
              <w:t>N=3</w:t>
            </w:r>
          </w:p>
        </w:tc>
      </w:tr>
      <w:tr>
        <w:trPr/>
        <w:tc>
          <w:tcPr>
            <w:tcW w:w="3275" w:type="dxa"/>
            <w:tcBorders>
              <w:left w:val="single" w:sz="6" w:space="0" w:color="000000"/>
              <w:bottom w:val="single" w:sz="6" w:space="0" w:color="000000"/>
            </w:tcBorders>
            <w:shd w:fill="auto" w:val="clear"/>
            <w:tcMar>
              <w:left w:w="28" w:type="dxa"/>
              <w:bottom w:w="28" w:type="dxa"/>
            </w:tcMar>
          </w:tcPr>
          <w:p>
            <w:pPr>
              <w:pStyle w:val="TableContents"/>
              <w:spacing w:before="60" w:after="60"/>
              <w:ind w:left="301" w:right="0" w:hanging="180"/>
              <w:rPr>
                <w:rFonts w:ascii="Arial" w:hAnsi="Arial"/>
                <w:b w:val="false"/>
                <w:i w:val="false"/>
                <w:caps w:val="false"/>
                <w:smallCaps w:val="false"/>
                <w:sz w:val="20"/>
              </w:rPr>
            </w:pPr>
            <w:r>
              <w:rPr>
                <w:rFonts w:ascii="Arial" w:hAnsi="Arial"/>
                <w:b w:val="false"/>
                <w:i w:val="false"/>
                <w:caps w:val="false"/>
                <w:smallCaps w:val="false"/>
                <w:sz w:val="20"/>
              </w:rPr>
              <w:t>Mean ±SD*</w:t>
            </w:r>
          </w:p>
        </w:tc>
        <w:tc>
          <w:tcPr>
            <w:tcW w:w="60" w:type="dxa"/>
            <w:tcBorders>
              <w:bottom w:val="single" w:sz="6" w:space="0" w:color="000000"/>
            </w:tcBorders>
            <w:shd w:fill="auto" w:val="clear"/>
            <w:tcMar>
              <w:bottom w:w="28" w:type="dxa"/>
            </w:tcMar>
          </w:tcPr>
          <w:p>
            <w:pPr>
              <w:pStyle w:val="TableContents"/>
              <w:spacing w:before="60" w:after="60"/>
              <w:ind w:left="0" w:right="0" w:hanging="0"/>
              <w:rPr>
                <w:caps w:val="false"/>
                <w:smallCaps w:val="false"/>
              </w:rPr>
            </w:pPr>
            <w:r>
              <w:rPr>
                <w:caps w:val="false"/>
                <w:smallCaps w:val="false"/>
              </w:rPr>
              <w:t> </w:t>
            </w:r>
          </w:p>
        </w:tc>
        <w:tc>
          <w:tcPr>
            <w:tcW w:w="1385" w:type="dxa"/>
            <w:tcBorders>
              <w:bottom w:val="single" w:sz="6" w:space="0" w:color="000000"/>
              <w:right w:val="single" w:sz="6" w:space="0" w:color="000000"/>
            </w:tcBorders>
            <w:shd w:fill="auto" w:val="clear"/>
            <w:tcMar>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0.8</w:t>
              <w:br/>
              <w:t>±0.153</w:t>
            </w:r>
          </w:p>
        </w:tc>
        <w:tc>
          <w:tcPr>
            <w:tcW w:w="60" w:type="dxa"/>
            <w:tcBorders>
              <w:bottom w:val="single" w:sz="6" w:space="0" w:color="000000"/>
            </w:tcBorders>
            <w:shd w:fill="auto" w:val="clear"/>
            <w:tcMar>
              <w:bottom w:w="28" w:type="dxa"/>
            </w:tcMar>
          </w:tcPr>
          <w:p>
            <w:pPr>
              <w:pStyle w:val="TableContents"/>
              <w:spacing w:before="60" w:after="60"/>
              <w:ind w:left="0" w:right="0" w:hanging="0"/>
              <w:rPr>
                <w:caps w:val="false"/>
                <w:smallCaps w:val="false"/>
              </w:rPr>
            </w:pPr>
            <w:r>
              <w:rPr>
                <w:caps w:val="false"/>
                <w:smallCaps w:val="false"/>
              </w:rPr>
              <w:t> </w:t>
            </w:r>
          </w:p>
        </w:tc>
        <w:tc>
          <w:tcPr>
            <w:tcW w:w="1490" w:type="dxa"/>
            <w:tcBorders>
              <w:bottom w:val="single" w:sz="6" w:space="0" w:color="000000"/>
              <w:right w:val="single" w:sz="6" w:space="0" w:color="000000"/>
            </w:tcBorders>
            <w:shd w:fill="auto" w:val="clear"/>
            <w:tcMar>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1.7</w:t>
              <w:br/>
              <w:t>±0.564</w:t>
            </w:r>
          </w:p>
        </w:tc>
        <w:tc>
          <w:tcPr>
            <w:tcW w:w="60" w:type="dxa"/>
            <w:tcBorders>
              <w:bottom w:val="single" w:sz="6" w:space="0" w:color="000000"/>
            </w:tcBorders>
            <w:shd w:fill="auto" w:val="clear"/>
            <w:tcMar>
              <w:bottom w:w="28" w:type="dxa"/>
            </w:tcMar>
          </w:tcPr>
          <w:p>
            <w:pPr>
              <w:pStyle w:val="TableContents"/>
              <w:spacing w:before="60" w:after="60"/>
              <w:ind w:left="0" w:right="0" w:hanging="0"/>
              <w:rPr>
                <w:caps w:val="false"/>
                <w:smallCaps w:val="false"/>
              </w:rPr>
            </w:pPr>
            <w:r>
              <w:rPr>
                <w:caps w:val="false"/>
                <w:smallCaps w:val="false"/>
              </w:rPr>
              <w:t> </w:t>
            </w:r>
          </w:p>
        </w:tc>
        <w:tc>
          <w:tcPr>
            <w:tcW w:w="1490" w:type="dxa"/>
            <w:tcBorders>
              <w:bottom w:val="single" w:sz="6" w:space="0" w:color="000000"/>
              <w:right w:val="single" w:sz="6" w:space="0" w:color="000000"/>
            </w:tcBorders>
            <w:shd w:fill="auto" w:val="clear"/>
            <w:tcMar>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2.2</w:t>
              <w:br/>
              <w:t>±0.391</w:t>
            </w:r>
          </w:p>
        </w:tc>
        <w:tc>
          <w:tcPr>
            <w:tcW w:w="60" w:type="dxa"/>
            <w:tcBorders>
              <w:bottom w:val="single" w:sz="6" w:space="0" w:color="000000"/>
            </w:tcBorders>
            <w:shd w:fill="auto" w:val="clear"/>
            <w:tcMar>
              <w:bottom w:w="28" w:type="dxa"/>
            </w:tcMar>
          </w:tcPr>
          <w:p>
            <w:pPr>
              <w:pStyle w:val="TableContents"/>
              <w:spacing w:before="60" w:after="60"/>
              <w:ind w:left="0" w:right="0" w:hanging="0"/>
              <w:rPr>
                <w:caps w:val="false"/>
                <w:smallCaps w:val="false"/>
              </w:rPr>
            </w:pPr>
            <w:r>
              <w:rPr>
                <w:caps w:val="false"/>
                <w:smallCaps w:val="false"/>
              </w:rPr>
              <w:t> </w:t>
            </w:r>
          </w:p>
        </w:tc>
        <w:tc>
          <w:tcPr>
            <w:tcW w:w="1490" w:type="dxa"/>
            <w:tcBorders>
              <w:bottom w:val="single" w:sz="6" w:space="0" w:color="000000"/>
              <w:right w:val="single" w:sz="6" w:space="0" w:color="000000"/>
            </w:tcBorders>
            <w:shd w:fill="auto" w:val="clear"/>
            <w:tcMar>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2.3</w:t>
              <w:br/>
              <w:t>±0.255</w:t>
            </w:r>
          </w:p>
        </w:tc>
      </w:tr>
      <w:tr>
        <w:trPr/>
        <w:tc>
          <w:tcPr>
            <w:tcW w:w="3275" w:type="dxa"/>
            <w:tcBorders>
              <w:left w:val="single" w:sz="6" w:space="0" w:color="000000"/>
              <w:bottom w:val="single" w:sz="6" w:space="0" w:color="000000"/>
            </w:tcBorders>
            <w:shd w:fill="auto" w:val="clear"/>
            <w:tcMar>
              <w:left w:w="28" w:type="dxa"/>
              <w:bottom w:w="28" w:type="dxa"/>
            </w:tcMar>
          </w:tcPr>
          <w:p>
            <w:pPr>
              <w:pStyle w:val="TableContents"/>
              <w:spacing w:before="60" w:after="60"/>
              <w:ind w:left="301" w:right="0" w:hanging="180"/>
              <w:rPr>
                <w:rFonts w:ascii="Arial" w:hAnsi="Arial"/>
                <w:b w:val="false"/>
                <w:i w:val="false"/>
                <w:caps w:val="false"/>
                <w:smallCaps w:val="false"/>
                <w:sz w:val="20"/>
              </w:rPr>
            </w:pPr>
            <w:r>
              <w:rPr>
                <w:rFonts w:ascii="Arial" w:hAnsi="Arial"/>
                <w:b w:val="false"/>
                <w:i w:val="false"/>
                <w:caps w:val="false"/>
                <w:smallCaps w:val="false"/>
                <w:sz w:val="20"/>
              </w:rPr>
              <w:t>Individual</w:t>
            </w:r>
          </w:p>
        </w:tc>
        <w:tc>
          <w:tcPr>
            <w:tcW w:w="60" w:type="dxa"/>
            <w:tcBorders>
              <w:bottom w:val="single" w:sz="6" w:space="0" w:color="000000"/>
            </w:tcBorders>
            <w:shd w:fill="auto" w:val="clear"/>
            <w:tcMar>
              <w:bottom w:w="28" w:type="dxa"/>
            </w:tcMar>
          </w:tcPr>
          <w:p>
            <w:pPr>
              <w:pStyle w:val="TableContents"/>
              <w:spacing w:before="60" w:after="60"/>
              <w:ind w:left="0" w:right="0" w:hanging="0"/>
              <w:rPr>
                <w:caps w:val="false"/>
                <w:smallCaps w:val="false"/>
              </w:rPr>
            </w:pPr>
            <w:r>
              <w:rPr>
                <w:caps w:val="false"/>
                <w:smallCaps w:val="false"/>
              </w:rPr>
              <w:t> </w:t>
            </w:r>
          </w:p>
        </w:tc>
        <w:tc>
          <w:tcPr>
            <w:tcW w:w="1385" w:type="dxa"/>
            <w:tcBorders>
              <w:bottom w:val="single" w:sz="6" w:space="0" w:color="000000"/>
              <w:right w:val="single" w:sz="6" w:space="0" w:color="000000"/>
            </w:tcBorders>
            <w:shd w:fill="auto" w:val="clear"/>
            <w:tcMar>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0.6, 0.8, 0.9</w:t>
            </w:r>
          </w:p>
        </w:tc>
        <w:tc>
          <w:tcPr>
            <w:tcW w:w="60" w:type="dxa"/>
            <w:tcBorders>
              <w:bottom w:val="single" w:sz="6" w:space="0" w:color="000000"/>
            </w:tcBorders>
            <w:shd w:fill="auto" w:val="clear"/>
            <w:tcMar>
              <w:bottom w:w="28" w:type="dxa"/>
            </w:tcMar>
          </w:tcPr>
          <w:p>
            <w:pPr>
              <w:pStyle w:val="TableContents"/>
              <w:spacing w:before="60" w:after="60"/>
              <w:ind w:left="0" w:right="0" w:hanging="0"/>
              <w:rPr>
                <w:caps w:val="false"/>
                <w:smallCaps w:val="false"/>
              </w:rPr>
            </w:pPr>
            <w:r>
              <w:rPr>
                <w:caps w:val="false"/>
                <w:smallCaps w:val="false"/>
              </w:rPr>
              <w:t> </w:t>
            </w:r>
          </w:p>
        </w:tc>
        <w:tc>
          <w:tcPr>
            <w:tcW w:w="1490" w:type="dxa"/>
            <w:tcBorders>
              <w:bottom w:val="single" w:sz="6" w:space="0" w:color="000000"/>
              <w:right w:val="single" w:sz="6" w:space="0" w:color="000000"/>
            </w:tcBorders>
            <w:shd w:fill="auto" w:val="clear"/>
            <w:tcMar>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1.1, 1.8, 2.2</w:t>
            </w:r>
          </w:p>
        </w:tc>
        <w:tc>
          <w:tcPr>
            <w:tcW w:w="60" w:type="dxa"/>
            <w:tcBorders>
              <w:bottom w:val="single" w:sz="6" w:space="0" w:color="000000"/>
            </w:tcBorders>
            <w:shd w:fill="auto" w:val="clear"/>
            <w:tcMar>
              <w:bottom w:w="28" w:type="dxa"/>
            </w:tcMar>
          </w:tcPr>
          <w:p>
            <w:pPr>
              <w:pStyle w:val="TableContents"/>
              <w:spacing w:before="60" w:after="60"/>
              <w:ind w:left="0" w:right="0" w:hanging="0"/>
              <w:rPr>
                <w:caps w:val="false"/>
                <w:smallCaps w:val="false"/>
              </w:rPr>
            </w:pPr>
            <w:r>
              <w:rPr>
                <w:caps w:val="false"/>
                <w:smallCaps w:val="false"/>
              </w:rPr>
              <w:t> </w:t>
            </w:r>
          </w:p>
        </w:tc>
        <w:tc>
          <w:tcPr>
            <w:tcW w:w="1490" w:type="dxa"/>
            <w:tcBorders>
              <w:bottom w:val="single" w:sz="6" w:space="0" w:color="000000"/>
              <w:right w:val="single" w:sz="6" w:space="0" w:color="000000"/>
            </w:tcBorders>
            <w:shd w:fill="auto" w:val="clear"/>
            <w:tcMar>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1.8, 2.2, 2.5</w:t>
            </w:r>
          </w:p>
        </w:tc>
        <w:tc>
          <w:tcPr>
            <w:tcW w:w="60" w:type="dxa"/>
            <w:tcBorders>
              <w:bottom w:val="single" w:sz="6" w:space="0" w:color="000000"/>
            </w:tcBorders>
            <w:shd w:fill="auto" w:val="clear"/>
            <w:tcMar>
              <w:bottom w:w="28" w:type="dxa"/>
            </w:tcMar>
          </w:tcPr>
          <w:p>
            <w:pPr>
              <w:pStyle w:val="TableContents"/>
              <w:spacing w:before="60" w:after="60"/>
              <w:ind w:left="0" w:right="0" w:hanging="0"/>
              <w:rPr>
                <w:caps w:val="false"/>
                <w:smallCaps w:val="false"/>
              </w:rPr>
            </w:pPr>
            <w:r>
              <w:rPr>
                <w:caps w:val="false"/>
                <w:smallCaps w:val="false"/>
              </w:rPr>
              <w:t> </w:t>
            </w:r>
          </w:p>
        </w:tc>
        <w:tc>
          <w:tcPr>
            <w:tcW w:w="1490" w:type="dxa"/>
            <w:tcBorders>
              <w:bottom w:val="single" w:sz="6" w:space="0" w:color="000000"/>
              <w:right w:val="single" w:sz="6" w:space="0" w:color="000000"/>
            </w:tcBorders>
            <w:shd w:fill="auto" w:val="clear"/>
            <w:tcMar>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2.1, 2.3, 2.6</w:t>
            </w:r>
          </w:p>
        </w:tc>
      </w:tr>
    </w:tbl>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Maximum HCV RNA change in Part C (multiple dose in non-cirrhotic, GT1 HCV-infected subjects)</w:t>
      </w:r>
    </w:p>
    <w:p>
      <w:pPr>
        <w:pStyle w:val="TextBody"/>
        <w:spacing w:before="0" w:after="0"/>
        <w:rPr>
          <w:caps w:val="false"/>
          <w:smallCaps w:val="false"/>
        </w:rPr>
      </w:pPr>
      <w:r>
        <w:rPr>
          <w:caps w:val="false"/>
          <w:smallCaps w:val="false"/>
        </w:rPr>
        <w:t> </w:t>
      </w:r>
    </w:p>
    <w:tbl>
      <w:tblPr>
        <w:tblW w:w="10205" w:type="dxa"/>
        <w:jc w:val="center"/>
        <w:tblInd w:w="0" w:type="dxa"/>
        <w:tblCellMar>
          <w:top w:w="0" w:type="dxa"/>
          <w:left w:w="0" w:type="dxa"/>
          <w:bottom w:w="0" w:type="dxa"/>
          <w:right w:w="0" w:type="dxa"/>
        </w:tblCellMar>
      </w:tblPr>
      <w:tblGrid>
        <w:gridCol w:w="2675"/>
        <w:gridCol w:w="60"/>
        <w:gridCol w:w="1872"/>
        <w:gridCol w:w="60"/>
        <w:gridCol w:w="1805"/>
        <w:gridCol w:w="60"/>
        <w:gridCol w:w="1805"/>
        <w:gridCol w:w="60"/>
        <w:gridCol w:w="1808"/>
      </w:tblGrid>
      <w:tr>
        <w:trPr/>
        <w:tc>
          <w:tcPr>
            <w:tcW w:w="26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8" w:type="dxa"/>
            <w:tcBorders/>
            <w:shd w:fill="auto" w:val="clear"/>
            <w:vAlign w:val="center"/>
          </w:tcPr>
          <w:p>
            <w:pPr>
              <w:pStyle w:val="TableContents"/>
              <w:spacing w:before="0" w:after="283"/>
              <w:rPr>
                <w:sz w:val="4"/>
                <w:szCs w:val="4"/>
              </w:rPr>
            </w:pPr>
            <w:r>
              <w:rPr>
                <w:sz w:val="4"/>
                <w:szCs w:val="4"/>
              </w:rPr>
            </w:r>
          </w:p>
        </w:tc>
      </w:tr>
      <w:tr>
        <w:trPr/>
        <w:tc>
          <w:tcPr>
            <w:tcW w:w="267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vAlign w:val="bottom"/>
          </w:tcPr>
          <w:p>
            <w:pPr>
              <w:pStyle w:val="TableContents"/>
              <w:spacing w:before="60" w:after="60"/>
              <w:ind w:left="121" w:right="0" w:hanging="0"/>
              <w:rPr>
                <w:rFonts w:ascii="Arial" w:hAnsi="Arial"/>
                <w:b/>
                <w:i w:val="false"/>
                <w:caps w:val="false"/>
                <w:smallCaps w:val="false"/>
                <w:sz w:val="20"/>
              </w:rPr>
            </w:pPr>
            <w:r>
              <w:rPr>
                <w:rFonts w:ascii="Arial" w:hAnsi="Arial"/>
                <w:b/>
                <w:i w:val="false"/>
                <w:caps w:val="false"/>
                <w:smallCaps w:val="false"/>
                <w:sz w:val="20"/>
              </w:rPr>
              <w:t>Maximum Reduction (log10 IU/mL)</w:t>
            </w:r>
          </w:p>
        </w:tc>
        <w:tc>
          <w:tcPr>
            <w:tcW w:w="60" w:type="dxa"/>
            <w:tcBorders>
              <w:top w:val="single" w:sz="6" w:space="0" w:color="000000"/>
              <w:bottom w:val="single" w:sz="6" w:space="0" w:color="000000"/>
            </w:tcBorders>
            <w:shd w:fill="auto" w:val="clear"/>
            <w:tcMar>
              <w:top w:w="28" w:type="dxa"/>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872" w:type="dxa"/>
            <w:tcBorders>
              <w:top w:val="single" w:sz="6" w:space="0" w:color="000000"/>
              <w:bottom w:val="single" w:sz="6" w:space="0" w:color="000000"/>
              <w:right w:val="single" w:sz="6" w:space="0" w:color="000000"/>
            </w:tcBorders>
            <w:shd w:fill="auto" w:val="clear"/>
            <w:tcMar>
              <w:top w:w="28" w:type="dxa"/>
              <w:bottom w:w="28" w:type="dxa"/>
              <w:right w:w="28" w:type="dxa"/>
            </w:tcMar>
            <w:vAlign w:val="bottom"/>
          </w:tcPr>
          <w:p>
            <w:pPr>
              <w:pStyle w:val="TableContents"/>
              <w:spacing w:before="60" w:after="60"/>
              <w:ind w:left="0" w:right="0" w:hanging="0"/>
              <w:rPr>
                <w:rFonts w:ascii="Arial" w:hAnsi="Arial"/>
                <w:b/>
                <w:i w:val="false"/>
                <w:caps w:val="false"/>
                <w:smallCaps w:val="false"/>
                <w:sz w:val="20"/>
              </w:rPr>
            </w:pPr>
            <w:r>
              <w:rPr>
                <w:rFonts w:ascii="Arial" w:hAnsi="Arial"/>
                <w:b/>
                <w:i w:val="false"/>
                <w:caps w:val="false"/>
                <w:smallCaps w:val="false"/>
                <w:sz w:val="20"/>
              </w:rPr>
              <w:t>Placebo</w:t>
              <w:br/>
              <w:t>QD** x 7 days</w:t>
              <w:br/>
              <w:t>(N=6)</w:t>
            </w:r>
          </w:p>
        </w:tc>
        <w:tc>
          <w:tcPr>
            <w:tcW w:w="60" w:type="dxa"/>
            <w:tcBorders>
              <w:top w:val="single" w:sz="6" w:space="0" w:color="000000"/>
              <w:bottom w:val="single" w:sz="6" w:space="0" w:color="000000"/>
            </w:tcBorders>
            <w:shd w:fill="auto" w:val="clear"/>
            <w:tcMar>
              <w:top w:w="28" w:type="dxa"/>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805" w:type="dxa"/>
            <w:tcBorders>
              <w:top w:val="single" w:sz="6" w:space="0" w:color="000000"/>
              <w:bottom w:val="single" w:sz="6" w:space="0" w:color="000000"/>
              <w:right w:val="single" w:sz="6" w:space="0" w:color="000000"/>
            </w:tcBorders>
            <w:shd w:fill="auto" w:val="clear"/>
            <w:tcMar>
              <w:top w:w="28" w:type="dxa"/>
              <w:bottom w:w="28" w:type="dxa"/>
              <w:right w:w="28" w:type="dxa"/>
            </w:tcMar>
            <w:vAlign w:val="bottom"/>
          </w:tcPr>
          <w:p>
            <w:pPr>
              <w:pStyle w:val="TableContents"/>
              <w:spacing w:before="60" w:after="60"/>
              <w:ind w:left="0" w:right="0" w:hanging="0"/>
              <w:rPr>
                <w:rFonts w:ascii="Arial" w:hAnsi="Arial"/>
                <w:b/>
                <w:i w:val="false"/>
                <w:caps w:val="false"/>
                <w:smallCaps w:val="false"/>
                <w:sz w:val="20"/>
              </w:rPr>
            </w:pPr>
            <w:r>
              <w:rPr>
                <w:rFonts w:ascii="Arial" w:hAnsi="Arial"/>
                <w:b/>
                <w:i w:val="false"/>
                <w:caps w:val="false"/>
                <w:smallCaps w:val="false"/>
                <w:sz w:val="20"/>
              </w:rPr>
              <w:t>150 mg (138 mg)</w:t>
              <w:br/>
              <w:t>QD x 7 days</w:t>
              <w:br/>
              <w:t>(N=6)</w:t>
            </w:r>
          </w:p>
        </w:tc>
        <w:tc>
          <w:tcPr>
            <w:tcW w:w="60" w:type="dxa"/>
            <w:tcBorders>
              <w:top w:val="single" w:sz="6" w:space="0" w:color="000000"/>
              <w:bottom w:val="single" w:sz="6" w:space="0" w:color="000000"/>
            </w:tcBorders>
            <w:shd w:fill="auto" w:val="clear"/>
            <w:tcMar>
              <w:top w:w="28" w:type="dxa"/>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805" w:type="dxa"/>
            <w:tcBorders>
              <w:top w:val="single" w:sz="6" w:space="0" w:color="000000"/>
              <w:bottom w:val="single" w:sz="6" w:space="0" w:color="000000"/>
              <w:right w:val="single" w:sz="6" w:space="0" w:color="000000"/>
            </w:tcBorders>
            <w:shd w:fill="auto" w:val="clear"/>
            <w:tcMar>
              <w:top w:w="28" w:type="dxa"/>
              <w:bottom w:w="28" w:type="dxa"/>
              <w:right w:w="28" w:type="dxa"/>
            </w:tcMar>
            <w:vAlign w:val="bottom"/>
          </w:tcPr>
          <w:p>
            <w:pPr>
              <w:pStyle w:val="TableContents"/>
              <w:spacing w:before="60" w:after="60"/>
              <w:ind w:left="0" w:right="0" w:hanging="0"/>
              <w:rPr>
                <w:rFonts w:ascii="Arial" w:hAnsi="Arial"/>
                <w:b/>
                <w:i w:val="false"/>
                <w:caps w:val="false"/>
                <w:smallCaps w:val="false"/>
                <w:sz w:val="20"/>
              </w:rPr>
            </w:pPr>
            <w:r>
              <w:rPr>
                <w:rFonts w:ascii="Arial" w:hAnsi="Arial"/>
                <w:b/>
                <w:i w:val="false"/>
                <w:caps w:val="false"/>
                <w:smallCaps w:val="false"/>
                <w:sz w:val="20"/>
              </w:rPr>
              <w:t>300 mg (277 mg)</w:t>
              <w:br/>
              <w:t>QD x 7 days</w:t>
              <w:br/>
              <w:t>(N=6)</w:t>
            </w:r>
          </w:p>
        </w:tc>
        <w:tc>
          <w:tcPr>
            <w:tcW w:w="60" w:type="dxa"/>
            <w:tcBorders>
              <w:top w:val="single" w:sz="6" w:space="0" w:color="000000"/>
              <w:bottom w:val="single" w:sz="6" w:space="0" w:color="000000"/>
            </w:tcBorders>
            <w:shd w:fill="auto" w:val="clear"/>
            <w:tcMar>
              <w:top w:w="28" w:type="dxa"/>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808" w:type="dxa"/>
            <w:tcBorders>
              <w:top w:val="single" w:sz="6" w:space="0" w:color="000000"/>
              <w:bottom w:val="single" w:sz="6" w:space="0" w:color="000000"/>
              <w:right w:val="single" w:sz="6" w:space="0" w:color="000000"/>
            </w:tcBorders>
            <w:shd w:fill="auto" w:val="clear"/>
            <w:tcMar>
              <w:top w:w="28" w:type="dxa"/>
              <w:bottom w:w="28" w:type="dxa"/>
              <w:right w:w="28" w:type="dxa"/>
            </w:tcMar>
            <w:vAlign w:val="bottom"/>
          </w:tcPr>
          <w:p>
            <w:pPr>
              <w:pStyle w:val="TableContents"/>
              <w:spacing w:before="60" w:after="60"/>
              <w:ind w:left="0" w:right="0" w:hanging="0"/>
              <w:rPr>
                <w:rFonts w:ascii="Arial" w:hAnsi="Arial"/>
                <w:b/>
                <w:i w:val="false"/>
                <w:caps w:val="false"/>
                <w:smallCaps w:val="false"/>
                <w:sz w:val="20"/>
              </w:rPr>
            </w:pPr>
            <w:r>
              <w:rPr>
                <w:rFonts w:ascii="Arial" w:hAnsi="Arial"/>
                <w:b/>
                <w:i w:val="false"/>
                <w:caps w:val="false"/>
                <w:smallCaps w:val="false"/>
                <w:sz w:val="20"/>
              </w:rPr>
              <w:t>600 mg (553 mg)</w:t>
              <w:br/>
              <w:t>QD x 7 days</w:t>
              <w:br/>
              <w:t>(N=6)</w:t>
            </w:r>
          </w:p>
        </w:tc>
      </w:tr>
      <w:tr>
        <w:trPr/>
        <w:tc>
          <w:tcPr>
            <w:tcW w:w="2675" w:type="dxa"/>
            <w:tcBorders>
              <w:left w:val="single" w:sz="6" w:space="0" w:color="000000"/>
              <w:bottom w:val="single" w:sz="6" w:space="0" w:color="000000"/>
              <w:right w:val="single" w:sz="6" w:space="0" w:color="000000"/>
            </w:tcBorders>
            <w:shd w:fill="auto" w:val="clear"/>
            <w:tcMar>
              <w:left w:w="28" w:type="dxa"/>
              <w:bottom w:w="28" w:type="dxa"/>
              <w:right w:w="28" w:type="dxa"/>
            </w:tcMar>
          </w:tcPr>
          <w:p>
            <w:pPr>
              <w:pStyle w:val="TableContents"/>
              <w:spacing w:before="60" w:after="60"/>
              <w:ind w:left="301" w:right="0" w:hanging="180"/>
              <w:rPr>
                <w:rFonts w:ascii="Arial" w:hAnsi="Arial"/>
                <w:b w:val="false"/>
                <w:i w:val="false"/>
                <w:caps w:val="false"/>
                <w:smallCaps w:val="false"/>
                <w:sz w:val="20"/>
              </w:rPr>
            </w:pPr>
            <w:r>
              <w:rPr>
                <w:rFonts w:ascii="Arial" w:hAnsi="Arial"/>
                <w:b w:val="false"/>
                <w:i w:val="false"/>
                <w:caps w:val="false"/>
                <w:smallCaps w:val="false"/>
                <w:sz w:val="20"/>
              </w:rPr>
              <w:t>Mean ±SD</w:t>
            </w:r>
          </w:p>
        </w:tc>
        <w:tc>
          <w:tcPr>
            <w:tcW w:w="60" w:type="dxa"/>
            <w:tcBorders>
              <w:bottom w:val="single" w:sz="6" w:space="0" w:color="000000"/>
            </w:tcBorders>
            <w:shd w:fill="auto" w:val="clear"/>
            <w:tcMar>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872"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0.4±0.109</w:t>
            </w:r>
          </w:p>
        </w:tc>
        <w:tc>
          <w:tcPr>
            <w:tcW w:w="60" w:type="dxa"/>
            <w:tcBorders>
              <w:bottom w:val="single" w:sz="6" w:space="0" w:color="000000"/>
            </w:tcBorders>
            <w:shd w:fill="auto" w:val="clear"/>
            <w:tcMar>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805"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2.6±1.073</w:t>
            </w:r>
          </w:p>
        </w:tc>
        <w:tc>
          <w:tcPr>
            <w:tcW w:w="60" w:type="dxa"/>
            <w:tcBorders>
              <w:bottom w:val="single" w:sz="6" w:space="0" w:color="000000"/>
            </w:tcBorders>
            <w:shd w:fill="auto" w:val="clear"/>
            <w:tcMar>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805"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4.0±0.415</w:t>
            </w:r>
          </w:p>
        </w:tc>
        <w:tc>
          <w:tcPr>
            <w:tcW w:w="60" w:type="dxa"/>
            <w:tcBorders>
              <w:bottom w:val="single" w:sz="6" w:space="0" w:color="000000"/>
            </w:tcBorders>
            <w:shd w:fill="auto" w:val="clear"/>
            <w:tcMar>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808"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4.4±0.712</w:t>
            </w:r>
          </w:p>
        </w:tc>
      </w:tr>
      <w:tr>
        <w:trPr/>
        <w:tc>
          <w:tcPr>
            <w:tcW w:w="2675" w:type="dxa"/>
            <w:tcBorders>
              <w:left w:val="single" w:sz="6" w:space="0" w:color="000000"/>
              <w:bottom w:val="single" w:sz="6" w:space="0" w:color="000000"/>
              <w:right w:val="single" w:sz="6" w:space="0" w:color="000000"/>
            </w:tcBorders>
            <w:shd w:fill="auto" w:val="clear"/>
            <w:tcMar>
              <w:left w:w="28" w:type="dxa"/>
              <w:bottom w:w="28" w:type="dxa"/>
              <w:right w:w="28" w:type="dxa"/>
            </w:tcMar>
          </w:tcPr>
          <w:p>
            <w:pPr>
              <w:pStyle w:val="TableContents"/>
              <w:spacing w:before="60" w:after="60"/>
              <w:ind w:left="301" w:right="0" w:hanging="180"/>
              <w:rPr>
                <w:rFonts w:ascii="Arial" w:hAnsi="Arial"/>
                <w:b w:val="false"/>
                <w:i w:val="false"/>
                <w:caps w:val="false"/>
                <w:smallCaps w:val="false"/>
                <w:sz w:val="20"/>
              </w:rPr>
            </w:pPr>
            <w:r>
              <w:rPr>
                <w:rFonts w:ascii="Arial" w:hAnsi="Arial"/>
                <w:b w:val="false"/>
                <w:i w:val="false"/>
                <w:caps w:val="false"/>
                <w:smallCaps w:val="false"/>
                <w:sz w:val="20"/>
              </w:rPr>
              <w:t>Individual</w:t>
            </w:r>
          </w:p>
        </w:tc>
        <w:tc>
          <w:tcPr>
            <w:tcW w:w="60" w:type="dxa"/>
            <w:tcBorders>
              <w:bottom w:val="single" w:sz="6" w:space="0" w:color="000000"/>
            </w:tcBorders>
            <w:shd w:fill="auto" w:val="clear"/>
            <w:tcMar>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872"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0.3, 0.3, 0.4, 0.4, 0.5, 0.6</w:t>
            </w:r>
          </w:p>
        </w:tc>
        <w:tc>
          <w:tcPr>
            <w:tcW w:w="60" w:type="dxa"/>
            <w:tcBorders>
              <w:bottom w:val="single" w:sz="6" w:space="0" w:color="000000"/>
            </w:tcBorders>
            <w:shd w:fill="auto" w:val="clear"/>
            <w:tcMar>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805"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1.7, 1.8, 1.8, 2.7, 3.0, 4.5</w:t>
            </w:r>
          </w:p>
        </w:tc>
        <w:tc>
          <w:tcPr>
            <w:tcW w:w="60" w:type="dxa"/>
            <w:tcBorders>
              <w:bottom w:val="single" w:sz="6" w:space="0" w:color="000000"/>
            </w:tcBorders>
            <w:shd w:fill="auto" w:val="clear"/>
            <w:tcMar>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805"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3.4, 3.7, 3.9, 4.2, 4.2, 4.5</w:t>
            </w:r>
          </w:p>
        </w:tc>
        <w:tc>
          <w:tcPr>
            <w:tcW w:w="60" w:type="dxa"/>
            <w:tcBorders>
              <w:bottom w:val="single" w:sz="6" w:space="0" w:color="000000"/>
            </w:tcBorders>
            <w:shd w:fill="auto" w:val="clear"/>
            <w:tcMar>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808"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3.5, 4.0, 4.1, 4.3, 5.2, 5.3</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19</w:t>
      </w:r>
    </w:p>
    <w:p>
      <w:pPr>
        <w:pStyle w:val="HorizontalLine"/>
        <w:rPr/>
      </w:pPr>
      <w:r>
        <w:rPr/>
      </w:r>
    </w:p>
    <w:p>
      <w:pPr>
        <w:pStyle w:val="TextBody"/>
        <w:spacing w:before="40" w:after="0"/>
        <w:rPr>
          <w:rFonts w:ascii="Arial" w:hAnsi="Arial"/>
          <w:b/>
          <w:i w:val="false"/>
          <w:caps w:val="false"/>
          <w:smallCaps w:val="false"/>
          <w:sz w:val="20"/>
        </w:rPr>
      </w:pPr>
      <w:r>
        <w:rPr>
          <w:rFonts w:ascii="Arial" w:hAnsi="Arial"/>
          <w:b/>
          <w:i w:val="false"/>
          <w:caps w:val="false"/>
          <w:smallCaps w:val="false"/>
          <w:sz w:val="20"/>
        </w:rPr>
        <w:t>Maximum HCV RNA change in Part D (multiple dose in non-cirrhotic, GT3 HCV-infected subjects) and Part E (multiple dose in cirrhotic HCV-infected subjects)</w:t>
      </w:r>
    </w:p>
    <w:p>
      <w:pPr>
        <w:pStyle w:val="TextBody"/>
        <w:spacing w:before="0" w:after="0"/>
        <w:rPr>
          <w:caps w:val="false"/>
          <w:smallCaps w:val="false"/>
        </w:rPr>
      </w:pPr>
      <w:r>
        <w:rPr>
          <w:caps w:val="false"/>
          <w:smallCaps w:val="false"/>
        </w:rPr>
        <w:t> </w:t>
      </w:r>
    </w:p>
    <w:tbl>
      <w:tblPr>
        <w:tblW w:w="5970" w:type="dxa"/>
        <w:jc w:val="center"/>
        <w:tblInd w:w="0" w:type="dxa"/>
        <w:tblCellMar>
          <w:top w:w="0" w:type="dxa"/>
          <w:left w:w="0" w:type="dxa"/>
          <w:bottom w:w="0" w:type="dxa"/>
          <w:right w:w="0" w:type="dxa"/>
        </w:tblCellMar>
      </w:tblPr>
      <w:tblGrid>
        <w:gridCol w:w="1940"/>
        <w:gridCol w:w="60"/>
        <w:gridCol w:w="2240"/>
        <w:gridCol w:w="60"/>
        <w:gridCol w:w="1670"/>
      </w:tblGrid>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r>
      <w:tr>
        <w:trPr/>
        <w:tc>
          <w:tcPr>
            <w:tcW w:w="1940" w:type="dxa"/>
            <w:vMerge w:val="restart"/>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121" w:right="0" w:hanging="0"/>
              <w:rPr>
                <w:rFonts w:ascii="Arial" w:hAnsi="Arial"/>
                <w:b/>
                <w:i w:val="false"/>
                <w:caps w:val="false"/>
                <w:smallCaps w:val="false"/>
                <w:sz w:val="20"/>
              </w:rPr>
            </w:pPr>
            <w:r>
              <w:rPr>
                <w:rFonts w:ascii="Arial" w:hAnsi="Arial"/>
                <w:b/>
                <w:i w:val="false"/>
                <w:caps w:val="false"/>
                <w:smallCaps w:val="false"/>
                <w:sz w:val="20"/>
              </w:rPr>
              <w:t>Maximum Reduction</w:t>
              <w:br/>
              <w:t>(log10 IU/mL)</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bottom"/>
          </w:tcPr>
          <w:p>
            <w:pPr>
              <w:pStyle w:val="TableContents"/>
              <w:spacing w:before="120" w:after="0"/>
              <w:ind w:left="0" w:right="0" w:hanging="0"/>
              <w:rPr>
                <w:caps w:val="false"/>
                <w:smallCaps w:val="false"/>
              </w:rPr>
            </w:pPr>
            <w:r>
              <w:rPr>
                <w:caps w:val="false"/>
                <w:smallCaps w:val="false"/>
              </w:rPr>
              <w:t> </w:t>
            </w:r>
          </w:p>
        </w:tc>
        <w:tc>
          <w:tcPr>
            <w:tcW w:w="2240" w:type="dxa"/>
            <w:tcBorders>
              <w:top w:val="single" w:sz="6" w:space="0" w:color="000000"/>
              <w:bottom w:val="single" w:sz="6" w:space="0" w:color="000000"/>
              <w:right w:val="single" w:sz="6" w:space="0" w:color="000000"/>
            </w:tcBorders>
            <w:shd w:fill="auto" w:val="clear"/>
            <w:tcMar>
              <w:top w:w="28" w:type="dxa"/>
              <w:bottom w:w="28" w:type="dxa"/>
              <w:right w:w="28" w:type="dxa"/>
            </w:tcMar>
            <w:vAlign w:val="bottom"/>
          </w:tcPr>
          <w:p>
            <w:pPr>
              <w:pStyle w:val="TableContents"/>
              <w:spacing w:before="60" w:after="60"/>
              <w:ind w:left="0" w:right="0" w:hanging="0"/>
              <w:rPr>
                <w:rFonts w:ascii="Arial" w:hAnsi="Arial"/>
                <w:b/>
                <w:i w:val="false"/>
                <w:caps w:val="false"/>
                <w:smallCaps w:val="false"/>
                <w:sz w:val="20"/>
              </w:rPr>
            </w:pPr>
            <w:r>
              <w:rPr>
                <w:rFonts w:ascii="Arial" w:hAnsi="Arial"/>
                <w:b/>
                <w:i w:val="false"/>
                <w:caps w:val="false"/>
                <w:smallCaps w:val="false"/>
                <w:sz w:val="20"/>
              </w:rPr>
              <w:t>Part D – GT3</w:t>
            </w:r>
          </w:p>
        </w:tc>
        <w:tc>
          <w:tcPr>
            <w:tcW w:w="60" w:type="dxa"/>
            <w:tcBorders>
              <w:top w:val="single" w:sz="6" w:space="0" w:color="000000"/>
              <w:bottom w:val="single" w:sz="6" w:space="0" w:color="000000"/>
            </w:tcBorders>
            <w:shd w:fill="auto" w:val="clear"/>
            <w:tcMar>
              <w:top w:w="28" w:type="dxa"/>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670" w:type="dxa"/>
            <w:tcBorders>
              <w:top w:val="single" w:sz="6" w:space="0" w:color="000000"/>
              <w:bottom w:val="single" w:sz="6" w:space="0" w:color="000000"/>
              <w:right w:val="single" w:sz="6" w:space="0" w:color="000000"/>
            </w:tcBorders>
            <w:shd w:fill="auto" w:val="clear"/>
            <w:tcMar>
              <w:top w:w="28" w:type="dxa"/>
              <w:bottom w:w="28" w:type="dxa"/>
              <w:right w:w="28" w:type="dxa"/>
            </w:tcMar>
            <w:vAlign w:val="bottom"/>
          </w:tcPr>
          <w:p>
            <w:pPr>
              <w:pStyle w:val="TableContents"/>
              <w:spacing w:before="60" w:after="60"/>
              <w:ind w:left="0" w:right="0" w:hanging="0"/>
              <w:rPr>
                <w:rFonts w:ascii="Arial" w:hAnsi="Arial"/>
                <w:b/>
                <w:i w:val="false"/>
                <w:caps w:val="false"/>
                <w:smallCaps w:val="false"/>
                <w:sz w:val="20"/>
              </w:rPr>
            </w:pPr>
            <w:r>
              <w:rPr>
                <w:rFonts w:ascii="Arial" w:hAnsi="Arial"/>
                <w:b/>
                <w:i w:val="false"/>
                <w:caps w:val="false"/>
                <w:smallCaps w:val="false"/>
                <w:sz w:val="20"/>
              </w:rPr>
              <w:t>Part E – Cirrhotic</w:t>
            </w:r>
          </w:p>
        </w:tc>
      </w:tr>
      <w:tr>
        <w:trPr/>
        <w:tc>
          <w:tcPr>
            <w:tcW w:w="1940" w:type="dxa"/>
            <w:vMerge w:val="continue"/>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Normal"/>
              <w:rPr/>
            </w:pPr>
            <w:r>
              <w:rPr/>
            </w:r>
          </w:p>
        </w:tc>
        <w:tc>
          <w:tcPr>
            <w:tcW w:w="60" w:type="dxa"/>
            <w:tcBorders>
              <w:left w:val="single" w:sz="6" w:space="0" w:color="000000"/>
              <w:bottom w:val="single" w:sz="6" w:space="0" w:color="000000"/>
            </w:tcBorders>
            <w:shd w:fill="auto" w:val="clear"/>
            <w:tcMar>
              <w:left w:w="28" w:type="dxa"/>
              <w:bottom w:w="28" w:type="dxa"/>
            </w:tcMar>
            <w:vAlign w:val="bottom"/>
          </w:tcPr>
          <w:p>
            <w:pPr>
              <w:pStyle w:val="TableContents"/>
              <w:spacing w:before="120" w:after="0"/>
              <w:ind w:left="0" w:right="0" w:hanging="0"/>
              <w:rPr>
                <w:caps w:val="false"/>
                <w:smallCaps w:val="false"/>
              </w:rPr>
            </w:pPr>
            <w:r>
              <w:rPr>
                <w:caps w:val="false"/>
                <w:smallCaps w:val="false"/>
              </w:rPr>
              <w:t> </w:t>
            </w:r>
          </w:p>
        </w:tc>
        <w:tc>
          <w:tcPr>
            <w:tcW w:w="2240"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i w:val="false"/>
                <w:caps w:val="false"/>
                <w:smallCaps w:val="false"/>
                <w:sz w:val="20"/>
              </w:rPr>
            </w:pPr>
            <w:r>
              <w:rPr>
                <w:rFonts w:ascii="Arial" w:hAnsi="Arial"/>
                <w:b/>
                <w:i w:val="false"/>
                <w:caps w:val="false"/>
                <w:smallCaps w:val="false"/>
                <w:sz w:val="20"/>
              </w:rPr>
              <w:t>600 mg (553 mg)</w:t>
              <w:br/>
              <w:t>QD x 7 days</w:t>
              <w:br/>
              <w:t>(N=6)</w:t>
            </w:r>
          </w:p>
        </w:tc>
        <w:tc>
          <w:tcPr>
            <w:tcW w:w="60" w:type="dxa"/>
            <w:tcBorders>
              <w:bottom w:val="single" w:sz="6" w:space="0" w:color="000000"/>
            </w:tcBorders>
            <w:shd w:fill="auto" w:val="clear"/>
            <w:tcMar>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670"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i w:val="false"/>
                <w:caps w:val="false"/>
                <w:smallCaps w:val="false"/>
                <w:sz w:val="20"/>
              </w:rPr>
            </w:pPr>
            <w:r>
              <w:rPr>
                <w:rFonts w:ascii="Arial" w:hAnsi="Arial"/>
                <w:b/>
                <w:i w:val="false"/>
                <w:caps w:val="false"/>
                <w:smallCaps w:val="false"/>
                <w:sz w:val="20"/>
              </w:rPr>
              <w:t>600 mg (553 mg)</w:t>
              <w:br/>
              <w:t>QD x 7 days</w:t>
              <w:br/>
              <w:t>(N=6)</w:t>
            </w:r>
          </w:p>
        </w:tc>
      </w:tr>
      <w:tr>
        <w:trPr/>
        <w:tc>
          <w:tcPr>
            <w:tcW w:w="194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vAlign w:val="bottom"/>
          </w:tcPr>
          <w:p>
            <w:pPr>
              <w:pStyle w:val="TableContents"/>
              <w:spacing w:before="60" w:after="60"/>
              <w:ind w:left="121" w:right="0" w:hanging="0"/>
              <w:rPr>
                <w:rFonts w:ascii="Arial" w:hAnsi="Arial"/>
                <w:b w:val="false"/>
                <w:i w:val="false"/>
                <w:caps w:val="false"/>
                <w:smallCaps w:val="false"/>
                <w:sz w:val="20"/>
              </w:rPr>
            </w:pPr>
            <w:r>
              <w:rPr>
                <w:rFonts w:ascii="Arial" w:hAnsi="Arial"/>
                <w:b w:val="false"/>
                <w:i w:val="false"/>
                <w:caps w:val="false"/>
                <w:smallCaps w:val="false"/>
                <w:sz w:val="20"/>
              </w:rPr>
              <w:t>Mean ±SD</w:t>
            </w:r>
          </w:p>
        </w:tc>
        <w:tc>
          <w:tcPr>
            <w:tcW w:w="60" w:type="dxa"/>
            <w:tcBorders>
              <w:bottom w:val="single" w:sz="6" w:space="0" w:color="000000"/>
            </w:tcBorders>
            <w:shd w:fill="auto" w:val="clear"/>
            <w:tcMar>
              <w:bottom w:w="28" w:type="dxa"/>
            </w:tcMar>
            <w:vAlign w:val="bottom"/>
          </w:tcPr>
          <w:p>
            <w:pPr>
              <w:pStyle w:val="TableContents"/>
              <w:spacing w:before="120" w:after="0"/>
              <w:ind w:left="0" w:right="0" w:hanging="0"/>
              <w:rPr>
                <w:caps w:val="false"/>
                <w:smallCaps w:val="false"/>
              </w:rPr>
            </w:pPr>
            <w:r>
              <w:rPr>
                <w:caps w:val="false"/>
                <w:smallCaps w:val="false"/>
              </w:rPr>
              <w:t> </w:t>
            </w:r>
          </w:p>
        </w:tc>
        <w:tc>
          <w:tcPr>
            <w:tcW w:w="2240"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4.5±0.262</w:t>
            </w:r>
          </w:p>
        </w:tc>
        <w:tc>
          <w:tcPr>
            <w:tcW w:w="60" w:type="dxa"/>
            <w:tcBorders>
              <w:bottom w:val="single" w:sz="6" w:space="0" w:color="000000"/>
            </w:tcBorders>
            <w:shd w:fill="auto" w:val="clear"/>
            <w:tcMar>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670"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4.6±0.485</w:t>
            </w:r>
          </w:p>
        </w:tc>
      </w:tr>
      <w:tr>
        <w:trPr/>
        <w:tc>
          <w:tcPr>
            <w:tcW w:w="1940" w:type="dxa"/>
            <w:tcBorders>
              <w:left w:val="single" w:sz="6" w:space="0" w:color="000000"/>
              <w:bottom w:val="single" w:sz="6" w:space="0" w:color="000000"/>
              <w:right w:val="single" w:sz="6" w:space="0" w:color="000000"/>
            </w:tcBorders>
            <w:shd w:fill="auto" w:val="clear"/>
            <w:tcMar>
              <w:left w:w="28" w:type="dxa"/>
              <w:bottom w:w="28" w:type="dxa"/>
              <w:right w:w="28" w:type="dxa"/>
            </w:tcMar>
          </w:tcPr>
          <w:p>
            <w:pPr>
              <w:pStyle w:val="TableContents"/>
              <w:spacing w:before="60" w:after="60"/>
              <w:ind w:left="121" w:right="0" w:hanging="0"/>
              <w:rPr>
                <w:rFonts w:ascii="Arial" w:hAnsi="Arial"/>
                <w:b w:val="false"/>
                <w:i w:val="false"/>
                <w:caps w:val="false"/>
                <w:smallCaps w:val="false"/>
                <w:sz w:val="20"/>
              </w:rPr>
            </w:pPr>
            <w:r>
              <w:rPr>
                <w:rFonts w:ascii="Arial" w:hAnsi="Arial"/>
                <w:b w:val="false"/>
                <w:i w:val="false"/>
                <w:caps w:val="false"/>
                <w:smallCaps w:val="false"/>
                <w:sz w:val="20"/>
              </w:rPr>
              <w:t>Individual</w:t>
            </w:r>
          </w:p>
        </w:tc>
        <w:tc>
          <w:tcPr>
            <w:tcW w:w="60" w:type="dxa"/>
            <w:tcBorders>
              <w:bottom w:val="single" w:sz="6" w:space="0" w:color="000000"/>
            </w:tcBorders>
            <w:shd w:fill="auto" w:val="clear"/>
            <w:tcMar>
              <w:bottom w:w="28" w:type="dxa"/>
            </w:tcMar>
            <w:vAlign w:val="bottom"/>
          </w:tcPr>
          <w:p>
            <w:pPr>
              <w:pStyle w:val="TableContents"/>
              <w:spacing w:before="120" w:after="0"/>
              <w:ind w:left="0" w:right="0" w:hanging="0"/>
              <w:rPr>
                <w:caps w:val="false"/>
                <w:smallCaps w:val="false"/>
              </w:rPr>
            </w:pPr>
            <w:r>
              <w:rPr>
                <w:caps w:val="false"/>
                <w:smallCaps w:val="false"/>
              </w:rPr>
              <w:t> </w:t>
            </w:r>
          </w:p>
        </w:tc>
        <w:tc>
          <w:tcPr>
            <w:tcW w:w="2240" w:type="dxa"/>
            <w:tcBorders>
              <w:bottom w:val="single" w:sz="6" w:space="0" w:color="000000"/>
              <w:right w:val="single" w:sz="6" w:space="0" w:color="000000"/>
            </w:tcBorders>
            <w:shd w:fill="auto" w:val="clear"/>
            <w:tcMar>
              <w:bottom w:w="28" w:type="dxa"/>
              <w:right w:w="28" w:type="dxa"/>
            </w:tcMar>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4.2, 4,4, 4.4, 4.5, 4.5, 5.0</w:t>
            </w:r>
          </w:p>
        </w:tc>
        <w:tc>
          <w:tcPr>
            <w:tcW w:w="60" w:type="dxa"/>
            <w:tcBorders>
              <w:bottom w:val="single" w:sz="6" w:space="0" w:color="000000"/>
            </w:tcBorders>
            <w:shd w:fill="auto" w:val="clear"/>
            <w:tcMar>
              <w:bottom w:w="28" w:type="dxa"/>
            </w:tcMar>
            <w:vAlign w:val="bottom"/>
          </w:tcPr>
          <w:p>
            <w:pPr>
              <w:pStyle w:val="TableContents"/>
              <w:spacing w:before="60" w:after="60"/>
              <w:ind w:left="0" w:right="0" w:hanging="0"/>
              <w:rPr>
                <w:caps w:val="false"/>
                <w:smallCaps w:val="false"/>
              </w:rPr>
            </w:pPr>
            <w:r>
              <w:rPr>
                <w:caps w:val="false"/>
                <w:smallCaps w:val="false"/>
              </w:rPr>
              <w:t> </w:t>
            </w:r>
          </w:p>
        </w:tc>
        <w:tc>
          <w:tcPr>
            <w:tcW w:w="1670" w:type="dxa"/>
            <w:tcBorders>
              <w:bottom w:val="single" w:sz="6" w:space="0" w:color="000000"/>
              <w:right w:val="single" w:sz="6" w:space="0" w:color="000000"/>
            </w:tcBorders>
            <w:shd w:fill="auto" w:val="clear"/>
            <w:tcMar>
              <w:bottom w:w="28" w:type="dxa"/>
              <w:right w:w="28" w:type="dxa"/>
            </w:tcMar>
            <w:vAlign w:val="bottom"/>
          </w:tcPr>
          <w:p>
            <w:pPr>
              <w:pStyle w:val="TableContents"/>
              <w:spacing w:before="60" w:after="60"/>
              <w:ind w:left="0" w:right="0" w:hanging="0"/>
              <w:rPr>
                <w:rFonts w:ascii="Arial" w:hAnsi="Arial"/>
                <w:b w:val="false"/>
                <w:i w:val="false"/>
                <w:caps w:val="false"/>
                <w:smallCaps w:val="false"/>
                <w:sz w:val="20"/>
              </w:rPr>
            </w:pPr>
            <w:r>
              <w:rPr>
                <w:rFonts w:ascii="Arial" w:hAnsi="Arial"/>
                <w:b w:val="false"/>
                <w:i w:val="false"/>
                <w:caps w:val="false"/>
                <w:smallCaps w:val="false"/>
                <w:sz w:val="20"/>
              </w:rPr>
              <w:t>GT1b: 4.0, 4.0, 4.5</w:t>
              <w:br/>
              <w:t>GT2: 5.0</w:t>
              <w:br/>
              <w:t>GT3: 4.8, 5.2</w:t>
            </w:r>
          </w:p>
        </w:tc>
      </w:tr>
    </w:tbl>
    <w:p>
      <w:pPr>
        <w:pStyle w:val="TextBody"/>
        <w:spacing w:before="0" w:after="0"/>
        <w:rPr/>
      </w:pPr>
      <w:r>
        <w:rPr/>
        <w:t> </w:t>
      </w:r>
    </w:p>
    <w:tbl>
      <w:tblPr>
        <w:tblW w:w="2215" w:type="dxa"/>
        <w:jc w:val="left"/>
        <w:tblInd w:w="0" w:type="dxa"/>
        <w:tblCellMar>
          <w:top w:w="0" w:type="dxa"/>
          <w:left w:w="0" w:type="dxa"/>
          <w:bottom w:w="0" w:type="dxa"/>
          <w:right w:w="0" w:type="dxa"/>
        </w:tblCellMar>
      </w:tblPr>
      <w:tblGrid>
        <w:gridCol w:w="95"/>
        <w:gridCol w:w="2120"/>
      </w:tblGrid>
      <w:tr>
        <w:trPr/>
        <w:tc>
          <w:tcPr>
            <w:tcW w:w="9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w:t>
            </w:r>
          </w:p>
        </w:tc>
        <w:tc>
          <w:tcPr>
            <w:tcW w:w="212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SD = standard deviation</w:t>
            </w:r>
          </w:p>
        </w:tc>
      </w:tr>
    </w:tbl>
    <w:tbl>
      <w:tblPr>
        <w:tblW w:w="1600" w:type="dxa"/>
        <w:jc w:val="left"/>
        <w:tblInd w:w="0" w:type="dxa"/>
        <w:tblCellMar>
          <w:top w:w="0" w:type="dxa"/>
          <w:left w:w="0" w:type="dxa"/>
          <w:bottom w:w="0" w:type="dxa"/>
          <w:right w:w="0" w:type="dxa"/>
        </w:tblCellMar>
      </w:tblPr>
      <w:tblGrid>
        <w:gridCol w:w="170"/>
        <w:gridCol w:w="1430"/>
      </w:tblGrid>
      <w:tr>
        <w:trPr/>
        <w:tc>
          <w:tcPr>
            <w:tcW w:w="17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w:t>
            </w:r>
          </w:p>
        </w:tc>
        <w:tc>
          <w:tcPr>
            <w:tcW w:w="143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QD = once daily</w:t>
            </w:r>
          </w:p>
        </w:tc>
      </w:tr>
    </w:tbl>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Phase 2 clinical trial of AT-527 in combination with an NS5A inhibitor</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conducted a Phase 2, open-label clinical trial to evaluate AT-527 in combination with daclatasvir, an approved commercially available HCV NS5A inhibitor, in HCV-infected subjects. Ten treatment-naïve, non-cirrhotic GT1 HCV-infected subjects received 553 mg free base AT-527 and 60 mg daclatasvir once daily for a period of eight or 12 weeks. The primary efficacy endpoint of the study was an SVR of 12, with secondary efficacy endpoints that included HCV RNA&lt; Lower Limit Of Quantitation (“LLOQ”), and Target Not Detected (“TND”), by study visit, HCV RNA changes from baseline, alanine transaminase normalization in those who had elevated levels at baseline, virologic failure, and resistance-associated substitutions to either of the study drugs. All subjects completed the treatment period in the study, nine of whom received eight weeks of treatment and one of whom received 12 weeks of treatment. All subjects achieved an SVR of four, nine of whom received only eight weeks of treatment. As shown in the graph below, viral load decreased rapidly, with 70% of subjects achieving plasma HCV RNA &lt; LLOQ by week 2 (and 50% achieving TND by week 2). We believe that the rapid early clearance of HCV RNA observed in this trial supports continued evaluation of AT-527 in shortened treatment regimens, ideally with a more potent, next-generation HCV NS5A inhibitor.</w:t>
      </w:r>
    </w:p>
    <w:p>
      <w:pPr>
        <w:pStyle w:val="TextBody"/>
        <w:spacing w:before="120" w:after="0"/>
        <w:rPr/>
      </w:pPr>
      <w:r>
        <w:rPr/>
        <w:t> </w:t>
      </w:r>
    </w:p>
    <w:p>
      <w:pPr>
        <w:pStyle w:val="TextBody"/>
        <w:spacing w:before="0" w:after="0"/>
        <w:jc w:val="center"/>
        <w:rPr>
          <w:caps w:val="false"/>
          <w:smallCaps w:val="false"/>
        </w:rPr>
      </w:pPr>
      <w:r>
        <w:rPr>
          <w:caps w:val="false"/>
          <w:smallCaps w:val="false"/>
        </w:rPr>
        <w:drawing>
          <wp:inline distT="0" distB="0" distL="0" distR="0">
            <wp:extent cx="4114800" cy="27051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114800" cy="2705100"/>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AT-527 Safety Results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There were no serious adverse events, dose-limiting toxicities or adverse events leading to trial discontinuation observed in our HCV Phase 1 or Phase 2 clinical trials of AT-527. The most common side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20</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effects observed were headache and small increases in blood lipid levels, with no consistent patterns in other reported effects. Most side effects were not severe and were not thought to be related to AT-527.</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Planned clinical development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have temporarily paused our development program for AT-787 in HCV infected patients, given industry-wide challenges in clinical studies during the COVID-19 pandemic. We expect to restart this program once the planned clinical trial sites are able to re-open and we elect to resume patient enrollment, starting with our Phase 1/2a clinical trial, which is designed to evaluate the safety and PK of different dosages of AT-777 in healthy adults and evaluate the combination of AT-527 and AT-777. We currently anticipate that this will occur in the second half of 2021. The Phase 1/2a clinical trial is comprised of two parts. Part A is a randomized, blinded, sequential-dose trial to evaluate the safety, tolerability and PK of AT-777 alone in up to 24 healthy volunteers. Part B is an open-label trial in up to 20 patients with HCV to evaluate AT-527 in combination with AT-777. The primary objectives of Part B are safety, antiviral activity and PK. Following the completion of the Phase 1/2a clinical, we anticipate commencing a Phase 2b clinical trial to further evaluate the antiviral activity and safety of AT-787, the fixed dose combination of AT-777 and AT-527.</w:t>
      </w:r>
    </w:p>
    <w:p>
      <w:pPr>
        <w:pStyle w:val="TextBody"/>
        <w:spacing w:before="120" w:after="0"/>
        <w:rPr>
          <w:rFonts w:ascii="Arial" w:hAnsi="Arial"/>
          <w:b/>
          <w:i/>
          <w:caps w:val="false"/>
          <w:smallCaps w:val="false"/>
          <w:sz w:val="20"/>
        </w:rPr>
      </w:pPr>
      <w:r>
        <w:rPr>
          <w:rFonts w:ascii="Arial" w:hAnsi="Arial"/>
          <w:b/>
          <w:i/>
          <w:caps w:val="false"/>
          <w:smallCaps w:val="false"/>
          <w:sz w:val="20"/>
        </w:rPr>
        <w:t>AT-889 and Other Candidates for the Treatment of Respiratory Syncytial Virus (RSV)</w:t>
      </w:r>
    </w:p>
    <w:p>
      <w:pPr>
        <w:pStyle w:val="TextBody"/>
        <w:spacing w:before="0" w:after="0"/>
        <w:rPr/>
      </w:pPr>
      <w:r>
        <w:rPr/>
        <w:t> </w:t>
      </w:r>
    </w:p>
    <w:p>
      <w:pPr>
        <w:pStyle w:val="TextBody"/>
        <w:spacing w:before="0" w:after="0"/>
        <w:rPr>
          <w:rFonts w:ascii="Arial" w:hAnsi="Arial"/>
          <w:b/>
          <w:i/>
          <w:caps w:val="false"/>
          <w:smallCaps w:val="false"/>
          <w:sz w:val="20"/>
        </w:rPr>
      </w:pPr>
      <w:r>
        <w:rPr>
          <w:rFonts w:ascii="Arial" w:hAnsi="Arial"/>
          <w:b/>
          <w:i/>
          <w:caps w:val="false"/>
          <w:smallCaps w:val="false"/>
          <w:sz w:val="20"/>
        </w:rPr>
        <w:t>Respiratory Syncytial Virus (RSV)</w:t>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Background</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RSV is a seasonal respiratory virus that can be serious for infants, older adults, and the immuno-compromised population. Although the virus is seasonal, the duration, peaks and severity of the virus vary each season. RSV, a negative ssRNA virus belonging to the </w:t>
      </w:r>
      <w:r>
        <w:rPr>
          <w:rFonts w:ascii="Arial" w:hAnsi="Arial"/>
          <w:b w:val="false"/>
          <w:i/>
          <w:caps w:val="false"/>
          <w:smallCaps w:val="false"/>
          <w:sz w:val="20"/>
        </w:rPr>
        <w:t>Pneumoviridae</w:t>
      </w:r>
      <w:r>
        <w:rPr>
          <w:rFonts w:ascii="Arial" w:hAnsi="Arial"/>
          <w:b w:val="false"/>
          <w:i w:val="false"/>
          <w:caps w:val="false"/>
          <w:smallCaps w:val="false"/>
          <w:sz w:val="20"/>
        </w:rPr>
        <w:t xml:space="preserve"> subfamily of the </w:t>
      </w:r>
      <w:r>
        <w:rPr>
          <w:rFonts w:ascii="Arial" w:hAnsi="Arial"/>
          <w:b w:val="false"/>
          <w:i/>
          <w:caps w:val="false"/>
          <w:smallCaps w:val="false"/>
          <w:sz w:val="20"/>
        </w:rPr>
        <w:t>Paramyxoviridae</w:t>
      </w:r>
      <w:r>
        <w:rPr>
          <w:rFonts w:ascii="Arial" w:hAnsi="Arial"/>
          <w:b w:val="false"/>
          <w:i w:val="false"/>
          <w:caps w:val="false"/>
          <w:smallCaps w:val="false"/>
          <w:sz w:val="20"/>
        </w:rPr>
        <w:t xml:space="preserve"> family, is the most common cause of bronchiolitis (inflammation of the small airways in the lung) and pneumonia (infection of the lungs) in children in the United States. Almost all children contract the RSV infection by their third year of life.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primary symptoms of RSV infections include coughing, wheezing, fever, decreased appetite, and runny nose. In the United States, RSV infections generally occur during fall, winter and spring, but the timing and severity can vary from year to year and from region to region. Two different strains of the virus co-circulate each season, and RSV epidemics last from four to six months.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Globally, RSV affects 64 million people, according to the National Institutes of Health (the “NIH”), with annual mortality estimated at 160,000 deaths.  Three distinct patient populations are most significantly impacted by RSV.   These patient populations are: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i w:val="false"/>
                <w:caps w:val="false"/>
                <w:smallCaps w:val="false"/>
                <w:color w:val="000000"/>
                <w:sz w:val="20"/>
              </w:rPr>
              <w:t>Elderly</w:t>
            </w:r>
            <w:r>
              <w:rPr>
                <w:rFonts w:ascii="Arial" w:hAnsi="Arial"/>
                <w:b w:val="false"/>
                <w:i w:val="false"/>
                <w:caps w:val="false"/>
                <w:smallCaps w:val="false"/>
                <w:color w:val="000000"/>
                <w:sz w:val="20"/>
              </w:rPr>
              <w:t>:    Among the elderly, the CDC estimates that RSV is responsible for 177,000 hospitalizations in the United States. An estimated 14,000 annual deaths are caused by RSV in the United States in adults older than age 65.</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i w:val="false"/>
                <w:caps w:val="false"/>
                <w:smallCaps w:val="false"/>
                <w:color w:val="000000"/>
                <w:sz w:val="20"/>
              </w:rPr>
              <w:t>Immunocompromised</w:t>
            </w:r>
            <w:r>
              <w:rPr>
                <w:rFonts w:ascii="Arial" w:hAnsi="Arial"/>
                <w:b w:val="false"/>
                <w:i w:val="false"/>
                <w:caps w:val="false"/>
                <w:smallCaps w:val="false"/>
                <w:color w:val="000000"/>
                <w:sz w:val="20"/>
              </w:rPr>
              <w:t>:    Globally, there are more than 50,000 hematopoietic stem cell transplants annually. Studies suggest that there is a significant risk of hospital mortality due to respiratory failure in immunocompromised patients with lower respiratory disease.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i w:val="false"/>
                <w:caps w:val="false"/>
                <w:smallCaps w:val="false"/>
                <w:color w:val="000000"/>
                <w:sz w:val="20"/>
              </w:rPr>
              <w:t>Children</w:t>
            </w:r>
            <w:r>
              <w:rPr>
                <w:rFonts w:ascii="Arial" w:hAnsi="Arial"/>
                <w:b w:val="false"/>
                <w:i w:val="false"/>
                <w:caps w:val="false"/>
                <w:smallCaps w:val="false"/>
                <w:color w:val="000000"/>
                <w:sz w:val="20"/>
              </w:rPr>
              <w:t>:    The NIH estimates that RSV results in 75,000 to 125,000 child hospitalizations in the United States. Globally, it is estimated that RSV results in 3.2 million hospital admissions in children younger than five years of age.</w:t>
            </w:r>
          </w:p>
        </w:tc>
      </w:tr>
    </w:tbl>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Current treatment landscape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Treatment for RSV typically focuses on supportive care, which can include nasal suction, fever management, hydration, and oxygen. The FDA approved aerosolized ribavirin in 1986 for the treatment of serious RSV infections in hospitalized children. However, ribavirin, a nucleoside analog, carries several safety concerns, including potential toxicity for exposed persons. Aerosolized ribavirin has not been approved for use in the elderly or immunocompromised populations.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addition, the FDA approved Synagis (palivizumab) in 1998 for the prevention of lower respiratory tract disease caused by RSV in children at high risk of RSV disease. Synagis is administered as an injection every month during RSV season. Synagis has not been approved for treatment of RSV, nor is it indicated for use in populations other than children under 24 months of age.</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21</w:t>
      </w:r>
    </w:p>
    <w:p>
      <w:pPr>
        <w:pStyle w:val="HorizontalLine"/>
        <w:rPr/>
      </w:pPr>
      <w:r>
        <w:rPr/>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Our approach</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are evaluating AT-889, an investigational second-generation nucleoside pyrimidine prodrug, and other compounds. Our development efforts in RSV have focused on two strategies: fusion inhibitors and replication inhibitors (both nucleoside and non-nucleoside). We believe AT-889 or one of our other candidates for RSV has the potential to inhibit both the initiation of viral replication, as well as viral transcription. We plan to develop our selected product candidate in both oral and parenteral dosage formulations.</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Development history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observed the antiviral potency and selectivity of AT-889 against RSV in </w:t>
      </w:r>
      <w:r>
        <w:rPr>
          <w:rFonts w:ascii="Arial" w:hAnsi="Arial"/>
          <w:b w:val="false"/>
          <w:i/>
          <w:caps w:val="false"/>
          <w:smallCaps w:val="false"/>
          <w:sz w:val="20"/>
        </w:rPr>
        <w:t>in vitro</w:t>
      </w:r>
      <w:r>
        <w:rPr>
          <w:rFonts w:ascii="Arial" w:hAnsi="Arial"/>
          <w:b w:val="false"/>
          <w:i w:val="false"/>
          <w:caps w:val="false"/>
          <w:smallCaps w:val="false"/>
          <w:sz w:val="20"/>
        </w:rPr>
        <w:t xml:space="preserve"> cell-based assays. The EC50 to inhibit replication of the RSV (strain A Long) was 0.20 µM for AT-889. The concentration of AT-889 required to exhibit a CC50 of the host cells used in these assays was greater than 50 µM.</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Development strategy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Currently, we are evaluating the antiviral activity of AT-889 and other compounds in </w:t>
      </w:r>
      <w:r>
        <w:rPr>
          <w:rFonts w:ascii="Arial" w:hAnsi="Arial"/>
          <w:b w:val="false"/>
          <w:i/>
          <w:caps w:val="false"/>
          <w:smallCaps w:val="false"/>
          <w:sz w:val="20"/>
        </w:rPr>
        <w:t>in vitro</w:t>
      </w:r>
      <w:r>
        <w:rPr>
          <w:rFonts w:ascii="Arial" w:hAnsi="Arial"/>
          <w:b w:val="false"/>
          <w:i w:val="false"/>
          <w:caps w:val="false"/>
          <w:smallCaps w:val="false"/>
          <w:sz w:val="20"/>
        </w:rPr>
        <w:t xml:space="preserve"> studies to inform our selection of a lead candidate. Once chosen, we will assess the </w:t>
      </w:r>
      <w:r>
        <w:rPr>
          <w:rFonts w:ascii="Arial" w:hAnsi="Arial"/>
          <w:b w:val="false"/>
          <w:i/>
          <w:caps w:val="false"/>
          <w:smallCaps w:val="false"/>
          <w:sz w:val="20"/>
        </w:rPr>
        <w:t>in vivo</w:t>
      </w:r>
      <w:r>
        <w:rPr>
          <w:rFonts w:ascii="Arial" w:hAnsi="Arial"/>
          <w:b w:val="false"/>
          <w:i w:val="false"/>
          <w:caps w:val="false"/>
          <w:smallCaps w:val="false"/>
          <w:sz w:val="20"/>
        </w:rPr>
        <w:t xml:space="preserve"> antiviral activity of such lead candidate in a small animal model, and conduct IND-enabling toxicology studies. Thereafter we intend to nominate a product candidate for clinical development. We anticipate nominating our product candidate and initiating the IND-enabling studies in the second half of 2021.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Roche License Agreement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October 2020, we entered into the Roche License Agreement, with F. Hoffmann-La Roche Ltd and Genentech, Inc. in connection with AT-511, AT-527, their backup compounds (including AT-752) (the “Compounds”), products containing any Compound (the “Products”), and related companion diagnostics (the “Companion Diagnostics”).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Subject to the terms and conditions of the Roche License Agreement, we granted Roche (i) an exclusive, sublicensable, worldwide (excluding the United States) license to make, sell, import and export the Compounds, the Products and the Companion Diagnostics in all fields of use, except for certain hepatitis C virus use (the “Field”), (ii) a non-exclusive, sublicensable license to make, import and export the Compounds, the Products and the Companion Diagnostics in the Field in the United States and (iii) a non-exclusive, sublicensable license to research and develop the Compounds, the Products and the Companion Diagnostics in the United States. We also agreed that Roche would manufacture the commercial supply of AT-527. On February 22, 2021, we announced that Chugai Pharmaceutical Co., Ltd. in-licensed from Roche the exclusive right to develop and market AT-527 for the treatment of COVID-19 in Japan.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Subject to the terms and conditions of the Roche License Agreement, Roche granted us (i) an exclusive, sublicensable license to distribute, register and sell the Compounds and the Products in the United States, (ii) a non-exclusive, sublicensable license to research, develop, use, import, export and market the Compounds and the Products in the United States and (iii) a non-exclusive, sublicensable, worldwide (excluding the United States) license to research and develop the Compounds and the Products in the Field.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Subject to the terms and conditions of the Roche License Agreement, Roche and we will jointly develop certain Products including AT-527 for COVID-19 on a worldwide-basis and equally share the costs associated with such development activities. Atea remains responsible for, and alone will bear the costs associated with the development of AT-752 for dengue and other Retained Indications, as defined below.</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Subject to the terms of the Roche License Agreement, we retain the sole right at our expense to develop, manufacture and commercialize the Compounds and the Products in the United States, and to develop and manufacture the Compounds and the Products outside of the United States, in each case, for the treatment of Dengue Fever, Japanese Encephalitis, West Nile Virus, Yellow Fever and/or Zika, or the (the “Retained Indications”). The parties will negotiate in good faith an amendment to the Roche License Agreement pursuant to which Roche may commercialize Products indicated for one or more Retained Indications outside of the United States, unless Roche offers such commercialization right to us. Neither Roche nor we may commercialize such Products outside of the United States until the parties agree to an amendment to the Roche License Agreement.</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22</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Subject to the terms of the Roche License Agreement, we also have a one-time option to request that Roche co-promote the Products, other than for the Retained Indications, in the United States on a Product-by-Product basis, such option to be exercised by us prior to the expected regulatory approval of each applicable Product.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partial consideration of the rights we granted to Roche under the Roche License Agreement, Roche paid us an upfront payment of $350 million in November 2020. The Roche License Agreement further provides that Roche is obligated to pay us up to $330 million in the aggregate upon the achievement of certain development or regulatory milestone events; up to $320 million in the aggregate upon the achievement of certain sales-based milestone events; and tiered royalties based on annual net sales of the Products, such royalty percentages ranging between low double-digit and mid-twenties, subject to certain adjustments. Roche’s obligation to pay us royalty payments will continue, on a country-by-country and Product-by-Product basis, until the later of (1) 10 years from the first commercial sale of a Product in a country and (2) expiration of the last to expire patent rights that we own or control containing a composition of matter claim covering such Product in such country.</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Roche License Agreement will remain in effect until the expiration of all payment obligations to us. Roche has the right to terminate the Roche License Agreement for convenience in its entirety or on a Product-by-Product or country-by-country basis, (x) upon three months’ prior written notice if such notice is provided prior to the first commercial sale of the first Product and the parties are not conducting a certain prophylaxis study, in each case, pursuant to the terms of the Roche License Agreement, (y) if such notice is provided while the parties are conducting such prophylaxis study, upon the earlier of six months’ prior written notice or the completion of such prophylaxis study, but in no event earlier than three months’ prior written notice and (z) upon nine months’ prior written notice if such notice is provided on or after the first commercial sale of the first Product pursuant to the terms of the Roche License Agreement. Each party has the right to terminate the Roche License Agreement (i) in its entirety or on a country-by-country basis for the other party’s material breach of the terms of the Roche License Agreement, subject to a ninety-day cure period and (ii) for insolvency-related events involving the other party. Upon termination of the Roche License Agreement by Roche for the Company’s material breach or insolvency, the rights and licenses granted by each party to the other party will terminate. Upon termination of the Roche License Agreement by Roche for convenience or by us for Roche’s material breach, all rights and licenses granted by us to Roche will terminate, however, subject to the terms of the Roche License Agreement, we have the right to continue to develop and commercialize one or more terminated Products.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Roche License Agreement also includes customary provisions regarding, among other things, confidentiality, intellectual property ownership, patent prosecution, enforcement and defense, representations and warranties, indemnification, insurance, and arbitration and dispute resolution.</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Manufacturing</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do not currently own or operate manufacturing facilities for the production of preclinical or clinical product candidates, nor do we have plans to develop or operate our own manufacturing operations in the future. Pursuant to the Roche License Agreement, we will exclusively rely on Roche to manufacture the commercial supply of AT-527 for the treatment of COVID-19, if approved. We currently rely upon third-party contract manufacturing organizations (“CMOs”), to produce our product candidates for both preclinical and clinical use. Although we rely on CMOs, we also have personnel with extensive manufacturing experience that can oversee the relationship with our manufacturing partners. We believe that any materials required for the manufacture of our product candidates could be obtained from more than one source.</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23</w:t>
      </w:r>
    </w:p>
    <w:p>
      <w:pPr>
        <w:pStyle w:val="HorizontalLine"/>
        <w:rPr/>
      </w:pPr>
      <w:r>
        <w:rPr/>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Competition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a clinical-stage biopharmaceutical company, we face competition from a wide array of companies in the pharmaceutical and biotechnology industries. These include both small companies and large companies with much greater financial and technical resources and far longer operating histories than our own. We may also compete with the intellectual property, technology, and product development efforts of academic, governmental, and private research institutions.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key competitive factors affecting the success of any product candidates that we develop, if approved, are likely to be their efficacy, safety, convenience, price, and the availability of reimbursement from government and other third-party payors. Our commercial opportunity for any of our product candidates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and may commercialize products more quickly than we are able to.</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are aware of the following competitors in the areas that we are initially targeting:</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SARS-CoV-2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Many therapies and vaccines are approved, authorized for use or being investigated for the treatment of COVID-19 in the United States, including: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Veklury, remdesivir (Gilead Sciences, Inc.), a RdRp inhibitor is approved by the FDA for the treatment of hospitalized adult and pediatric patients 12 years and older. Additionally, the FDA has granted an emergency use authorization for the treatment of hospitalized pediatric patients under the age of 12 with suspected or confirmed COVID-19.</w:t>
            </w:r>
          </w:p>
        </w:tc>
      </w:tr>
    </w:tbl>
    <w:tbl>
      <w:tblPr>
        <w:tblW w:w="9955" w:type="dxa"/>
        <w:jc w:val="left"/>
        <w:tblInd w:w="0" w:type="dxa"/>
        <w:tblCellMar>
          <w:top w:w="0" w:type="dxa"/>
          <w:left w:w="0" w:type="dxa"/>
          <w:bottom w:w="0" w:type="dxa"/>
          <w:right w:w="0" w:type="dxa"/>
        </w:tblCellMar>
      </w:tblPr>
      <w:tblGrid>
        <w:gridCol w:w="110"/>
        <w:gridCol w:w="98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84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REGN-COV2 (Regeneron Pharmaceuticals, Inc.), an antibody cocktail authorized for emergency use by the FDA.</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LY-CoV555 and LY-CoV016 (Eli Lilly and Company), a neutralizing antibody program for which Eli Lilly received emergency use authorization from the FDA.</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VIR-7831 and VIR 7832 (Vir Biotechnology Inc./GlaxoSmithKline), each an antibody designed for monotherapy currently in clinical development. An application to approve the emergency use of VIR-7831 has been submitted to the FDA.</w:t>
            </w:r>
          </w:p>
        </w:tc>
      </w:tr>
    </w:tbl>
    <w:tbl>
      <w:tblPr>
        <w:tblW w:w="10060" w:type="dxa"/>
        <w:jc w:val="left"/>
        <w:tblInd w:w="0" w:type="dxa"/>
        <w:tblCellMar>
          <w:top w:w="0" w:type="dxa"/>
          <w:left w:w="0" w:type="dxa"/>
          <w:bottom w:w="0" w:type="dxa"/>
          <w:right w:w="0" w:type="dxa"/>
        </w:tblCellMar>
      </w:tblPr>
      <w:tblGrid>
        <w:gridCol w:w="110"/>
        <w:gridCol w:w="99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950"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Molnupiravir (Ridgeback Biotherapeutics LP/Merck &amp; Co., Inc.), a nucleoside analog is in Phase 2/3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Ensovibep (MP04020) and MP0423 (Molecular Partners AG and Novartis AG) each multi targeted direct acting antiviral candidates in clinical development.</w:t>
            </w:r>
          </w:p>
        </w:tc>
      </w:tr>
    </w:tbl>
    <w:tbl>
      <w:tblPr>
        <w:tblW w:w="4315" w:type="dxa"/>
        <w:jc w:val="left"/>
        <w:tblInd w:w="0" w:type="dxa"/>
        <w:tblCellMar>
          <w:top w:w="0" w:type="dxa"/>
          <w:left w:w="0" w:type="dxa"/>
          <w:bottom w:w="0" w:type="dxa"/>
          <w:right w:w="0" w:type="dxa"/>
        </w:tblCellMar>
      </w:tblPr>
      <w:tblGrid>
        <w:gridCol w:w="110"/>
        <w:gridCol w:w="42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20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PF-00835321, (Pfizer Inc.), a protease inhibitor. </w:t>
            </w:r>
          </w:p>
        </w:tc>
      </w:tr>
    </w:tbl>
    <w:tbl>
      <w:tblPr>
        <w:tblW w:w="8140" w:type="dxa"/>
        <w:jc w:val="left"/>
        <w:tblInd w:w="0" w:type="dxa"/>
        <w:tblCellMar>
          <w:top w:w="0" w:type="dxa"/>
          <w:left w:w="0" w:type="dxa"/>
          <w:bottom w:w="0" w:type="dxa"/>
          <w:right w:w="0" w:type="dxa"/>
        </w:tblCellMar>
      </w:tblPr>
      <w:tblGrid>
        <w:gridCol w:w="110"/>
        <w:gridCol w:w="803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030"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CPI-006 (Corvus Pharmaceuticals), an immunomodulatory antibody in clinical development.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Moderna Inc., Pfizer-BioNtech and Johnson &amp; Johnson have each received emergency use authorization from the FDA and certain other health authorities for COVID 19 vaccines.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Additional companies working on investigational vaccines or treatments include Novavax, Inc., Inovio Pharmaceuticals, Inc., Biogen Inc., CanSino Biologics Inc., AbbVie Inc., Sanofi, AstraZeneca, Merck &amp; Co., Inc., Aligos Therapeutics, Inc., Ennanta Pharmaceuticals, Inc., Arbutus Biopharma Corporation and Translate Bio Inc.</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24</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potential treatments and vaccines for COVID-19 continues to evolve. The list above addresses the products or product candidates approved or authorized for emergency use in the United States as of the date of this Annual Report on Form 10-K that we believe could be the most competitive with AT-527, but is not a comprehensive list of every treatment or vaccine that is in development for COVID-19.</w:t>
      </w:r>
    </w:p>
    <w:p>
      <w:pPr>
        <w:pStyle w:val="TextBody"/>
        <w:spacing w:before="120" w:after="0"/>
        <w:rPr>
          <w:rFonts w:ascii="Arial" w:hAnsi="Arial"/>
          <w:b/>
          <w:i/>
          <w:caps w:val="false"/>
          <w:smallCaps w:val="false"/>
          <w:sz w:val="20"/>
        </w:rPr>
      </w:pPr>
      <w:r>
        <w:rPr>
          <w:rFonts w:ascii="Arial" w:hAnsi="Arial"/>
          <w:b/>
          <w:i/>
          <w:caps w:val="false"/>
          <w:smallCaps w:val="false"/>
          <w:sz w:val="20"/>
        </w:rPr>
        <w:t>Dengue Virus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At this time, there are no FDA- or EMA-approved treatments for dengue, and we are not aware of any potential therapeutics in development for treatment of dengue. Dengvaxia, marketed by Sanofi, was approved in 2019 by the FDA for prevention of dengue in individuals ages nine to 16 with a laboratory-confirmed previous dengue infection and living in endemic areas. Takeda is also advancing TAK-003, which is in Phase 3 development, as a vaccine for dengue.</w:t>
      </w:r>
    </w:p>
    <w:p>
      <w:pPr>
        <w:pStyle w:val="TextBody"/>
        <w:spacing w:before="120" w:after="0"/>
        <w:rPr>
          <w:rFonts w:ascii="Arial" w:hAnsi="Arial"/>
          <w:b/>
          <w:i/>
          <w:caps w:val="false"/>
          <w:smallCaps w:val="false"/>
          <w:sz w:val="20"/>
        </w:rPr>
      </w:pPr>
      <w:r>
        <w:rPr>
          <w:rFonts w:ascii="Arial" w:hAnsi="Arial"/>
          <w:b/>
          <w:i/>
          <w:caps w:val="false"/>
          <w:smallCaps w:val="false"/>
          <w:sz w:val="20"/>
        </w:rPr>
        <w:t>HCV</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FDA-approved treatments for patients with chronic HCV include Epclusa marketed by Gilead Sciences, Inc. and Mavyret, marketed by AbbVie Inc. We are also aware of an investigational agent for HCV, currently in Phase 2 testing, being developed by Cocrystal Pharma Inc.</w:t>
      </w:r>
    </w:p>
    <w:p>
      <w:pPr>
        <w:pStyle w:val="TextBody"/>
        <w:spacing w:before="120" w:after="0"/>
        <w:rPr>
          <w:rFonts w:ascii="Arial" w:hAnsi="Arial"/>
          <w:b/>
          <w:i/>
          <w:caps w:val="false"/>
          <w:smallCaps w:val="false"/>
          <w:sz w:val="20"/>
        </w:rPr>
      </w:pPr>
      <w:r>
        <w:rPr>
          <w:rFonts w:ascii="Arial" w:hAnsi="Arial"/>
          <w:b/>
          <w:i/>
          <w:caps w:val="false"/>
          <w:smallCaps w:val="false"/>
          <w:sz w:val="20"/>
        </w:rPr>
        <w:t>RSV</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Supportive care is the most common course of care for RSV and includes oxygen, fluid management, bronchodilators, and corticosteroids. Ribavirin, approved in 1986, is used to treat severe cases of RSV infection, but carries significant side effects and risks associated with its use, especially in infants. Synagis (palivizumab), marketed by Swedish Orphan Biovitrum AB in the United States and AstraZeneca plc outside of the United States, is an FDA-approved, seasonal monoclonal antibody injection given monthly to help protect high-risk infants from severe RSV. Synagis is not approved as a treatment for RSV.</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At this time, we are aware of investigational agents for the treatment of RSV being developed by Janssen Pharmaceuticals, Inc., Enanta Pharmaceuticals Inc., ReViral Ltd, and Ark Biosciences Inc.</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Commercialization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Given the stage of development of our lead asset, we have not yet invested in a commercial infrastructure or distribution capabilities. We believe that the commercialization of AT-527 in the United States could be achieved by a small Atea team across sales, marketing, reimbursement and other commercial activities. While we currently plan to establish our own commercial organization in the United States and potentially in other selected markets, we continue to consider and evaluate in each market the potential advantages and enhancements of our commercial capabilities that may be realized as a result of a collaboration between us and a pharmaceutical or other company, as we have recently done through the Roche License Agreement. In connection with AT-527 for the treatment of COVID-19, we have a one-time option to request Roche co-promote AT-527 in the United States.</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Intellectual Property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Our commercial success depends in part on our ability to obtain and maintain proprietary protection for our nucleotide therapeutic products for viral diseases, including our purine nucleotide compounds for SARS-CoV-2, dengue fever and HCV. We seek to protect our proprietary compounds and methods of treatment for viral diseases using our nucleotide compounds, alone and in combination with other therapeutic agents, in addition to dosage forms, dosing regimens and formulations for their administration. We also seek protection on the manufacturing process for the production of our nucleotide compounds. Our success also depends on our ability to operate without infringing, misappropriating or otherwise violating on the proprietary rights of others and to prevent others from infringing, misappropriating or otherwise violating our proprietary rights.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25</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Our policy is to seek to protect our proprietary position by filing U.S. and foreign patent applications covering our proprietary technologies, inventions, and improvements that are important to the development and implementation of our business. In addition, we currently plan to seek patent term adjustments, restorations, and/or patent term extensions where applicable in the United States, Europe and other jurisdictions. We also rely on trade secrets, know-how, continuing technological innovation and potential in-licensing opportunities to develop and maintain our proprietary position. Additionally, we expect to benefit, where appropriate, from statutory frameworks in the United States, Europe and other countries that provide a period of regulatory data exclusivity to compensate for the time required for regulatory approval of our drug products.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of December 31, 2020, we are the sole owner of nine patent families covering our product candidates and proprietary nucleotide compounds, which include composition of matter, pharmaceutical compositions, methods of use, and processes of manufacture as described in more detail below. Our owned patent estate as of  December 31, 2020, on a worldwide basis, includes 132 granted or pending patent applications with ten issued U.S. patents, four allowed U.S. non-provisional application, five pending U.S. non-provisional applications, 14 pending U.S. provisional applications, one pending international patent applications filed under the Patent Cooperation Treaty (“PCT”), and 98 pending or granted patent applications that have entered the national phase of prosecution in countries outside the United States.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exclusivity terms of our patents depend upon the laws of the countries in which they are obtained. In the countries in which we currently file, the patent term is 20 years from the earliest date of filing of a non-provisional patent application. The term of a U.S. patent may be extended to compensate for the time required to obtain regulatory approval to sell a drug (a patent term extension) or by delays encountered during patent prosecution that are caused by the U.S. Patent and Trademark Office (referred to as patent term adjustment). For example, the Drug Price Competition and Patent Term Restoration Act of 1984, referred to as the Hatch-Waxman Act, permits a patent term extension for FDA-approved new chemical entity drugs of up to five years beyond the expiration of the patent. The length of the patent term extension is related to the length of time the drug is under regulatory review and diligence during the review process. Patent term extensions in the United States cannot extend the term of a patent beyond a total of 14 years from the date of product approval, only one patent covering an approved drug or its method of use may be extended, and only those claims covering the approved drug, a method for using it, or a method for manufacturing it may be extended. A similar kind of patent extension, referred to as a Supplementary Protection Certificate, is available in Europe. Legal frameworks are also available in certain other jurisdictions to extend the term of a patent. We currently intend to seek patent term extensions on any of our issued patents in any jurisdiction where we have a qualifying patent and the extension is available; however, there is no guarantee that the applicable regulatory authorities, including the FDA in the United States, will agree with our assessment of whether such extensions should be granted, and even if granted, the length of such extensions. Further, even if our patent is extended, the patent, including the extended portion of the patent, may be held invalid or unenforceable by a court of final jurisdiction in the United States or a foreign country.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Current issued patents and patent applications covering the composition of matter for our present clinical candidates AT-511, AT-527, AT-281 (the free base of AT-752), and AT-752 will expire on dates ranging from 2036 to 2038, if the applications are issued and held valid by a court of final jurisdiction if challenged. Current patent applications covering the use of AT-511 and AT-527 for the treatment of SARS-CoV-2 will expire on dates ranging from 2037 to 2041, if the applications (including non-provisional applications filed on the basis of provisional applications) are issued and held valid by a court of final jurisdiction if challenged. Current issued patents and patent applications covering the use of AT-511 and AT-527 for the treatment of HCV will expire on dates ranging from 2036 to 2039, if the applications are issued and held valid by a court of final jurisdiction if challenged. Current patent applications covering the use of AT-281 and AT-752 for the treatment of dengue fever will expire on a date in 2037, if the applications are issued and held valid by a court of final jurisdiction if challenged.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Current patent applications covering the composition of matter for our present HCV combination drug clinical candidate AT-787 will expire on a date in 2039, if the applications are issued and held valid by a court of final jurisdiction if challenged. Current patent applications covering the use of AT-787 for the treatment of HCV will expire on dates ranging from 2036 to 2039, if the applications are issued and held valid by a court of final jurisdiction if challenged.</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26</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However, any of our patents, including patents that we may rely on to protect our market for approved products, may be held invalid or unenforceable by a court of final jurisdiction. Alternatively, we may decide that it is in our interest to settle a litigation in a manner that affects the term or enforceability of our patent. Changes in either the patent laws or in interpretations of patent laws in the United States and other jurisdictions may diminish our ability to protect our inventions and enforce our intellectual property rights. Accordingly, we cannot predict the breadth or enforceability of claims that have been or may be granted on our patents or on third-party patents. The pharmaceutical and biotechnology industries are characterized by extensive litigation regarding patents and other intellectual property rights. Our ability to obtain and maintain our proprietary position for our nucleotide compounds and the use of these compounds will depend on our success in enforcing patent claims that have been granted or may grant. We do not know whether any of the pending patent applications that we have filed or may file or license from third parties will result in the issuance of any additional patents. The issued patents that we own or may receive in the future may be challenged, invalidated, or circumvented, and the rights granted under any issued patents may not provide us with sufficient protection or competitive advantages against competitors with similar technology. Furthermore, our competitors may be able to independently develop and commercialize drugs with similar mechanisms of action and/or duplicate our methods of treatments or strategies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 For more information regarding risks relating to intellectual property, see Part I, Item 1A. “Risk Factors—Risks Related to Intellectual Property.”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Our patent families, as of December 31, 2020, are further described below.</w:t>
      </w:r>
    </w:p>
    <w:p>
      <w:pPr>
        <w:pStyle w:val="TextBody"/>
        <w:spacing w:before="120" w:after="0"/>
        <w:rPr>
          <w:rFonts w:ascii="Arial" w:hAnsi="Arial"/>
          <w:b/>
          <w:i/>
          <w:caps w:val="false"/>
          <w:smallCaps w:val="false"/>
          <w:sz w:val="20"/>
        </w:rPr>
      </w:pPr>
      <w:r>
        <w:rPr>
          <w:rFonts w:ascii="Arial" w:hAnsi="Arial"/>
          <w:b/>
          <w:i/>
          <w:caps w:val="false"/>
          <w:smallCaps w:val="false"/>
          <w:sz w:val="20"/>
        </w:rPr>
        <w:t>AT-511 and AT-527</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own a first patent family that describes AT-511 or a pharmaceutically acceptable salt thereof (for example, AT-527), pharmaceutical compositions of AT-511 or the pharmaceutical salts thereof, and methods to treat HCV using AT-511 or a salt thereof. This family consists of eight issued U.S. patents (U.S. Pat. Nos. 9,828,410; 10,000,523; 10,005,811; 10,239,911; 10,815,266; 10,870,672; 10,870,673; 10,875,885; ) and one pending U.S. application covering AT-511 or a pharmaceutically acceptable salt thereof and its pharmaceutical compositions. This patent family is now also in the national stage of prosecution in the African Regional Intellectual Property Organization (“ARIPO”), Australia, Brazil, Canada, China, Colombia, the Eurasian Patent Office (“EAPO”), Egypt, the European Patent Office (“EPO”), Georgia, Hong Kong, Indonesia, Israel, India, Japan, Korea, Mexico, Macao, Malaysia, Nigeria, New Zealand, the Philippines, Russia, Saudi Arabia, Singapore, Thailand, Vietnam, Ukraine, South Africa, and the United Arab Emirates. The expected year of expiration for this patent family, where issued, valid and enforceable, is 2036, without regard to any extensions, adjustments, or restorations of term that may be available under national law.</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also own a second patent family that specifically covers AT-527, pharmaceutical compositions, and methods to treat HCV using AT-527. This family includes issued U.S. patent (U.S. Pat. No. 10,519,186), two allowed applications (US 2020-0087339 and US 2020-0331954), and one pending U.S. application covering AT-527, pharmaceutical compositions, and methods to treat HCV using AT-527. This family is currently in the national phase of prosecution in Argentina, ARIPO, Australia, Brazil, Canada, China, Colombia, the EAPO, the EPO, Georgia, Hong Kong, Indonesia, Israel, India, Japan, Korea, Mexico, Malaysia, Nigeria, New Zealand, the Philippines, Russia, Singapore, Taiwan, Thailand, Vietnam, Ukraine, Uzbekistan, and South Africa. The expected year of expiration for this patent family, if issued, valid and enforceable, is 2038, without regard to any extensions, adjustments, or restorations of term that may be available under U.S. or other national laws.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own a third patent family that discloses methods for the treatment of SARS-CoV-2 using AT-511 or AT-527. This family includes seven provisional U.S. applications. The expected year of expiration for patents issued from non-provisional patent applications filed on the basis of these provisional patent applications, if valid and enforceable, is 2041, without regard to any extensions, adjustments, or restorations of term that may be available under U.S. or other national laws. We also filed a U.S. normal application with the U.S. PTO under its COVID-19 Prioritized Examination Pilot Program to advance out of turn patent applications covering methods to treat COVID-19 that are currently under review by the FDA. This patent granted as U.S. Patent No. 10,874,687 on December 29, 2020. A continuation application claiming priority to the ‘687 patent is pending. The expected year of expiration for patents issued from non-provisional patent applications filed on the basis of U.S. Patent No. 10,874,687, if valid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27</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and enforceable, is 2040, without regard to any extensions, adjustments, or restorations of term that may be available under U.S. or other national laws.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own a fourth patent family that discloses the use of AT-511 or a pharmaceutically acceptable salt thereof for the treatment or prevention of a positive-stranded RNA virus infection, including a </w:t>
      </w:r>
      <w:r>
        <w:rPr>
          <w:rFonts w:ascii="Arial" w:hAnsi="Arial"/>
          <w:b w:val="false"/>
          <w:i/>
          <w:caps w:val="false"/>
          <w:smallCaps w:val="false"/>
          <w:sz w:val="20"/>
        </w:rPr>
        <w:t>Coronaviridae</w:t>
      </w:r>
      <w:r>
        <w:rPr>
          <w:rFonts w:ascii="Arial" w:hAnsi="Arial"/>
          <w:b w:val="false"/>
          <w:i w:val="false"/>
          <w:caps w:val="false"/>
          <w:smallCaps w:val="false"/>
          <w:sz w:val="20"/>
        </w:rPr>
        <w:t xml:space="preserve"> viral infection. This family consists of two allowed applications (US 2019-0201433 and US 2020-0222442) and is currently in the national phase of prosecution in Australia, Brazil, Canada, China, the EAPO, the EPO, Hong Kong, Indonesia, Japan, Korea, Malaysia, Nigeria, Russia, Singapore, Thailand, Vietnam, and South Africa. The expected year of expiration for this patent family, if issued, valid and enforceable, is 2037, without regard to any extensions, adjustments, or restorations of term that may be available under U.S. or other national laws.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own a fifth patent family that discloses the use of AT-511 and AT-527 for the treatment of HCV in patients with cirrhosis of the liver. This family includes one pending U.S. application. This family is currently in the national phase of prosecution in China, the EPO, Japan, Korea, Russia, and Taiwan. The expected year of expiration for this patent family, if issued, valid and enforceable, is 2039, without regard to any extensions, adjustments, or restorations of term that may be available under U.S. or other national laws.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own a sixth patent family that describes methods to treat SARS-CoV-2 virus. This family consists of one U.S. application. The expected year of expiration for patents issued from non-provisional patent applications filed on the basis of this patent application, if valid and enforceable, is 2041, without regard to adjustments of term that may be available under U.S. or other national laws. We also own a seventh patent family that discloses methods for manufacturing AT-511 and AT-527. This family consists of two provisional U.S. applications. The expected year of expiration for patents issued from non-provisional patent applications filed on the basis of these provisional patent applications, if valid and enforceable, is 2041, without regard to adjustments of term that may be available under U.S. or other national laws.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also own an eighth patent family that discloses new commercial scale processes for the manufacture of AT-511 and AT-527. This family consists of four U.S. provisional applications. The expected year of expiration for patents issuing from these non-provisional patent applications, if valid and enforceable, is 2041, without regard to any adjustments of term that may be available under U.S. or other national law.</w:t>
      </w:r>
    </w:p>
    <w:p>
      <w:pPr>
        <w:pStyle w:val="TextBody"/>
        <w:spacing w:before="0" w:after="0"/>
        <w:rPr/>
      </w:pPr>
      <w:r>
        <w:rPr/>
        <w:t> </w:t>
      </w:r>
    </w:p>
    <w:p>
      <w:pPr>
        <w:pStyle w:val="TextBody"/>
        <w:spacing w:before="0" w:after="0"/>
        <w:rPr>
          <w:rFonts w:ascii="Arial" w:hAnsi="Arial"/>
          <w:b/>
          <w:i/>
          <w:caps w:val="false"/>
          <w:smallCaps w:val="false"/>
          <w:sz w:val="20"/>
        </w:rPr>
      </w:pPr>
      <w:r>
        <w:rPr>
          <w:rFonts w:ascii="Arial" w:hAnsi="Arial"/>
          <w:b/>
          <w:i/>
          <w:caps w:val="false"/>
          <w:smallCaps w:val="false"/>
          <w:sz w:val="20"/>
        </w:rPr>
        <w:t>AT-787</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own a ninth patent family that discloses the combination of AT-511 or AT-527 and AT-777 (i.e., AT-787) for the treatment of HCV. This family includes one pending U.S. application, one international application filed under the PCT (PCT/US19/64522), one patent application in Taiwan, and one patent application in Argentina. The expected year of expiration for this patent family, if issued, valid and enforceable, is 2039, without regard to any extensions, adjustments, or restorations of term that may be available under U.S. or other national laws.</w:t>
      </w:r>
    </w:p>
    <w:p>
      <w:pPr>
        <w:pStyle w:val="TextBody"/>
        <w:spacing w:before="120" w:after="0"/>
        <w:rPr>
          <w:rFonts w:ascii="Arial" w:hAnsi="Arial"/>
          <w:b/>
          <w:i/>
          <w:caps w:val="false"/>
          <w:smallCaps w:val="false"/>
          <w:sz w:val="20"/>
        </w:rPr>
      </w:pPr>
      <w:r>
        <w:rPr>
          <w:rFonts w:ascii="Arial" w:hAnsi="Arial"/>
          <w:b/>
          <w:i/>
          <w:caps w:val="false"/>
          <w:smallCaps w:val="false"/>
          <w:sz w:val="20"/>
        </w:rPr>
        <w:t>AT-281 and AT-752</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first patent family described above also describes AT-281, a pharmaceutically acceptable salt thereof (for example, AT-752) and pharmaceutical compositions of AT-281 or a pharmaceutical salt thereof and their use to treat HCV infection.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second patent family described above also describes AT-752 and pharmaceutical compositions of AT-752. One of these pending U.S. application in this patent family covers AT-752 and pharmaceutical compositions of AT-752.</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fourth patent family described above also includes a disclosure of the use of AT-281 or a pharmaceutically acceptable salt thereof for the treatment or prevention of an RNA viral infection, including dengue fever, yellow fever, and Zika virus in addition to the treatment and prevention of a </w:t>
      </w:r>
      <w:r>
        <w:rPr>
          <w:rFonts w:ascii="Arial" w:hAnsi="Arial"/>
          <w:b w:val="false"/>
          <w:i/>
          <w:caps w:val="false"/>
          <w:smallCaps w:val="false"/>
          <w:sz w:val="20"/>
        </w:rPr>
        <w:t>Coronaviridae</w:t>
      </w:r>
      <w:r>
        <w:rPr>
          <w:rFonts w:ascii="Arial" w:hAnsi="Arial"/>
          <w:b w:val="false"/>
          <w:i w:val="false"/>
          <w:caps w:val="false"/>
          <w:smallCaps w:val="false"/>
          <w:sz w:val="20"/>
        </w:rPr>
        <w:t xml:space="preserve"> viral infection. Therefore, we have three patent families that describe AT-281 or AT-752 and methods of treatment for viral infections using AT-281 or AT-752.</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Government Regulation and Product Approval</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28</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marketing and export and import of products such as those we are developing. A new drug must be approved by the FDA through the new drug application (“NDA”), process before it may be legally marketed in the United States.</w:t>
      </w:r>
    </w:p>
    <w:p>
      <w:pPr>
        <w:pStyle w:val="TextBody"/>
        <w:spacing w:before="120" w:after="0"/>
        <w:rPr>
          <w:rFonts w:ascii="Arial" w:hAnsi="Arial"/>
          <w:b/>
          <w:i/>
          <w:caps w:val="false"/>
          <w:smallCaps w:val="false"/>
          <w:sz w:val="20"/>
        </w:rPr>
      </w:pPr>
      <w:r>
        <w:rPr>
          <w:rFonts w:ascii="Arial" w:hAnsi="Arial"/>
          <w:b/>
          <w:i/>
          <w:caps w:val="false"/>
          <w:smallCaps w:val="false"/>
          <w:sz w:val="20"/>
        </w:rPr>
        <w:t>U.S. Drug Development Process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the United States, the FDA regulates drugs under the FDCA and its implementing regulations. The process of obtaining regulatory approvals and the subsequent compliance with appropriate federal, state, local and foreign statutes and regulations require the expenditure of substantial time and financial resources.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process required by the FDA before a drug may be marketed in the United States generally involves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completion of preclinical laboratory tests, animal studies and formulation studies in accordance with FDA’s good laboratory practice requirements and other applicable regulations;</w:t>
            </w:r>
          </w:p>
        </w:tc>
      </w:tr>
    </w:tbl>
    <w:tbl>
      <w:tblPr>
        <w:tblW w:w="9085" w:type="dxa"/>
        <w:jc w:val="left"/>
        <w:tblInd w:w="0" w:type="dxa"/>
        <w:tblCellMar>
          <w:top w:w="0" w:type="dxa"/>
          <w:left w:w="0" w:type="dxa"/>
          <w:bottom w:w="0" w:type="dxa"/>
          <w:right w:w="0" w:type="dxa"/>
        </w:tblCellMar>
      </w:tblPr>
      <w:tblGrid>
        <w:gridCol w:w="110"/>
        <w:gridCol w:w="89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97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submission to the FDA of an IND, which must become effective before human clinical trials may begin;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approval by an independent institutional review board (“IRB”), or ethics committee at each clinical site before each trial may be initiated;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performance of adequate and well-controlled human clinical trials in accordance with good clinical practice requirements (“GCPs”) to establish the safety and efficacy of the proposed drug for its intended use;</w:t>
            </w:r>
          </w:p>
        </w:tc>
      </w:tr>
    </w:tbl>
    <w:tbl>
      <w:tblPr>
        <w:tblW w:w="6190" w:type="dxa"/>
        <w:jc w:val="left"/>
        <w:tblInd w:w="0" w:type="dxa"/>
        <w:tblCellMar>
          <w:top w:w="0" w:type="dxa"/>
          <w:left w:w="0" w:type="dxa"/>
          <w:bottom w:w="0" w:type="dxa"/>
          <w:right w:w="0" w:type="dxa"/>
        </w:tblCellMar>
      </w:tblPr>
      <w:tblGrid>
        <w:gridCol w:w="110"/>
        <w:gridCol w:w="60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080"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submission to the FDA of an NDA after completion of all pivotal trials;</w:t>
            </w:r>
          </w:p>
        </w:tc>
      </w:tr>
    </w:tbl>
    <w:tbl>
      <w:tblPr>
        <w:tblW w:w="6700" w:type="dxa"/>
        <w:jc w:val="left"/>
        <w:tblInd w:w="0" w:type="dxa"/>
        <w:tblCellMar>
          <w:top w:w="0" w:type="dxa"/>
          <w:left w:w="0" w:type="dxa"/>
          <w:bottom w:w="0" w:type="dxa"/>
          <w:right w:w="0" w:type="dxa"/>
        </w:tblCellMar>
      </w:tblPr>
      <w:tblGrid>
        <w:gridCol w:w="110"/>
        <w:gridCol w:w="65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590"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satisfactory completion of an FDA advisory committee review, if applicable;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of selected clinical investigation sites to assess compliance with GCPs;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FDA review and approval of the NDA to permit commercial marketing of the product for particular indications for use in the United States.</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Prior to beginning the first clinical trial with a product candidate in the United States, a sponsor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Arial" w:hAnsi="Arial"/>
          <w:b w:val="false"/>
          <w:i/>
          <w:caps w:val="false"/>
          <w:smallCaps w:val="false"/>
          <w:sz w:val="20"/>
        </w:rPr>
        <w:t>in vitro</w:t>
      </w:r>
      <w:r>
        <w:rPr>
          <w:rFonts w:ascii="Arial" w:hAnsi="Arial"/>
          <w:b w:val="false"/>
          <w:i w:val="false"/>
          <w:caps w:val="false"/>
          <w:smallCaps w:val="false"/>
          <w:sz w:val="20"/>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Once submitted, the IND automatically becomes effective 30 days after receipt by the FDA, unless the FDA, within the 30- 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29</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Human clinical trials are typically conducted in three sequential phases that may overlap or be combined:</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Phase 1:    The product candidate is initially introduced into healthy human subjects, in some cases,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30</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humans exposed to the same or similar drugs, findings from animal or </w:t>
      </w:r>
      <w:r>
        <w:rPr>
          <w:rFonts w:ascii="Arial" w:hAnsi="Arial"/>
          <w:b w:val="false"/>
          <w:i/>
          <w:caps w:val="false"/>
          <w:smallCaps w:val="false"/>
          <w:sz w:val="20"/>
        </w:rPr>
        <w:t>in vitro</w:t>
      </w:r>
      <w:r>
        <w:rPr>
          <w:rFonts w:ascii="Arial" w:hAnsi="Arial"/>
          <w:b w:val="false"/>
          <w:i w:val="false"/>
          <w:caps w:val="false"/>
          <w:smallCaps w:val="false"/>
          <w:sz w:val="20"/>
        </w:rPr>
        <w:t xml:space="preserve"> testing suggesting a significant risk to humans, and any clinically important increased incidence of a serious suspected adverse reaction compared to that listed in the protocol or investigator brochure.</w:t>
      </w:r>
    </w:p>
    <w:p>
      <w:pPr>
        <w:pStyle w:val="TextBody"/>
        <w:spacing w:before="120" w:after="0"/>
        <w:rPr>
          <w:rFonts w:ascii="Arial" w:hAnsi="Arial"/>
          <w:b/>
          <w:i/>
          <w:caps w:val="false"/>
          <w:smallCaps w:val="false"/>
          <w:sz w:val="20"/>
        </w:rPr>
      </w:pPr>
      <w:r>
        <w:rPr>
          <w:rFonts w:ascii="Arial" w:hAnsi="Arial"/>
          <w:b/>
          <w:i/>
          <w:caps w:val="false"/>
          <w:smallCaps w:val="false"/>
          <w:sz w:val="20"/>
        </w:rPr>
        <w:t>U.S. Review and Approval Process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clinical trials or other significant and time-consuming requirements related to clinical trials, nonclinical studies or manufacturing. If a Complete Response Letter is issued, the sponsor must resubmit the NDA or, addressing all of the deficiencies identified in the letter, or withdraw the application. Even if such data and information are submitted, the FDA may decide that the NDA does not satisfy the criteria for approval.</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regulatory approval of a product is granted, such approval will be granted for particular indications and may entail limitations or restrictions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31</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w:t>
      </w:r>
    </w:p>
    <w:p>
      <w:pPr>
        <w:pStyle w:val="TextBody"/>
        <w:spacing w:before="120" w:after="0"/>
        <w:rPr>
          <w:rFonts w:ascii="Arial" w:hAnsi="Arial"/>
          <w:b/>
          <w:i/>
          <w:caps w:val="false"/>
          <w:smallCaps w:val="false"/>
          <w:sz w:val="20"/>
        </w:rPr>
      </w:pPr>
      <w:r>
        <w:rPr>
          <w:rFonts w:ascii="Arial" w:hAnsi="Arial"/>
          <w:b/>
          <w:i/>
          <w:caps w:val="false"/>
          <w:smallCaps w:val="false"/>
          <w:sz w:val="20"/>
        </w:rPr>
        <w:t>Emergency Use Authorization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An Emergency Use Authorization (“EUA”), is a mechanism to facilitate the availability and use of medical countermeasures, during public health emergencies, such as the current COVID-19 pandemic. Under an EUA, FDA may allow the use of unapproved medical products, or unapproved uses of approved medical products in an emergency to diagnose, treat, or prevent serious or life-threatening diseases or conditions when certain statutory criteria have been met, including that there are no adequate, approved, and available alternatives. Once submitted, FDA will evaluate an EUA request and determine whether the relevant statutory criteria are met, taking into account the totality of the scientific evidence about the drug that is available to FDA. EUAs can be terminated, revoked or reissued, depending on the state of the public health emergency and new data about the drug.</w:t>
      </w:r>
    </w:p>
    <w:p>
      <w:pPr>
        <w:pStyle w:val="TextBody"/>
        <w:spacing w:before="120" w:after="0"/>
        <w:rPr>
          <w:rFonts w:ascii="Arial" w:hAnsi="Arial"/>
          <w:b/>
          <w:i/>
          <w:caps w:val="false"/>
          <w:smallCaps w:val="false"/>
          <w:sz w:val="20"/>
        </w:rPr>
      </w:pPr>
      <w:r>
        <w:rPr>
          <w:rFonts w:ascii="Arial" w:hAnsi="Arial"/>
          <w:b/>
          <w:i/>
          <w:caps w:val="false"/>
          <w:smallCaps w:val="false"/>
          <w:sz w:val="20"/>
        </w:rPr>
        <w:t>Expedited Development and Review Programs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FDA offers a number of expedited development and review programs for qualifying product candidates. For example, the FDA Fast Track program is intended to expedite or facilitate the process for reviewing product candidates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Any marketing application for a drug submitted to the FDA for approval, including a product with a Fast Track designation, may also be eligible for other types of FDA programs intended to expedite development and review, such as priority review and accelerated approval. A drug is eligible for priority review if it is designed to treat a serious condition, and if approved, would provide a significant improvement in safety or effectiveness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32</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addition, a product candidate may be eligible for accelerated approval. Product candidates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to verify the predicted clinical benefit. Products receiving accelerated approval may be subject to expedited withdrawal procedures if the sponsor fails to conduct the required clinical trials, or if such trials fail to verify the predicted clinical benefit. In addition, the FDA currently requires pre-approval of promotional materials as a condition for accelerated approval, which could adversely impact the timing of the commercial launch of the product.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pStyle w:val="TextBody"/>
        <w:spacing w:before="120" w:after="0"/>
        <w:rPr>
          <w:rFonts w:ascii="Arial" w:hAnsi="Arial"/>
          <w:b/>
          <w:i/>
          <w:caps w:val="false"/>
          <w:smallCaps w:val="false"/>
          <w:sz w:val="20"/>
        </w:rPr>
      </w:pPr>
      <w:r>
        <w:rPr>
          <w:rFonts w:ascii="Arial" w:hAnsi="Arial"/>
          <w:b/>
          <w:i/>
          <w:caps w:val="false"/>
          <w:smallCaps w:val="false"/>
          <w:sz w:val="20"/>
        </w:rPr>
        <w:t>Tropical Disease Priority Review Voucher Program</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2007, Congress authorized the FDA to award priority review vouchers (“PRVs”), to sponsors of certain tropical disease product applications. The FDA’s Tropical Disease Priority Review Voucher Program is designed to encourage development of new drug and biological products for the prevention and treatment of certain tropical diseases affecting millions of people throughout the world. Under this program, a sponsor who receives an approval for a drug or biologic for the prevention or treatment a tropical disease that meets certain criteria may qualify for a PRV that can be redeemed to receive priority review of a subsequent NDA or Biologics License Application (“BLA”), for a different product. The sponsor of a topical disease drug product receiving a priority review voucher may transfer (including by sale) the voucher to another sponsor of an NDA or BLA. The FDCA does not limit the number of times a priority review voucher may be transferred before the voucher is used.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For a product to qualify for a PRV, (i) the sponsor must request approval of the product for the prevention or treatment of a “tropical disease” listed in Section 524 of the FDCA, (ii) the product must otherwise qualify for priority review, and (iii) the product must contain no active ingredient (including any salt or ester of an active ingredient) that has been approved by the FDA in any other NDA or BLA. The Food and Drug Administration Reauthorization Act of 2017 made further changes to the eligibility criteria for receipt of a tropical disease PRV under this program. Specifically, applications submitted after September 30, 2017 must also contain reports of one or more new clinical investigations (other than bioavailability studies) that were essential to the approval of the application and conducted or sponsored by the sponsor. We are currently developing AT-752 for the treatment of Dengue, which is listed in Section 524 of the FDCA as a disease qualifying for a tropical disease PRV. Accordingly, if AT-752 is approved by the FDA for the prevention or treatment of Dengue, we may receive a tropical disease PRV, provided that AT-752 otherwise meets the statutory criteria for receipt.</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33</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Post-approval Requirements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drug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restrictions on the marketing or manufacturing of the product, complete withdrawal of the product from the market or product recalls;</w:t>
            </w:r>
          </w:p>
        </w:tc>
      </w:tr>
    </w:tbl>
    <w:tbl>
      <w:tblPr>
        <w:tblW w:w="3565" w:type="dxa"/>
        <w:jc w:val="left"/>
        <w:tblInd w:w="0" w:type="dxa"/>
        <w:tblCellMar>
          <w:top w:w="0" w:type="dxa"/>
          <w:left w:w="0" w:type="dxa"/>
          <w:bottom w:w="0" w:type="dxa"/>
          <w:right w:w="0" w:type="dxa"/>
        </w:tblCellMar>
      </w:tblPr>
      <w:tblGrid>
        <w:gridCol w:w="110"/>
        <w:gridCol w:w="34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45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fines, warning letters, or untitled letters;</w:t>
            </w:r>
          </w:p>
        </w:tc>
      </w:tr>
    </w:tbl>
    <w:tbl>
      <w:tblPr>
        <w:tblW w:w="2935" w:type="dxa"/>
        <w:jc w:val="left"/>
        <w:tblInd w:w="0" w:type="dxa"/>
        <w:tblCellMar>
          <w:top w:w="0" w:type="dxa"/>
          <w:left w:w="0" w:type="dxa"/>
          <w:bottom w:w="0" w:type="dxa"/>
          <w:right w:w="0" w:type="dxa"/>
        </w:tblCellMar>
      </w:tblPr>
      <w:tblGrid>
        <w:gridCol w:w="110"/>
        <w:gridCol w:w="282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82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clinical holds on clinical studies;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refusal of the FDA to approve pending applications or supplements to approved applications, or suspension or revocation of product approvals;</w:t>
            </w:r>
          </w:p>
        </w:tc>
      </w:tr>
    </w:tbl>
    <w:tbl>
      <w:tblPr>
        <w:tblW w:w="7150" w:type="dxa"/>
        <w:jc w:val="left"/>
        <w:tblInd w:w="0" w:type="dxa"/>
        <w:tblCellMar>
          <w:top w:w="0" w:type="dxa"/>
          <w:left w:w="0" w:type="dxa"/>
          <w:bottom w:w="0" w:type="dxa"/>
          <w:right w:w="0" w:type="dxa"/>
        </w:tblCellMar>
      </w:tblPr>
      <w:tblGrid>
        <w:gridCol w:w="110"/>
        <w:gridCol w:w="70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40"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seizure or detention, or refusal to permit the import or export of products;</w:t>
            </w:r>
          </w:p>
        </w:tc>
      </w:tr>
    </w:tbl>
    <w:tbl>
      <w:tblPr>
        <w:tblW w:w="9460" w:type="dxa"/>
        <w:jc w:val="left"/>
        <w:tblInd w:w="0" w:type="dxa"/>
        <w:tblCellMar>
          <w:top w:w="0" w:type="dxa"/>
          <w:left w:w="0" w:type="dxa"/>
          <w:bottom w:w="0" w:type="dxa"/>
          <w:right w:w="0" w:type="dxa"/>
        </w:tblCellMar>
      </w:tblPr>
      <w:tblGrid>
        <w:gridCol w:w="110"/>
        <w:gridCol w:w="93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350"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consent decrees, corporate integrity agreements, debarment or exclusion from federal healthcare programs;</w:t>
            </w:r>
          </w:p>
        </w:tc>
      </w:tr>
    </w:tbl>
    <w:tbl>
      <w:tblPr>
        <w:tblW w:w="9100" w:type="dxa"/>
        <w:jc w:val="left"/>
        <w:tblInd w:w="0" w:type="dxa"/>
        <w:tblCellMar>
          <w:top w:w="0" w:type="dxa"/>
          <w:left w:w="0" w:type="dxa"/>
          <w:bottom w:w="0" w:type="dxa"/>
          <w:right w:w="0" w:type="dxa"/>
        </w:tblCellMar>
      </w:tblPr>
      <w:tblGrid>
        <w:gridCol w:w="110"/>
        <w:gridCol w:w="89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990"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mandated modification of promotional materials and labeling and the issuance of corrective information;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issuance of safety alerts, Dear Healthcare Provider letters, press releases and other communications containing warnings or other safety information about the product; or</w:t>
            </w:r>
          </w:p>
        </w:tc>
      </w:tr>
    </w:tbl>
    <w:tbl>
      <w:tblPr>
        <w:tblW w:w="5050" w:type="dxa"/>
        <w:jc w:val="left"/>
        <w:tblInd w:w="0" w:type="dxa"/>
        <w:tblCellMar>
          <w:top w:w="0" w:type="dxa"/>
          <w:left w:w="0" w:type="dxa"/>
          <w:bottom w:w="0" w:type="dxa"/>
          <w:right w:w="0" w:type="dxa"/>
        </w:tblCellMar>
      </w:tblPr>
      <w:tblGrid>
        <w:gridCol w:w="110"/>
        <w:gridCol w:w="49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940" w:type="dxa"/>
            <w:tcBorders/>
            <w:shd w:fill="auto" w:val="clear"/>
          </w:tcPr>
          <w:p>
            <w:pPr>
              <w:pStyle w:val="TableContents"/>
              <w:spacing w:before="12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injunctions or the imposition of civil or criminal penalties.</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 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and approved by the FDA. Physicians may believe that such off-label uses are the best treatment for many patients in varied circumstances. The FDA does not regulate the behavior of physicians in their choice of treatments. The FDA does, however, restrict marketers’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34</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pStyle w:val="TextBody"/>
        <w:spacing w:before="120" w:after="0"/>
        <w:rPr>
          <w:rFonts w:ascii="Arial" w:hAnsi="Arial"/>
          <w:b/>
          <w:i/>
          <w:caps w:val="false"/>
          <w:smallCaps w:val="false"/>
          <w:sz w:val="20"/>
        </w:rPr>
      </w:pPr>
      <w:r>
        <w:rPr>
          <w:rFonts w:ascii="Arial" w:hAnsi="Arial"/>
          <w:b/>
          <w:i/>
          <w:caps w:val="false"/>
          <w:smallCaps w:val="false"/>
          <w:sz w:val="20"/>
        </w:rPr>
        <w:t>Marketing exclusivity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Marketing exclusivity provisions authorized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pStyle w:val="TextBody"/>
        <w:spacing w:before="120" w:after="0"/>
        <w:rPr>
          <w:rFonts w:ascii="Arial" w:hAnsi="Arial"/>
          <w:b/>
          <w:i/>
          <w:caps w:val="false"/>
          <w:smallCaps w:val="false"/>
          <w:sz w:val="20"/>
        </w:rPr>
      </w:pPr>
      <w:r>
        <w:rPr>
          <w:rFonts w:ascii="Arial" w:hAnsi="Arial"/>
          <w:b/>
          <w:i/>
          <w:caps w:val="false"/>
          <w:smallCaps w:val="false"/>
          <w:sz w:val="20"/>
        </w:rPr>
        <w:t>Other Healthcare Laws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physician payment transparency laws and regulations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w:t>
      </w:r>
    </w:p>
    <w:p>
      <w:pPr>
        <w:pStyle w:val="TextBody"/>
        <w:spacing w:before="120" w:after="0"/>
        <w:rPr>
          <w:rFonts w:ascii="Arial" w:hAnsi="Arial"/>
          <w:b/>
          <w:i/>
          <w:caps w:val="false"/>
          <w:smallCaps w:val="false"/>
          <w:sz w:val="20"/>
        </w:rPr>
      </w:pPr>
      <w:r>
        <w:rPr>
          <w:rFonts w:ascii="Arial" w:hAnsi="Arial"/>
          <w:b/>
          <w:i/>
          <w:caps w:val="false"/>
          <w:smallCaps w:val="false"/>
          <w:sz w:val="20"/>
        </w:rPr>
        <w:t>Coverage and Reimbursement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35</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regarding 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Third-party payors are increasingly challenging the price and examining the medical necessity and cost-effectiveness of medical products and services, in addition to their safety and efficacy. Adoption of price controls and cost-containment measures, and adoption of more restrictive policies in jurisdictions with existing controls and measures, could further limit sales of any product that receives approval. Third-party payors may not consider our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pStyle w:val="TextBody"/>
        <w:spacing w:before="120" w:after="0"/>
        <w:rPr>
          <w:rFonts w:ascii="Arial" w:hAnsi="Arial"/>
          <w:b/>
          <w:i/>
          <w:caps w:val="false"/>
          <w:smallCaps w:val="false"/>
          <w:sz w:val="20"/>
        </w:rPr>
      </w:pPr>
      <w:r>
        <w:rPr>
          <w:rFonts w:ascii="Arial" w:hAnsi="Arial"/>
          <w:b/>
          <w:i/>
          <w:caps w:val="false"/>
          <w:smallCaps w:val="false"/>
          <w:sz w:val="20"/>
        </w:rPr>
        <w:t>U.S. Healthcare Reform</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the “ACA”) was passed, which substantially changed the way healthcare is financed by both governmental and private insurers, and significantly affected the pharmaceutical industry. The ACA increased the minimum level of Medicaid rebates payable by manufacturers of brand name drugs from 15.1% to 23.1%;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the Centers for Medicare &amp; Medicaid Services (“CMS”) to test innovative payment and service delivery models to lower Medicare and Medicaid spending, potentially including prescription drug spending.</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There remain judicial and political challenges to certain aspects of the ACA. For example, the Tax Cuts and Jobs Act of 2017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(the “Texas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affirmed the District Court’s decision that the individual mandate was unconstitutional but remanded the case back to the District Court to determine whether the remaining provisions of the ACA are invalid as well. On March 2, 2020, the United States Supreme Court granted the petitions for writs of certiorari to review this case, although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36</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it remains unclear how and when the Court will make a decision. In addition, it is unclear how any other efforts to repeal, replace or challenge the ACA will impact the law.</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addition, other legislative changes have been proposed and adopted since the ACA was enacted. These changes included aggregate reductions to Medicare payments to providers of 2% per fiscal year, which went into effect on April 1, 2013 and, due to subsequent legislative amendments to the statute, including the Bipartisan Budget Act of 2018, will remain in effect through 2030, with the exception of a temporary suspension from May 1, 2020 through March 31, 2021,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The likelihood of success of these and other measures initiated by the former Trump administration is uncertain.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pStyle w:val="TextBody"/>
        <w:spacing w:before="120" w:after="0"/>
        <w:rPr>
          <w:rFonts w:ascii="Arial" w:hAnsi="Arial"/>
          <w:b/>
          <w:i/>
          <w:caps w:val="false"/>
          <w:smallCaps w:val="false"/>
          <w:sz w:val="20"/>
        </w:rPr>
      </w:pPr>
      <w:r>
        <w:rPr>
          <w:rFonts w:ascii="Arial" w:hAnsi="Arial"/>
          <w:b/>
          <w:i/>
          <w:caps w:val="false"/>
          <w:smallCaps w:val="false"/>
          <w:sz w:val="20"/>
        </w:rPr>
        <w:t>Government Regulation Outside of the United States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addition to regulations in the United States, we will be subject to a variety of regulations in other jurisdictions governing, among other things, clinical trials of drug products as well as the approval, manufacture and distribution of our product candidates. Whether or not we obtain FDA approval for a product candidate, we must obtain the requisite approvals from regulatory authorities in foreign countries prior to the commencement of clinical trials or marketing of the product in those countries. The requirements and process governing the conduct of clinical studies, approval process,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Human Capital Resources</w:t>
      </w:r>
    </w:p>
    <w:p>
      <w:pPr>
        <w:pStyle w:val="TextBody"/>
        <w:spacing w:before="0" w:after="0"/>
        <w:rPr/>
      </w:pPr>
      <w:r>
        <w:rPr/>
        <w:t> </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As of March 29, 2021, we had 39 full-time employees, including 13 employees with M.D. or Ph.D. degrees. Of these full-time employees, 25 employees are engaged in research and development activities. None of our employees is represented by a labor union or covered by a collective bargaining agreement. We consider our relationship with our employees to be good.</w:t>
      </w:r>
    </w:p>
    <w:p>
      <w:pPr>
        <w:pStyle w:val="TextBody"/>
        <w:spacing w:before="0" w:after="0"/>
        <w:rPr/>
      </w:pPr>
      <w:r>
        <w:rPr/>
        <w:t> </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human capital resource priorities include attracting, recruiting, retaining, incentivizing and integrating our existing and new employees. The principal purpose of our competitive equity and cash compensation and benefits programs is to promote and support these priorities. We consider our human capital resources strategy to be comprehensive and built to foster our core way of working which is grounded on the principles of scientific rigor in a collaborative, entrepreneurial, and results-oriented manner. We plan to continue to evaluate our suite of human capital resources as we grow.</w:t>
      </w:r>
    </w:p>
    <w:p>
      <w:pPr>
        <w:pStyle w:val="TextBody"/>
        <w:spacing w:before="0" w:after="0"/>
        <w:rPr/>
      </w:pPr>
      <w:r>
        <w:rPr/>
        <w:t> </w:t>
      </w:r>
    </w:p>
    <w:p>
      <w:pPr>
        <w:pStyle w:val="TextBody"/>
        <w:spacing w:before="0" w:after="0"/>
        <w:rPr>
          <w:rFonts w:ascii="Arial" w:hAnsi="Arial"/>
          <w:b/>
          <w:i w:val="false"/>
          <w:caps w:val="false"/>
          <w:smallCaps w:val="false"/>
          <w:color w:val="000000"/>
          <w:sz w:val="20"/>
        </w:rPr>
      </w:pPr>
      <w:r>
        <w:rPr>
          <w:rFonts w:ascii="Arial" w:hAnsi="Arial"/>
          <w:b/>
          <w:i w:val="false"/>
          <w:caps w:val="false"/>
          <w:smallCaps w:val="false"/>
          <w:color w:val="000000"/>
          <w:sz w:val="20"/>
        </w:rPr>
        <w:t>Organization</w:t>
      </w:r>
    </w:p>
    <w:p>
      <w:pPr>
        <w:pStyle w:val="TextBody"/>
        <w:spacing w:before="0" w:after="0"/>
        <w:rPr/>
      </w:pPr>
      <w:r>
        <w:rPr/>
        <w:t> </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Atea Pharmaceuticals, Inc. was incorporated in July 2012 and began principal operations in March 2014. The Company is located in Boston, Massachusetts. Atea Pharmaceuticals Securities Corporation, a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37</w:t>
      </w:r>
    </w:p>
    <w:p>
      <w:pPr>
        <w:pStyle w:val="HorizontalLine"/>
        <w:rPr/>
      </w:pPr>
      <w:r>
        <w:rPr/>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Massachusetts corporation incorporated in 2016, is a wholly owned subsidiary of Atea Pharmaceuticals, Inc</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Available Information</w:t>
      </w:r>
    </w:p>
    <w:p>
      <w:pPr>
        <w:pStyle w:val="TextBody"/>
        <w:spacing w:lineRule="atLeast" w:line="141"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We file electronically with the Securities and Exchange Commission (the “SEC”) our annual reports on Form 10-K, quarterly reports on Form 10-Q, current reports on Form 8-K, proxy statements and other information. Our SEC filings are available to the public over the Internet at the SEC's website at http://www.sec.gov. We make available on our website at https://ateapharma.com, under “Investors,” free of charge, copies of these reports as soon as reasonably practicable after filing or furnishing these reports with the SEC. </w:t>
      </w:r>
    </w:p>
    <w:p>
      <w:pPr>
        <w:pStyle w:val="TextBody"/>
        <w:spacing w:before="120" w:after="0"/>
        <w:rPr>
          <w:rFonts w:ascii="Arial" w:hAnsi="Arial"/>
          <w:b/>
          <w:i w:val="false"/>
          <w:caps w:val="false"/>
          <w:smallCaps w:val="false"/>
          <w:color w:val="231F20"/>
          <w:sz w:val="20"/>
        </w:rPr>
      </w:pPr>
      <w:r>
        <w:rPr>
          <w:rFonts w:ascii="Arial" w:hAnsi="Arial"/>
          <w:b/>
          <w:i w:val="false"/>
          <w:caps w:val="false"/>
          <w:smallCaps w:val="false"/>
          <w:color w:val="231F20"/>
          <w:sz w:val="20"/>
        </w:rPr>
        <w:t>Executive Officers and Directors</w:t>
      </w:r>
    </w:p>
    <w:p>
      <w:pPr>
        <w:pStyle w:val="TextBody"/>
        <w:spacing w:before="120" w:after="0"/>
        <w:rPr>
          <w:rFonts w:ascii="Arial" w:hAnsi="Arial"/>
          <w:b w:val="false"/>
          <w:i w:val="false"/>
          <w:caps w:val="false"/>
          <w:smallCaps w:val="false"/>
          <w:color w:val="231F20"/>
          <w:sz w:val="20"/>
        </w:rPr>
      </w:pPr>
      <w:r>
        <w:rPr>
          <w:rFonts w:ascii="Arial" w:hAnsi="Arial"/>
          <w:b w:val="false"/>
          <w:i w:val="false"/>
          <w:caps w:val="false"/>
          <w:smallCaps w:val="false"/>
          <w:color w:val="231F20"/>
          <w:sz w:val="20"/>
        </w:rPr>
        <w:t>The following table sets forth the name, age and position of each of our executive officers and directors as of the date of this Annual Report on Form 10-K.</w:t>
      </w:r>
    </w:p>
    <w:p>
      <w:pPr>
        <w:pStyle w:val="TextBody"/>
        <w:spacing w:before="0" w:after="0"/>
        <w:rPr/>
      </w:pPr>
      <w:r>
        <w:rPr/>
        <w:t> </w:t>
      </w:r>
    </w:p>
    <w:tbl>
      <w:tblPr>
        <w:tblW w:w="10205" w:type="dxa"/>
        <w:jc w:val="center"/>
        <w:tblInd w:w="0" w:type="dxa"/>
        <w:tblCellMar>
          <w:top w:w="28" w:type="dxa"/>
          <w:left w:w="0" w:type="dxa"/>
          <w:bottom w:w="0" w:type="dxa"/>
          <w:right w:w="0" w:type="dxa"/>
        </w:tblCellMar>
      </w:tblPr>
      <w:tblGrid>
        <w:gridCol w:w="3029"/>
        <w:gridCol w:w="120"/>
        <w:gridCol w:w="78"/>
        <w:gridCol w:w="302"/>
        <w:gridCol w:w="60"/>
        <w:gridCol w:w="240"/>
        <w:gridCol w:w="6376"/>
      </w:tblGrid>
      <w:tr>
        <w:trPr/>
        <w:tc>
          <w:tcPr>
            <w:tcW w:w="3029" w:type="dxa"/>
            <w:tcBorders>
              <w:top w:val="single" w:sz="12" w:space="0" w:color="000000"/>
            </w:tcBorders>
            <w:shd w:fill="auto"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gridSpan w:val="4"/>
            <w:tcBorders>
              <w:top w:val="single" w:sz="12" w:space="0" w:color="000000"/>
            </w:tcBorders>
            <w:shd w:fill="auto"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616" w:type="dxa"/>
            <w:gridSpan w:val="2"/>
            <w:tcBorders>
              <w:top w:val="single" w:sz="12" w:space="0" w:color="000000"/>
            </w:tcBorders>
            <w:shd w:fill="auto"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9" w:type="dxa"/>
            <w:tcBorders>
              <w:bottom w:val="single" w:sz="6" w:space="0" w:color="000000"/>
            </w:tcBorders>
            <w:shd w:fill="auto" w:val="clear"/>
            <w:tcMar>
              <w:top w:w="0" w:type="dxa"/>
              <w:bottom w:w="28"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Name</w:t>
            </w:r>
          </w:p>
        </w:tc>
        <w:tc>
          <w:tcPr>
            <w:tcW w:w="120" w:type="dxa"/>
            <w:tcBorders>
              <w:bottom w:val="single" w:sz="6" w:space="0" w:color="000000"/>
            </w:tcBorders>
            <w:shd w:fill="auto"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gridSpan w:val="2"/>
            <w:tcBorders>
              <w:bottom w:val="single" w:sz="6" w:space="0" w:color="000000"/>
            </w:tcBorders>
            <w:shd w:fill="auto" w:val="clear"/>
            <w:tcMar>
              <w:top w:w="0" w:type="dxa"/>
              <w:bottom w:w="28"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Age</w:t>
            </w:r>
          </w:p>
        </w:tc>
        <w:tc>
          <w:tcPr>
            <w:tcW w:w="60" w:type="dxa"/>
            <w:tcBorders>
              <w:bottom w:val="single" w:sz="6" w:space="0" w:color="000000"/>
            </w:tcBorders>
            <w:shd w:fill="auto"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bottom w:val="single" w:sz="6" w:space="0" w:color="000000"/>
            </w:tcBorders>
            <w:shd w:fill="auto"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bottom w:val="single" w:sz="6" w:space="0" w:color="000000"/>
            </w:tcBorders>
            <w:shd w:fill="auto" w:val="clear"/>
            <w:tcMar>
              <w:top w:w="0" w:type="dxa"/>
              <w:bottom w:w="28"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Position</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CCEEFF" w:val="clear"/>
            <w:tcMar>
              <w:top w:w="0" w:type="dxa"/>
            </w:tcMar>
          </w:tcPr>
          <w:p>
            <w:pPr>
              <w:pStyle w:val="TableContents"/>
              <w:spacing w:before="0" w:after="0"/>
              <w:ind w:left="0" w:right="0" w:hanging="0"/>
              <w:rPr>
                <w:rFonts w:ascii="Arial" w:hAnsi="Arial"/>
                <w:b/>
                <w:i/>
                <w:caps w:val="false"/>
                <w:smallCaps w:val="false"/>
                <w:color w:val="000000"/>
                <w:sz w:val="20"/>
              </w:rPr>
            </w:pPr>
            <w:r>
              <w:rPr>
                <w:rFonts w:ascii="Arial" w:hAnsi="Arial"/>
                <w:b/>
                <w:i/>
                <w:caps w:val="false"/>
                <w:smallCaps w:val="false"/>
                <w:color w:val="000000"/>
                <w:sz w:val="20"/>
              </w:rPr>
              <w:t>Executive Officers</w:t>
            </w:r>
          </w:p>
        </w:tc>
        <w:tc>
          <w:tcPr>
            <w:tcW w:w="12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CEEFF" w:val="clear"/>
            <w:tcMar>
              <w:top w:w="0" w:type="dxa"/>
            </w:tcMar>
            <w:vAlign w:val="bottom"/>
          </w:tcPr>
          <w:p>
            <w:pPr>
              <w:pStyle w:val="TableContents"/>
              <w:spacing w:before="0" w:after="0"/>
              <w:ind w:left="0" w:right="0" w:hanging="0"/>
              <w:rPr/>
            </w:pPr>
            <w:r>
              <w:rPr/>
              <w:t> </w:t>
            </w:r>
          </w:p>
        </w:tc>
        <w:tc>
          <w:tcPr>
            <w:tcW w:w="302" w:type="dxa"/>
            <w:tcBorders/>
            <w:shd w:fill="CCEEFF" w:val="clear"/>
            <w:tcMar>
              <w:top w:w="0" w:type="dxa"/>
            </w:tcMar>
            <w:vAlign w:val="bottom"/>
          </w:tcPr>
          <w:p>
            <w:pPr>
              <w:pStyle w:val="TableContents"/>
              <w:spacing w:before="0" w:after="0"/>
              <w:ind w:left="0" w:right="0" w:hanging="0"/>
              <w:rPr/>
            </w:pPr>
            <w:r>
              <w:rPr/>
              <w:t> </w:t>
            </w:r>
          </w:p>
        </w:tc>
        <w:tc>
          <w:tcPr>
            <w:tcW w:w="60" w:type="dxa"/>
            <w:tcBorders/>
            <w:shd w:fill="CCEEFF" w:val="clear"/>
            <w:tcMar>
              <w:top w:w="0" w:type="dxa"/>
            </w:tcMar>
            <w:vAlign w:val="bottom"/>
          </w:tcPr>
          <w:p>
            <w:pPr>
              <w:pStyle w:val="TableContents"/>
              <w:spacing w:before="0" w:after="0"/>
              <w:ind w:left="0" w:right="0" w:hanging="0"/>
              <w:rPr/>
            </w:pPr>
            <w:r>
              <w:rPr/>
              <w:t> </w:t>
            </w:r>
          </w:p>
        </w:tc>
        <w:tc>
          <w:tcPr>
            <w:tcW w:w="24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CCEEFF" w:val="clear"/>
            <w:tcMar>
              <w:top w:w="0" w:type="dxa"/>
            </w:tcMar>
            <w:vAlign w:val="bottom"/>
          </w:tcPr>
          <w:p>
            <w:pPr>
              <w:pStyle w:val="TableContents"/>
              <w:spacing w:before="0" w:after="0"/>
              <w:ind w:left="0" w:right="0" w:hanging="0"/>
              <w:rPr/>
            </w:pPr>
            <w:r>
              <w:rPr/>
              <w:t> </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auto"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Jean-Pierre Sommadossi, Ph.D.</w:t>
            </w:r>
          </w:p>
        </w:tc>
        <w:tc>
          <w:tcPr>
            <w:tcW w:w="12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auto"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auto" w:val="clear"/>
            <w:tcMar>
              <w:top w:w="0"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w:t>
            </w:r>
          </w:p>
        </w:tc>
        <w:tc>
          <w:tcPr>
            <w:tcW w:w="60" w:type="dxa"/>
            <w:tcBorders/>
            <w:shd w:fill="auto"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President and Chief Executive Officer and Chairman of the Board of Directors</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CCEEFF"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Andrea Corcoran</w:t>
            </w:r>
          </w:p>
        </w:tc>
        <w:tc>
          <w:tcPr>
            <w:tcW w:w="12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CEE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CEEFF" w:val="clear"/>
            <w:tcMar>
              <w:top w:w="0"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w:t>
            </w:r>
          </w:p>
        </w:tc>
        <w:tc>
          <w:tcPr>
            <w:tcW w:w="60" w:type="dxa"/>
            <w:tcBorders/>
            <w:shd w:fill="CCEE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Chief Financial Officer, Executive Vice President, Legal and Secretary</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auto"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Janet Hammond, M.D., Ph.D.</w:t>
            </w:r>
          </w:p>
        </w:tc>
        <w:tc>
          <w:tcPr>
            <w:tcW w:w="12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auto"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auto" w:val="clear"/>
            <w:tcMar>
              <w:top w:w="0"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61</w:t>
            </w:r>
          </w:p>
        </w:tc>
        <w:tc>
          <w:tcPr>
            <w:tcW w:w="60" w:type="dxa"/>
            <w:tcBorders/>
            <w:shd w:fill="auto"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Chief Development Officer</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CCEEFF"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Maria Arantxa Horga, M.D.</w:t>
            </w:r>
          </w:p>
        </w:tc>
        <w:tc>
          <w:tcPr>
            <w:tcW w:w="12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CEE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CEEFF" w:val="clear"/>
            <w:tcMar>
              <w:top w:w="0"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w:t>
            </w:r>
          </w:p>
        </w:tc>
        <w:tc>
          <w:tcPr>
            <w:tcW w:w="60" w:type="dxa"/>
            <w:tcBorders/>
            <w:shd w:fill="CCEE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Chief Medical Officer</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auto"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John Vavricka</w:t>
            </w:r>
          </w:p>
        </w:tc>
        <w:tc>
          <w:tcPr>
            <w:tcW w:w="12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auto"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auto" w:val="clear"/>
            <w:tcMar>
              <w:top w:w="0"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w:t>
            </w:r>
          </w:p>
        </w:tc>
        <w:tc>
          <w:tcPr>
            <w:tcW w:w="60" w:type="dxa"/>
            <w:tcBorders/>
            <w:shd w:fill="auto"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Chief Commercial Officer</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CCEEFF"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Wayne Foster</w:t>
            </w:r>
          </w:p>
        </w:tc>
        <w:tc>
          <w:tcPr>
            <w:tcW w:w="12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CEE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CEEFF" w:val="clear"/>
            <w:tcMar>
              <w:top w:w="0"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w:t>
            </w:r>
          </w:p>
        </w:tc>
        <w:tc>
          <w:tcPr>
            <w:tcW w:w="60" w:type="dxa"/>
            <w:tcBorders/>
            <w:shd w:fill="CCEE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Senior Vice President, Finance and Administration</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auto" w:val="clear"/>
            <w:tcMar>
              <w:top w:w="0" w:type="dxa"/>
            </w:tcMar>
          </w:tcPr>
          <w:p>
            <w:pPr>
              <w:pStyle w:val="TableContents"/>
              <w:spacing w:before="0" w:after="0"/>
              <w:ind w:left="0" w:right="0" w:hanging="0"/>
              <w:rPr>
                <w:rFonts w:ascii="Arial" w:hAnsi="Arial"/>
                <w:b/>
                <w:i/>
                <w:caps w:val="false"/>
                <w:smallCaps w:val="false"/>
                <w:color w:val="000000"/>
                <w:sz w:val="20"/>
              </w:rPr>
            </w:pPr>
            <w:r>
              <w:rPr>
                <w:rFonts w:ascii="Arial" w:hAnsi="Arial"/>
                <w:b/>
                <w:i/>
                <w:caps w:val="false"/>
                <w:smallCaps w:val="false"/>
                <w:color w:val="000000"/>
                <w:sz w:val="20"/>
              </w:rPr>
              <w:t>Directors</w:t>
            </w:r>
          </w:p>
        </w:tc>
        <w:tc>
          <w:tcPr>
            <w:tcW w:w="12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auto" w:val="clear"/>
            <w:tcMar>
              <w:top w:w="0" w:type="dxa"/>
            </w:tcMar>
            <w:vAlign w:val="bottom"/>
          </w:tcPr>
          <w:p>
            <w:pPr>
              <w:pStyle w:val="TableContents"/>
              <w:spacing w:before="0" w:after="0"/>
              <w:ind w:left="0" w:right="0" w:hanging="0"/>
              <w:rPr/>
            </w:pPr>
            <w:r>
              <w:rPr/>
              <w:t> </w:t>
            </w:r>
          </w:p>
        </w:tc>
        <w:tc>
          <w:tcPr>
            <w:tcW w:w="302" w:type="dxa"/>
            <w:tcBorders/>
            <w:shd w:fill="auto" w:val="clear"/>
            <w:tcMar>
              <w:top w:w="0" w:type="dxa"/>
            </w:tcMar>
            <w:vAlign w:val="bottom"/>
          </w:tcPr>
          <w:p>
            <w:pPr>
              <w:pStyle w:val="TableContents"/>
              <w:spacing w:before="0" w:after="0"/>
              <w:ind w:left="0" w:right="0" w:hanging="0"/>
              <w:rPr/>
            </w:pPr>
            <w:r>
              <w:rPr/>
              <w:t> </w:t>
            </w:r>
          </w:p>
        </w:tc>
        <w:tc>
          <w:tcPr>
            <w:tcW w:w="60" w:type="dxa"/>
            <w:tcBorders/>
            <w:shd w:fill="auto" w:val="clear"/>
            <w:tcMar>
              <w:top w:w="0" w:type="dxa"/>
            </w:tcMar>
            <w:vAlign w:val="bottom"/>
          </w:tcPr>
          <w:p>
            <w:pPr>
              <w:pStyle w:val="TableContents"/>
              <w:spacing w:before="0" w:after="0"/>
              <w:ind w:left="0" w:right="0" w:hanging="0"/>
              <w:rPr/>
            </w:pPr>
            <w:r>
              <w:rPr/>
              <w:t> </w:t>
            </w:r>
          </w:p>
        </w:tc>
        <w:tc>
          <w:tcPr>
            <w:tcW w:w="24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auto" w:val="clear"/>
            <w:tcMar>
              <w:top w:w="0" w:type="dxa"/>
            </w:tcMar>
            <w:vAlign w:val="bottom"/>
          </w:tcPr>
          <w:p>
            <w:pPr>
              <w:pStyle w:val="TableContents"/>
              <w:spacing w:before="0" w:after="0"/>
              <w:ind w:left="0" w:right="0" w:hanging="0"/>
              <w:rPr/>
            </w:pPr>
            <w:r>
              <w:rPr/>
              <w:t> </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CCEEFF"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Franklin Berger (1)(2)</w:t>
            </w:r>
          </w:p>
        </w:tc>
        <w:tc>
          <w:tcPr>
            <w:tcW w:w="12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CEE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CEEFF" w:val="clear"/>
            <w:tcMar>
              <w:top w:w="0"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71</w:t>
            </w:r>
          </w:p>
        </w:tc>
        <w:tc>
          <w:tcPr>
            <w:tcW w:w="60" w:type="dxa"/>
            <w:tcBorders/>
            <w:shd w:fill="CCEE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 (Lead Director)</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auto"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Isaac Cheng, M.D.</w:t>
            </w:r>
          </w:p>
        </w:tc>
        <w:tc>
          <w:tcPr>
            <w:tcW w:w="12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auto"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auto" w:val="clear"/>
            <w:tcMar>
              <w:top w:w="0"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w:t>
            </w:r>
          </w:p>
        </w:tc>
        <w:tc>
          <w:tcPr>
            <w:tcW w:w="60" w:type="dxa"/>
            <w:tcBorders/>
            <w:shd w:fill="auto"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CCEEFF"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Barbara Duncan (1)(3)</w:t>
            </w:r>
          </w:p>
        </w:tc>
        <w:tc>
          <w:tcPr>
            <w:tcW w:w="12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CEE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w:t>
            </w:r>
          </w:p>
        </w:tc>
        <w:tc>
          <w:tcPr>
            <w:tcW w:w="6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auto"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Andrew Hack, M.D., Ph.D. (1)</w:t>
            </w:r>
          </w:p>
        </w:tc>
        <w:tc>
          <w:tcPr>
            <w:tcW w:w="12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auto"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auto" w:val="clear"/>
            <w:tcMar>
              <w:top w:w="0"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47</w:t>
            </w:r>
          </w:p>
        </w:tc>
        <w:tc>
          <w:tcPr>
            <w:tcW w:w="60" w:type="dxa"/>
            <w:tcBorders/>
            <w:shd w:fill="auto"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CCEEFF"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Bruno Lucidi (2)</w:t>
            </w:r>
          </w:p>
        </w:tc>
        <w:tc>
          <w:tcPr>
            <w:tcW w:w="12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CEE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CEEFF" w:val="clear"/>
            <w:tcMar>
              <w:top w:w="0"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61</w:t>
            </w:r>
          </w:p>
        </w:tc>
        <w:tc>
          <w:tcPr>
            <w:tcW w:w="60" w:type="dxa"/>
            <w:tcBorders/>
            <w:shd w:fill="CCEE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auto"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Polly A. Murphy, D.V.M., Ph.D. (3)</w:t>
            </w:r>
          </w:p>
        </w:tc>
        <w:tc>
          <w:tcPr>
            <w:tcW w:w="12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auto"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auto" w:val="clear"/>
            <w:tcMar>
              <w:top w:w="0"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w:t>
            </w:r>
          </w:p>
        </w:tc>
        <w:tc>
          <w:tcPr>
            <w:tcW w:w="60" w:type="dxa"/>
            <w:tcBorders/>
            <w:shd w:fill="auto"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auto"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r>
      <w:tr>
        <w:trPr/>
        <w:tc>
          <w:tcPr>
            <w:tcW w:w="3029" w:type="dxa"/>
            <w:tcBorders/>
            <w:shd w:fill="auto" w:val="clear"/>
            <w:tcMar>
              <w:top w:w="0" w:type="dxa"/>
            </w:tcMar>
            <w:vAlign w:val="center"/>
          </w:tcPr>
          <w:p>
            <w:pPr>
              <w:pStyle w:val="TableContents"/>
              <w:spacing w:before="0" w:after="0"/>
              <w:ind w:left="0" w:right="0" w:hanging="0"/>
              <w:rPr/>
            </w:pPr>
            <w:r>
              <w:rPr/>
              <w:t> </w:t>
            </w:r>
          </w:p>
        </w:tc>
        <w:tc>
          <w:tcPr>
            <w:tcW w:w="560" w:type="dxa"/>
            <w:gridSpan w:val="4"/>
            <w:tcBorders/>
            <w:shd w:fill="auto" w:val="clear"/>
            <w:tcMar>
              <w:top w:w="0" w:type="dxa"/>
            </w:tcMar>
            <w:vAlign w:val="center"/>
          </w:tcPr>
          <w:p>
            <w:pPr>
              <w:pStyle w:val="TableContents"/>
              <w:spacing w:before="0" w:after="0"/>
              <w:ind w:left="0" w:right="0" w:hanging="0"/>
              <w:rPr/>
            </w:pPr>
            <w:r>
              <w:rPr/>
              <w:t> </w:t>
            </w:r>
          </w:p>
        </w:tc>
        <w:tc>
          <w:tcPr>
            <w:tcW w:w="6616" w:type="dxa"/>
            <w:gridSpan w:val="2"/>
            <w:tcBorders/>
            <w:shd w:fill="auto" w:val="clear"/>
            <w:tcMar>
              <w:top w:w="0" w:type="dxa"/>
            </w:tcMar>
            <w:vAlign w:val="center"/>
          </w:tcPr>
          <w:p>
            <w:pPr>
              <w:pStyle w:val="TableContents"/>
              <w:spacing w:before="0" w:after="0"/>
              <w:ind w:left="0" w:right="0" w:hanging="0"/>
              <w:rPr/>
            </w:pPr>
            <w:r>
              <w:rPr/>
              <w:t> </w:t>
            </w:r>
          </w:p>
        </w:tc>
      </w:tr>
      <w:tr>
        <w:trPr/>
        <w:tc>
          <w:tcPr>
            <w:tcW w:w="3029" w:type="dxa"/>
            <w:tcBorders/>
            <w:shd w:fill="CCEEFF" w:val="clear"/>
            <w:tcMar>
              <w:top w:w="0" w:type="dxa"/>
            </w:tcMar>
          </w:tcPr>
          <w:p>
            <w:pPr>
              <w:pStyle w:val="TableContents"/>
              <w:spacing w:before="0" w:after="0"/>
              <w:ind w:left="240" w:right="0" w:hanging="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Bruce Polsky, M.D. (2)(3)</w:t>
            </w:r>
          </w:p>
        </w:tc>
        <w:tc>
          <w:tcPr>
            <w:tcW w:w="12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CEE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66</w:t>
            </w:r>
          </w:p>
        </w:tc>
        <w:tc>
          <w:tcPr>
            <w:tcW w:w="6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CCEE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6"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r>
      <w:tr>
        <w:trPr/>
        <w:tc>
          <w:tcPr>
            <w:tcW w:w="10205" w:type="dxa"/>
            <w:gridSpan w:val="7"/>
            <w:tcBorders/>
            <w:shd w:fill="auto" w:val="clear"/>
            <w:tcMar>
              <w:top w:w="0" w:type="dxa"/>
            </w:tcMar>
          </w:tcPr>
          <w:p>
            <w:pPr>
              <w:pStyle w:val="TableContents"/>
              <w:pBdr>
                <w:bottom w:val="single" w:sz="6" w:space="1" w:color="000000"/>
              </w:pBdr>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2995" w:type="dxa"/>
        <w:jc w:val="left"/>
        <w:tblInd w:w="0" w:type="dxa"/>
        <w:tblCellMar>
          <w:top w:w="0" w:type="dxa"/>
          <w:left w:w="0" w:type="dxa"/>
          <w:bottom w:w="0" w:type="dxa"/>
          <w:right w:w="0" w:type="dxa"/>
        </w:tblCellMar>
      </w:tblPr>
      <w:tblGrid>
        <w:gridCol w:w="60"/>
        <w:gridCol w:w="200"/>
        <w:gridCol w:w="2735"/>
      </w:tblGrid>
      <w:tr>
        <w:trPr/>
        <w:tc>
          <w:tcPr>
            <w:tcW w:w="60" w:type="dxa"/>
            <w:tcBorders/>
            <w:shd w:fill="auto" w:val="clear"/>
          </w:tcPr>
          <w:p>
            <w:pPr>
              <w:pStyle w:val="TableContents"/>
              <w:spacing w:before="0" w:after="0"/>
              <w:jc w:val="left"/>
              <w:rPr>
                <w:caps w:val="false"/>
                <w:smallCaps w:val="false"/>
                <w:color w:val="231F20"/>
                <w:spacing w:val="0"/>
              </w:rPr>
            </w:pPr>
            <w:r>
              <w:rPr>
                <w:caps w:val="false"/>
                <w:smallCaps w:val="false"/>
                <w:color w:val="231F20"/>
                <w:spacing w:val="0"/>
              </w:rPr>
              <w:t> </w:t>
            </w:r>
          </w:p>
        </w:tc>
        <w:tc>
          <w:tcPr>
            <w:tcW w:w="200" w:type="dxa"/>
            <w:tcBorders/>
            <w:shd w:fill="auto" w:val="clear"/>
          </w:tcPr>
          <w:p>
            <w:pPr>
              <w:pStyle w:val="TableContents"/>
              <w:spacing w:before="0" w:after="0"/>
              <w:jc w:val="left"/>
              <w:rPr>
                <w:rFonts w:ascii="Arial" w:hAnsi="Arial"/>
                <w:b w:val="false"/>
                <w:i w:val="false"/>
                <w:caps w:val="false"/>
                <w:smallCaps w:val="false"/>
                <w:strike w:val="false"/>
                <w:dstrike w:val="false"/>
                <w:color w:val="231F20"/>
                <w:spacing w:val="0"/>
                <w:sz w:val="15"/>
                <w:u w:val="none"/>
                <w:effect w:val="none"/>
              </w:rPr>
            </w:pPr>
            <w:r>
              <w:rPr>
                <w:rFonts w:ascii="Arial" w:hAnsi="Arial"/>
                <w:b w:val="false"/>
                <w:i w:val="false"/>
                <w:caps w:val="false"/>
                <w:smallCaps w:val="false"/>
                <w:strike w:val="false"/>
                <w:dstrike w:val="false"/>
                <w:color w:val="231F20"/>
                <w:spacing w:val="0"/>
                <w:sz w:val="15"/>
                <w:u w:val="none"/>
                <w:effect w:val="none"/>
              </w:rPr>
              <w:t>(1)</w:t>
            </w:r>
          </w:p>
        </w:tc>
        <w:tc>
          <w:tcPr>
            <w:tcW w:w="2735" w:type="dxa"/>
            <w:tcBorders/>
            <w:shd w:fill="auto" w:val="clear"/>
          </w:tcPr>
          <w:p>
            <w:pPr>
              <w:pStyle w:val="TableContents"/>
              <w:spacing w:before="0" w:after="0"/>
              <w:jc w:val="left"/>
              <w:rPr>
                <w:rFonts w:ascii="Times New Roman" w:hAnsi="Times New Roman"/>
                <w:b w:val="false"/>
                <w:i w:val="false"/>
                <w:caps w:val="false"/>
                <w:smallCaps w:val="false"/>
                <w:color w:val="231F20"/>
                <w:spacing w:val="0"/>
                <w:sz w:val="20"/>
              </w:rPr>
            </w:pPr>
            <w:r>
              <w:rPr>
                <w:rFonts w:ascii="Arial" w:hAnsi="Arial"/>
                <w:b w:val="false"/>
                <w:i w:val="false"/>
                <w:caps w:val="false"/>
                <w:smallCaps w:val="false"/>
                <w:color w:val="231F20"/>
                <w:spacing w:val="0"/>
                <w:sz w:val="20"/>
              </w:rPr>
              <w:t>Member</w:t>
            </w:r>
            <w:r>
              <w:rPr>
                <w:rFonts w:ascii="Times New Roman" w:hAnsi="Times New Roman"/>
                <w:b w:val="false"/>
                <w:i w:val="false"/>
                <w:caps w:val="false"/>
                <w:smallCaps w:val="false"/>
                <w:color w:val="231F20"/>
                <w:spacing w:val="-11"/>
                <w:sz w:val="20"/>
              </w:rPr>
              <w:t xml:space="preserve"> </w:t>
            </w:r>
            <w:r>
              <w:rPr>
                <w:rFonts w:ascii="Arial" w:hAnsi="Arial"/>
                <w:b w:val="false"/>
                <w:i w:val="false"/>
                <w:caps w:val="false"/>
                <w:smallCaps w:val="false"/>
                <w:color w:val="231F20"/>
                <w:spacing w:val="0"/>
                <w:sz w:val="20"/>
              </w:rPr>
              <w:t>of</w:t>
            </w:r>
            <w:r>
              <w:rPr>
                <w:rFonts w:ascii="Times New Roman" w:hAnsi="Times New Roman"/>
                <w:b w:val="false"/>
                <w:i w:val="false"/>
                <w:caps w:val="false"/>
                <w:smallCaps w:val="false"/>
                <w:color w:val="231F20"/>
                <w:spacing w:val="-10"/>
                <w:sz w:val="20"/>
              </w:rPr>
              <w:t xml:space="preserve"> </w:t>
            </w:r>
            <w:r>
              <w:rPr>
                <w:rFonts w:ascii="Arial" w:hAnsi="Arial"/>
                <w:b w:val="false"/>
                <w:i w:val="false"/>
                <w:caps w:val="false"/>
                <w:smallCaps w:val="false"/>
                <w:color w:val="231F20"/>
                <w:spacing w:val="0"/>
                <w:sz w:val="20"/>
              </w:rPr>
              <w:t>the</w:t>
            </w:r>
            <w:r>
              <w:rPr>
                <w:rFonts w:ascii="Times New Roman" w:hAnsi="Times New Roman"/>
                <w:b w:val="false"/>
                <w:i w:val="false"/>
                <w:caps w:val="false"/>
                <w:smallCaps w:val="false"/>
                <w:color w:val="231F20"/>
                <w:spacing w:val="-10"/>
                <w:sz w:val="20"/>
              </w:rPr>
              <w:t xml:space="preserve"> </w:t>
            </w:r>
            <w:r>
              <w:rPr>
                <w:rFonts w:ascii="Arial" w:hAnsi="Arial"/>
                <w:b w:val="false"/>
                <w:i w:val="false"/>
                <w:caps w:val="false"/>
                <w:smallCaps w:val="false"/>
                <w:color w:val="231F20"/>
                <w:spacing w:val="0"/>
                <w:sz w:val="20"/>
              </w:rPr>
              <w:t>audit</w:t>
            </w:r>
            <w:r>
              <w:rPr>
                <w:rFonts w:ascii="Times New Roman" w:hAnsi="Times New Roman"/>
                <w:b w:val="false"/>
                <w:i w:val="false"/>
                <w:caps w:val="false"/>
                <w:smallCaps w:val="false"/>
                <w:color w:val="231F20"/>
                <w:spacing w:val="-10"/>
                <w:sz w:val="20"/>
              </w:rPr>
              <w:t xml:space="preserve"> </w:t>
            </w:r>
            <w:r>
              <w:rPr>
                <w:rFonts w:ascii="Arial" w:hAnsi="Arial"/>
                <w:b w:val="false"/>
                <w:i w:val="false"/>
                <w:caps w:val="false"/>
                <w:smallCaps w:val="false"/>
                <w:color w:val="231F20"/>
                <w:spacing w:val="0"/>
                <w:sz w:val="20"/>
              </w:rPr>
              <w:t>committee.</w:t>
            </w:r>
          </w:p>
        </w:tc>
      </w:tr>
    </w:tbl>
    <w:tbl>
      <w:tblPr>
        <w:tblW w:w="3790" w:type="dxa"/>
        <w:jc w:val="left"/>
        <w:tblInd w:w="0" w:type="dxa"/>
        <w:tblCellMar>
          <w:top w:w="0" w:type="dxa"/>
          <w:left w:w="0" w:type="dxa"/>
          <w:bottom w:w="0" w:type="dxa"/>
          <w:right w:w="0" w:type="dxa"/>
        </w:tblCellMar>
      </w:tblPr>
      <w:tblGrid>
        <w:gridCol w:w="60"/>
        <w:gridCol w:w="200"/>
        <w:gridCol w:w="3530"/>
      </w:tblGrid>
      <w:tr>
        <w:trPr/>
        <w:tc>
          <w:tcPr>
            <w:tcW w:w="60" w:type="dxa"/>
            <w:tcBorders/>
            <w:shd w:fill="auto" w:val="clear"/>
          </w:tcPr>
          <w:p>
            <w:pPr>
              <w:pStyle w:val="TableContents"/>
              <w:spacing w:before="120" w:after="0"/>
              <w:jc w:val="left"/>
              <w:rPr>
                <w:caps w:val="false"/>
                <w:smallCaps w:val="false"/>
                <w:color w:val="231F20"/>
                <w:spacing w:val="0"/>
              </w:rPr>
            </w:pPr>
            <w:r>
              <w:rPr>
                <w:caps w:val="false"/>
                <w:smallCaps w:val="false"/>
                <w:color w:val="231F20"/>
                <w:spacing w:val="0"/>
              </w:rPr>
              <w:t> </w:t>
            </w:r>
          </w:p>
        </w:tc>
        <w:tc>
          <w:tcPr>
            <w:tcW w:w="200" w:type="dxa"/>
            <w:tcBorders/>
            <w:shd w:fill="auto" w:val="clear"/>
          </w:tcPr>
          <w:p>
            <w:pPr>
              <w:pStyle w:val="TableContents"/>
              <w:spacing w:before="120" w:after="0"/>
              <w:jc w:val="left"/>
              <w:rPr>
                <w:rFonts w:ascii="Arial" w:hAnsi="Arial"/>
                <w:b w:val="false"/>
                <w:i w:val="false"/>
                <w:caps w:val="false"/>
                <w:smallCaps w:val="false"/>
                <w:strike w:val="false"/>
                <w:dstrike w:val="false"/>
                <w:color w:val="231F20"/>
                <w:spacing w:val="0"/>
                <w:sz w:val="15"/>
                <w:u w:val="none"/>
                <w:effect w:val="none"/>
              </w:rPr>
            </w:pPr>
            <w:r>
              <w:rPr>
                <w:rFonts w:ascii="Arial" w:hAnsi="Arial"/>
                <w:b w:val="false"/>
                <w:i w:val="false"/>
                <w:caps w:val="false"/>
                <w:smallCaps w:val="false"/>
                <w:strike w:val="false"/>
                <w:dstrike w:val="false"/>
                <w:color w:val="231F20"/>
                <w:spacing w:val="0"/>
                <w:sz w:val="15"/>
                <w:u w:val="none"/>
                <w:effect w:val="none"/>
              </w:rPr>
              <w:t>(2)</w:t>
            </w:r>
          </w:p>
        </w:tc>
        <w:tc>
          <w:tcPr>
            <w:tcW w:w="3530" w:type="dxa"/>
            <w:tcBorders/>
            <w:shd w:fill="auto" w:val="clear"/>
          </w:tcPr>
          <w:p>
            <w:pPr>
              <w:pStyle w:val="TableContents"/>
              <w:spacing w:before="120" w:after="0"/>
              <w:jc w:val="left"/>
              <w:rPr>
                <w:rFonts w:ascii="Times New Roman" w:hAnsi="Times New Roman"/>
                <w:b w:val="false"/>
                <w:i w:val="false"/>
                <w:caps w:val="false"/>
                <w:smallCaps w:val="false"/>
                <w:color w:val="231F20"/>
                <w:spacing w:val="0"/>
                <w:sz w:val="20"/>
              </w:rPr>
            </w:pPr>
            <w:r>
              <w:rPr>
                <w:rFonts w:ascii="Arial" w:hAnsi="Arial"/>
                <w:b w:val="false"/>
                <w:i w:val="false"/>
                <w:caps w:val="false"/>
                <w:smallCaps w:val="false"/>
                <w:color w:val="231F20"/>
                <w:spacing w:val="0"/>
                <w:sz w:val="20"/>
              </w:rPr>
              <w:t>Member</w:t>
            </w:r>
            <w:r>
              <w:rPr>
                <w:rFonts w:ascii="Times New Roman" w:hAnsi="Times New Roman"/>
                <w:b w:val="false"/>
                <w:i w:val="false"/>
                <w:caps w:val="false"/>
                <w:smallCaps w:val="false"/>
                <w:color w:val="231F20"/>
                <w:spacing w:val="-13"/>
                <w:sz w:val="20"/>
              </w:rPr>
              <w:t xml:space="preserve"> </w:t>
            </w:r>
            <w:r>
              <w:rPr>
                <w:rFonts w:ascii="Arial" w:hAnsi="Arial"/>
                <w:b w:val="false"/>
                <w:i w:val="false"/>
                <w:caps w:val="false"/>
                <w:smallCaps w:val="false"/>
                <w:color w:val="231F20"/>
                <w:spacing w:val="0"/>
                <w:sz w:val="20"/>
              </w:rPr>
              <w:t>of</w:t>
            </w:r>
            <w:r>
              <w:rPr>
                <w:rFonts w:ascii="Times New Roman" w:hAnsi="Times New Roman"/>
                <w:b w:val="false"/>
                <w:i w:val="false"/>
                <w:caps w:val="false"/>
                <w:smallCaps w:val="false"/>
                <w:color w:val="231F20"/>
                <w:spacing w:val="-13"/>
                <w:sz w:val="20"/>
              </w:rPr>
              <w:t xml:space="preserve"> </w:t>
            </w:r>
            <w:r>
              <w:rPr>
                <w:rFonts w:ascii="Arial" w:hAnsi="Arial"/>
                <w:b w:val="false"/>
                <w:i w:val="false"/>
                <w:caps w:val="false"/>
                <w:smallCaps w:val="false"/>
                <w:color w:val="231F20"/>
                <w:spacing w:val="0"/>
                <w:sz w:val="20"/>
              </w:rPr>
              <w:t>the</w:t>
            </w:r>
            <w:r>
              <w:rPr>
                <w:rFonts w:ascii="Times New Roman" w:hAnsi="Times New Roman"/>
                <w:b w:val="false"/>
                <w:i w:val="false"/>
                <w:caps w:val="false"/>
                <w:smallCaps w:val="false"/>
                <w:color w:val="231F20"/>
                <w:spacing w:val="-13"/>
                <w:sz w:val="20"/>
              </w:rPr>
              <w:t xml:space="preserve"> </w:t>
            </w:r>
            <w:r>
              <w:rPr>
                <w:rFonts w:ascii="Arial" w:hAnsi="Arial"/>
                <w:b w:val="false"/>
                <w:i w:val="false"/>
                <w:caps w:val="false"/>
                <w:smallCaps w:val="false"/>
                <w:color w:val="231F20"/>
                <w:spacing w:val="0"/>
                <w:sz w:val="20"/>
              </w:rPr>
              <w:t>compensation</w:t>
            </w:r>
            <w:r>
              <w:rPr>
                <w:rFonts w:ascii="Times New Roman" w:hAnsi="Times New Roman"/>
                <w:b w:val="false"/>
                <w:i w:val="false"/>
                <w:caps w:val="false"/>
                <w:smallCaps w:val="false"/>
                <w:color w:val="231F20"/>
                <w:spacing w:val="-13"/>
                <w:sz w:val="20"/>
              </w:rPr>
              <w:t xml:space="preserve"> </w:t>
            </w:r>
            <w:r>
              <w:rPr>
                <w:rFonts w:ascii="Arial" w:hAnsi="Arial"/>
                <w:b w:val="false"/>
                <w:i w:val="false"/>
                <w:caps w:val="false"/>
                <w:smallCaps w:val="false"/>
                <w:color w:val="231F20"/>
                <w:spacing w:val="0"/>
                <w:sz w:val="20"/>
              </w:rPr>
              <w:t>committee.</w:t>
            </w:r>
          </w:p>
        </w:tc>
      </w:tr>
    </w:tbl>
    <w:tbl>
      <w:tblPr>
        <w:tblW w:w="5785" w:type="dxa"/>
        <w:jc w:val="left"/>
        <w:tblInd w:w="0" w:type="dxa"/>
        <w:tblCellMar>
          <w:top w:w="0" w:type="dxa"/>
          <w:left w:w="0" w:type="dxa"/>
          <w:bottom w:w="0" w:type="dxa"/>
          <w:right w:w="0" w:type="dxa"/>
        </w:tblCellMar>
      </w:tblPr>
      <w:tblGrid>
        <w:gridCol w:w="60"/>
        <w:gridCol w:w="200"/>
        <w:gridCol w:w="5525"/>
      </w:tblGrid>
      <w:tr>
        <w:trPr/>
        <w:tc>
          <w:tcPr>
            <w:tcW w:w="60" w:type="dxa"/>
            <w:tcBorders/>
            <w:shd w:fill="auto" w:val="clear"/>
          </w:tcPr>
          <w:p>
            <w:pPr>
              <w:pStyle w:val="TableContents"/>
              <w:spacing w:before="120" w:after="0"/>
              <w:jc w:val="left"/>
              <w:rPr>
                <w:caps w:val="false"/>
                <w:smallCaps w:val="false"/>
                <w:color w:val="231F20"/>
                <w:spacing w:val="0"/>
              </w:rPr>
            </w:pPr>
            <w:r>
              <w:rPr>
                <w:caps w:val="false"/>
                <w:smallCaps w:val="false"/>
                <w:color w:val="231F20"/>
                <w:spacing w:val="0"/>
              </w:rPr>
              <w:t> </w:t>
            </w:r>
          </w:p>
        </w:tc>
        <w:tc>
          <w:tcPr>
            <w:tcW w:w="200" w:type="dxa"/>
            <w:tcBorders/>
            <w:shd w:fill="auto" w:val="clear"/>
          </w:tcPr>
          <w:p>
            <w:pPr>
              <w:pStyle w:val="TableContents"/>
              <w:spacing w:before="120" w:after="0"/>
              <w:jc w:val="left"/>
              <w:rPr>
                <w:rFonts w:ascii="Arial" w:hAnsi="Arial"/>
                <w:b w:val="false"/>
                <w:i w:val="false"/>
                <w:caps w:val="false"/>
                <w:smallCaps w:val="false"/>
                <w:strike w:val="false"/>
                <w:dstrike w:val="false"/>
                <w:color w:val="231F20"/>
                <w:spacing w:val="0"/>
                <w:sz w:val="15"/>
                <w:u w:val="none"/>
                <w:effect w:val="none"/>
              </w:rPr>
            </w:pPr>
            <w:r>
              <w:rPr>
                <w:rFonts w:ascii="Arial" w:hAnsi="Arial"/>
                <w:b w:val="false"/>
                <w:i w:val="false"/>
                <w:caps w:val="false"/>
                <w:smallCaps w:val="false"/>
                <w:strike w:val="false"/>
                <w:dstrike w:val="false"/>
                <w:color w:val="231F20"/>
                <w:spacing w:val="0"/>
                <w:sz w:val="15"/>
                <w:u w:val="none"/>
                <w:effect w:val="none"/>
              </w:rPr>
              <w:t>(3)</w:t>
            </w:r>
          </w:p>
        </w:tc>
        <w:tc>
          <w:tcPr>
            <w:tcW w:w="5525" w:type="dxa"/>
            <w:tcBorders/>
            <w:shd w:fill="auto" w:val="clear"/>
          </w:tcPr>
          <w:p>
            <w:pPr>
              <w:pStyle w:val="TableContents"/>
              <w:spacing w:before="120" w:after="0"/>
              <w:jc w:val="left"/>
              <w:rPr>
                <w:rFonts w:ascii="Times New Roman" w:hAnsi="Times New Roman"/>
                <w:b w:val="false"/>
                <w:i w:val="false"/>
                <w:caps w:val="false"/>
                <w:smallCaps w:val="false"/>
                <w:color w:val="231F20"/>
                <w:spacing w:val="0"/>
                <w:sz w:val="20"/>
              </w:rPr>
            </w:pPr>
            <w:r>
              <w:rPr>
                <w:rFonts w:ascii="Arial" w:hAnsi="Arial"/>
                <w:b w:val="false"/>
                <w:i w:val="false"/>
                <w:caps w:val="false"/>
                <w:smallCaps w:val="false"/>
                <w:color w:val="231F20"/>
                <w:spacing w:val="0"/>
                <w:sz w:val="20"/>
              </w:rPr>
              <w:t>Member</w:t>
            </w:r>
            <w:r>
              <w:rPr>
                <w:rFonts w:ascii="Times New Roman" w:hAnsi="Times New Roman"/>
                <w:b w:val="false"/>
                <w:i w:val="false"/>
                <w:caps w:val="false"/>
                <w:smallCaps w:val="false"/>
                <w:color w:val="231F20"/>
                <w:spacing w:val="-7"/>
                <w:sz w:val="20"/>
              </w:rPr>
              <w:t xml:space="preserve"> </w:t>
            </w:r>
            <w:r>
              <w:rPr>
                <w:rFonts w:ascii="Arial" w:hAnsi="Arial"/>
                <w:b w:val="false"/>
                <w:i w:val="false"/>
                <w:caps w:val="false"/>
                <w:smallCaps w:val="false"/>
                <w:color w:val="231F20"/>
                <w:spacing w:val="0"/>
                <w:sz w:val="20"/>
              </w:rPr>
              <w:t>of</w:t>
            </w:r>
            <w:r>
              <w:rPr>
                <w:rFonts w:ascii="Times New Roman" w:hAnsi="Times New Roman"/>
                <w:b w:val="false"/>
                <w:i w:val="false"/>
                <w:caps w:val="false"/>
                <w:smallCaps w:val="false"/>
                <w:color w:val="231F20"/>
                <w:spacing w:val="-7"/>
                <w:sz w:val="20"/>
              </w:rPr>
              <w:t xml:space="preserve"> </w:t>
            </w:r>
            <w:r>
              <w:rPr>
                <w:rFonts w:ascii="Arial" w:hAnsi="Arial"/>
                <w:b w:val="false"/>
                <w:i w:val="false"/>
                <w:caps w:val="false"/>
                <w:smallCaps w:val="false"/>
                <w:color w:val="231F20"/>
                <w:spacing w:val="0"/>
                <w:sz w:val="20"/>
              </w:rPr>
              <w:t>the</w:t>
            </w:r>
            <w:r>
              <w:rPr>
                <w:rFonts w:ascii="Times New Roman" w:hAnsi="Times New Roman"/>
                <w:b w:val="false"/>
                <w:i w:val="false"/>
                <w:caps w:val="false"/>
                <w:smallCaps w:val="false"/>
                <w:color w:val="231F20"/>
                <w:spacing w:val="-7"/>
                <w:sz w:val="20"/>
              </w:rPr>
              <w:t xml:space="preserve"> </w:t>
            </w:r>
            <w:r>
              <w:rPr>
                <w:rFonts w:ascii="Arial" w:hAnsi="Arial"/>
                <w:b w:val="false"/>
                <w:i w:val="false"/>
                <w:caps w:val="false"/>
                <w:smallCaps w:val="false"/>
                <w:color w:val="231F20"/>
                <w:spacing w:val="0"/>
                <w:sz w:val="20"/>
              </w:rPr>
              <w:t>nominating</w:t>
            </w:r>
            <w:r>
              <w:rPr>
                <w:rFonts w:ascii="Times New Roman" w:hAnsi="Times New Roman"/>
                <w:b w:val="false"/>
                <w:i w:val="false"/>
                <w:caps w:val="false"/>
                <w:smallCaps w:val="false"/>
                <w:color w:val="231F20"/>
                <w:spacing w:val="-7"/>
                <w:sz w:val="20"/>
              </w:rPr>
              <w:t xml:space="preserve"> </w:t>
            </w:r>
            <w:r>
              <w:rPr>
                <w:rFonts w:ascii="Arial" w:hAnsi="Arial"/>
                <w:b w:val="false"/>
                <w:i w:val="false"/>
                <w:caps w:val="false"/>
                <w:smallCaps w:val="false"/>
                <w:color w:val="231F20"/>
                <w:spacing w:val="0"/>
                <w:sz w:val="20"/>
              </w:rPr>
              <w:t>and</w:t>
            </w:r>
            <w:r>
              <w:rPr>
                <w:rFonts w:ascii="Times New Roman" w:hAnsi="Times New Roman"/>
                <w:b w:val="false"/>
                <w:i w:val="false"/>
                <w:caps w:val="false"/>
                <w:smallCaps w:val="false"/>
                <w:color w:val="231F20"/>
                <w:spacing w:val="-7"/>
                <w:sz w:val="20"/>
              </w:rPr>
              <w:t xml:space="preserve"> </w:t>
            </w:r>
            <w:r>
              <w:rPr>
                <w:rFonts w:ascii="Arial" w:hAnsi="Arial"/>
                <w:b w:val="false"/>
                <w:i w:val="false"/>
                <w:caps w:val="false"/>
                <w:smallCaps w:val="false"/>
                <w:color w:val="231F20"/>
                <w:spacing w:val="0"/>
                <w:sz w:val="20"/>
              </w:rPr>
              <w:t>corporate</w:t>
            </w:r>
            <w:r>
              <w:rPr>
                <w:rFonts w:ascii="Times New Roman" w:hAnsi="Times New Roman"/>
                <w:b w:val="false"/>
                <w:i w:val="false"/>
                <w:caps w:val="false"/>
                <w:smallCaps w:val="false"/>
                <w:color w:val="231F20"/>
                <w:spacing w:val="-7"/>
                <w:sz w:val="20"/>
              </w:rPr>
              <w:t xml:space="preserve"> </w:t>
            </w:r>
            <w:r>
              <w:rPr>
                <w:rFonts w:ascii="Arial" w:hAnsi="Arial"/>
                <w:b w:val="false"/>
                <w:i w:val="false"/>
                <w:caps w:val="false"/>
                <w:smallCaps w:val="false"/>
                <w:color w:val="231F20"/>
                <w:spacing w:val="0"/>
                <w:sz w:val="20"/>
              </w:rPr>
              <w:t>governance</w:t>
            </w:r>
            <w:r>
              <w:rPr>
                <w:rFonts w:ascii="Times New Roman" w:hAnsi="Times New Roman"/>
                <w:b w:val="false"/>
                <w:i w:val="false"/>
                <w:caps w:val="false"/>
                <w:smallCaps w:val="false"/>
                <w:color w:val="231F20"/>
                <w:spacing w:val="-7"/>
                <w:sz w:val="20"/>
              </w:rPr>
              <w:t xml:space="preserve"> </w:t>
            </w:r>
            <w:r>
              <w:rPr>
                <w:rFonts w:ascii="Arial" w:hAnsi="Arial"/>
                <w:b w:val="false"/>
                <w:i w:val="false"/>
                <w:caps w:val="false"/>
                <w:smallCaps w:val="false"/>
                <w:color w:val="231F20"/>
                <w:spacing w:val="0"/>
                <w:sz w:val="20"/>
              </w:rPr>
              <w:t>committee.</w:t>
            </w:r>
          </w:p>
        </w:tc>
      </w:tr>
    </w:tbl>
    <w:p>
      <w:pPr>
        <w:pStyle w:val="TextBody"/>
        <w:spacing w:before="0" w:after="0"/>
        <w:rPr/>
      </w:pPr>
      <w:r>
        <w:rPr/>
        <w:t> </w:t>
      </w:r>
    </w:p>
    <w:p>
      <w:pPr>
        <w:pStyle w:val="TextBody"/>
        <w:spacing w:before="0" w:after="0"/>
        <w:rPr>
          <w:rFonts w:ascii="Arial" w:hAnsi="Arial"/>
          <w:b w:val="false"/>
          <w:i w:val="false"/>
          <w:caps w:val="false"/>
          <w:smallCaps w:val="false"/>
          <w:color w:val="231F20"/>
          <w:sz w:val="20"/>
        </w:rPr>
      </w:pPr>
      <w:r>
        <w:rPr>
          <w:rFonts w:ascii="Arial" w:hAnsi="Arial"/>
          <w:b w:val="false"/>
          <w:i w:val="false"/>
          <w:caps w:val="false"/>
          <w:smallCaps w:val="false"/>
          <w:color w:val="231F20"/>
          <w:sz w:val="20"/>
        </w:rPr>
        <w:t>Executive Officers</w:t>
      </w:r>
    </w:p>
    <w:p>
      <w:pPr>
        <w:pStyle w:val="TextBody"/>
        <w:spacing w:before="120" w:after="0"/>
        <w:rPr>
          <w:rFonts w:ascii="Arial" w:hAnsi="Arial"/>
          <w:b w:val="false"/>
          <w:i/>
          <w:caps w:val="false"/>
          <w:smallCaps w:val="false"/>
          <w:color w:val="231F20"/>
          <w:sz w:val="20"/>
        </w:rPr>
      </w:pPr>
      <w:r>
        <w:rPr>
          <w:rFonts w:ascii="Arial" w:hAnsi="Arial"/>
          <w:b w:val="false"/>
          <w:i/>
          <w:caps w:val="false"/>
          <w:smallCaps w:val="false"/>
          <w:color w:val="231F20"/>
          <w:sz w:val="20"/>
        </w:rPr>
        <w:t>Jean-Pierre Sommadossi, Ph.D.</w:t>
      </w:r>
      <w:r>
        <w:rPr>
          <w:rFonts w:ascii="Arial" w:hAnsi="Arial"/>
          <w:b w:val="false"/>
          <w:i w:val="false"/>
          <w:caps w:val="false"/>
          <w:smallCaps w:val="false"/>
          <w:color w:val="231F20"/>
          <w:sz w:val="20"/>
        </w:rPr>
        <w:t xml:space="preserve">, is the founder of our company and has served as our President and Chief Executive Officer and as Chairman of our Board since July 2012. Prior to that, he co-founded and held several roles at Idenix Pharmaceuticals, Inc., a biopharmaceutical company, from 1998 to 2010, including Principal Founder and Chief Executive Officer and Chairman. Dr. Sommadossi also co-founded Pharmasset, Inc., a biopharmaceutical company, in 1998. Dr. Sommadossi also serves on the board of directors of ABG Acquisition Corporation since February 2021 and as the Chairman of the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38</w:t>
      </w:r>
    </w:p>
    <w:p>
      <w:pPr>
        <w:pStyle w:val="HorizontalLine"/>
        <w:rPr/>
      </w:pPr>
      <w:r>
        <w:rPr/>
      </w:r>
    </w:p>
    <w:p>
      <w:pPr>
        <w:pStyle w:val="TextBody"/>
        <w:spacing w:before="120" w:after="0"/>
        <w:rPr>
          <w:rFonts w:ascii="Arial" w:hAnsi="Arial"/>
          <w:b w:val="false"/>
          <w:i/>
          <w:caps w:val="false"/>
          <w:smallCaps w:val="false"/>
          <w:color w:val="231F20"/>
          <w:sz w:val="20"/>
        </w:rPr>
      </w:pPr>
      <w:r>
        <w:rPr>
          <w:rFonts w:ascii="Arial" w:hAnsi="Arial"/>
          <w:b w:val="false"/>
          <w:i w:val="false"/>
          <w:caps w:val="false"/>
          <w:smallCaps w:val="false"/>
          <w:color w:val="231F20"/>
          <w:sz w:val="20"/>
        </w:rPr>
        <w:t>board of directors of Kezar</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Life Sciences, Inc., a biopharmaceutical company, since June 2015, Chairman of the board of directors of Panchrest, Inc., a marketing authorized</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representative in healthcare, since 2013, Chairman of the board of directors of Biothea</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Pharma, Inc., a biotechnology company since 2015.  Dr. Sommadossi also serves as a member of the board of directors of The BioExec</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Institute since 2004</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and as member</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of the Harvard Medical School Discovery Council since 2010.   Previously, Dr. Sommadossi served as Vice Chair of the board of directors of Rafael Pharmaceuticals, Inc.,</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a biopharmaceutical company, from October</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2016 to</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November 2020 and as Chair of the board of directors of PegaOne, Inc.,</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a biopharmaceutical company from September</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2020</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to January 2021.  Dr. Sommadossi received his Ph.D. and Pharm.D. degrees from the University of Marseilles in France. We believe</w:t>
      </w:r>
      <w:r>
        <w:rPr>
          <w:rFonts w:ascii="Arial" w:hAnsi="Arial"/>
          <w:b w:val="false"/>
          <w:i/>
          <w:caps w:val="false"/>
          <w:smallCaps w:val="false"/>
          <w:color w:val="231F20"/>
          <w:spacing w:val="-18"/>
          <w:sz w:val="20"/>
        </w:rPr>
        <w:t xml:space="preserve"> </w:t>
      </w:r>
      <w:r>
        <w:rPr>
          <w:rFonts w:ascii="Arial" w:hAnsi="Arial"/>
          <w:b w:val="false"/>
          <w:i w:val="false"/>
          <w:caps w:val="false"/>
          <w:smallCaps w:val="false"/>
          <w:color w:val="231F20"/>
          <w:sz w:val="20"/>
        </w:rPr>
        <w:t>that Dr. Sommadossi’s</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extensive scientific, operational, strategic and</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management experience in the biotech industry qualifies him to serve on our Board.</w:t>
      </w:r>
    </w:p>
    <w:p>
      <w:pPr>
        <w:pStyle w:val="TextBody"/>
        <w:spacing w:before="120" w:after="0"/>
        <w:rPr>
          <w:rFonts w:ascii="Arial" w:hAnsi="Arial"/>
          <w:b w:val="false"/>
          <w:i/>
          <w:caps w:val="false"/>
          <w:smallCaps w:val="false"/>
          <w:color w:val="231F20"/>
          <w:sz w:val="20"/>
        </w:rPr>
      </w:pPr>
      <w:r>
        <w:rPr>
          <w:rFonts w:ascii="Arial" w:hAnsi="Arial"/>
          <w:b w:val="false"/>
          <w:i/>
          <w:caps w:val="false"/>
          <w:smallCaps w:val="false"/>
          <w:color w:val="231F20"/>
          <w:sz w:val="20"/>
        </w:rPr>
        <w:t xml:space="preserve">Andrea Corcoran </w:t>
      </w:r>
      <w:r>
        <w:rPr>
          <w:rFonts w:ascii="Arial" w:hAnsi="Arial"/>
          <w:b w:val="false"/>
          <w:i w:val="false"/>
          <w:caps w:val="false"/>
          <w:smallCaps w:val="false"/>
          <w:color w:val="231F20"/>
          <w:sz w:val="20"/>
        </w:rPr>
        <w:t>has served as our Chief Financial Officer since October 2020, our corporate Secretary since September 2014 and our Executive Vice President, Legal and Administration since December 2013. Prior to joining us, Ms. Corcoran served as Senior Vice President, Strategy and Finance at iBio, Inc., a biotechnology company, from 2011 to 2012, as General Counsel and Secretary at Tolerx, Inc., a biopharmaceutical company, from 2007 to 2011, and as Executive Vice President of Idenix Pharmaceuticals, Inc. from 1998 to 2007. Ms. Corcoran received her J.D. from Boston College Law School and her B.S. from Providence College.</w:t>
      </w:r>
    </w:p>
    <w:p>
      <w:pPr>
        <w:pStyle w:val="TextBody"/>
        <w:spacing w:before="120" w:after="0"/>
        <w:rPr>
          <w:rFonts w:ascii="Arial" w:hAnsi="Arial"/>
          <w:b w:val="false"/>
          <w:i/>
          <w:caps w:val="false"/>
          <w:smallCaps w:val="false"/>
          <w:color w:val="231F20"/>
          <w:sz w:val="20"/>
        </w:rPr>
      </w:pPr>
      <w:r>
        <w:rPr>
          <w:rFonts w:ascii="Arial" w:hAnsi="Arial"/>
          <w:b w:val="false"/>
          <w:i/>
          <w:caps w:val="false"/>
          <w:smallCaps w:val="false"/>
          <w:color w:val="231F20"/>
          <w:sz w:val="20"/>
        </w:rPr>
        <w:t>Janet Hammond, M.D., Ph.D.</w:t>
      </w:r>
      <w:r>
        <w:rPr>
          <w:rFonts w:ascii="Arial" w:hAnsi="Arial"/>
          <w:b w:val="false"/>
          <w:i w:val="false"/>
          <w:caps w:val="false"/>
          <w:smallCaps w:val="false"/>
          <w:color w:val="231F20"/>
          <w:sz w:val="20"/>
        </w:rPr>
        <w:t>, has served as our Chief Development Officer since August 2020. Prior to joining us, Dr. Hammond served at AbbVie, Inc., a biopharmaceutical company, from November 2016 to August 2020 as Vice President and Therapeutic Area Head for General Medicine and Infectious Disease Development and at F. Hoffmann-La Roche from March 2011 to November 2016 as Senior Vice President, Global Head of Infectious Diseases and Head of Pharmaceutical Research and Early Development China. Dr. Hammond received her M.D. and Ph.D. from the University of Cape Town, South Africa, and her Sc.M. in Clinical Investigation from Johns Hopkins University School of Hygiene and Public Health.</w:t>
      </w:r>
    </w:p>
    <w:p>
      <w:pPr>
        <w:pStyle w:val="TextBody"/>
        <w:spacing w:before="120" w:after="0"/>
        <w:rPr>
          <w:rFonts w:ascii="Arial" w:hAnsi="Arial"/>
          <w:b w:val="false"/>
          <w:i/>
          <w:caps w:val="false"/>
          <w:smallCaps w:val="false"/>
          <w:color w:val="231F20"/>
          <w:spacing w:val="-3"/>
          <w:sz w:val="20"/>
        </w:rPr>
      </w:pPr>
      <w:r>
        <w:rPr>
          <w:rFonts w:ascii="Arial" w:hAnsi="Arial"/>
          <w:b w:val="false"/>
          <w:i/>
          <w:caps w:val="false"/>
          <w:smallCaps w:val="false"/>
          <w:color w:val="231F20"/>
          <w:spacing w:val="-3"/>
          <w:sz w:val="20"/>
        </w:rPr>
        <w:t xml:space="preserve">Maria Arantxa Horga, M.D., </w:t>
      </w:r>
      <w:r>
        <w:rPr>
          <w:rFonts w:ascii="Arial" w:hAnsi="Arial"/>
          <w:b w:val="false"/>
          <w:i w:val="false"/>
          <w:caps w:val="false"/>
          <w:smallCaps w:val="false"/>
          <w:color w:val="231F20"/>
          <w:spacing w:val="-3"/>
          <w:sz w:val="20"/>
        </w:rPr>
        <w:t>has served as our Chief Medical Officer since January 2021 and previously served as our Acting Chief Medical Officer since October 2020 and as Executive Vice President, Clinical Sciences since August 2020. Prior to joining us, Dr. Horga served as Vice President, Pharmacovigilance and Medical Affairs at Biohaven Pharmaceuticals from October 2019 to August 2020. Prior to that, Dr. Horga served as Vice President, Global Head of Clinical Program Execution, Site Head of the Roche NY Innovation Center from July 2017 to August 2019, and as Global Head of Translational Medicine, Infectious Diseases</w:t>
      </w:r>
      <w:r>
        <w:rPr>
          <w:rFonts w:ascii="Arial" w:hAnsi="Arial"/>
          <w:b w:val="false"/>
          <w:i/>
          <w:caps w:val="false"/>
          <w:smallCaps w:val="false"/>
          <w:color w:val="231F20"/>
          <w:spacing w:val="-12"/>
          <w:sz w:val="20"/>
        </w:rPr>
        <w:t xml:space="preserve"> </w:t>
      </w:r>
      <w:r>
        <w:rPr>
          <w:rFonts w:ascii="Arial" w:hAnsi="Arial"/>
          <w:b w:val="false"/>
          <w:i w:val="false"/>
          <w:caps w:val="false"/>
          <w:smallCaps w:val="false"/>
          <w:color w:val="231F20"/>
          <w:spacing w:val="-3"/>
          <w:sz w:val="20"/>
        </w:rPr>
        <w:t>at</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F.</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Hoffmann-La</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Roche</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from</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2012</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to</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2016.</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Dr.</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Horga</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received</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her</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M.D.</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from</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the</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Santander</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School</w:t>
      </w:r>
      <w:r>
        <w:rPr>
          <w:rFonts w:ascii="Arial" w:hAnsi="Arial"/>
          <w:b w:val="false"/>
          <w:i/>
          <w:caps w:val="false"/>
          <w:smallCaps w:val="false"/>
          <w:color w:val="231F20"/>
          <w:spacing w:val="-13"/>
          <w:sz w:val="20"/>
        </w:rPr>
        <w:t xml:space="preserve"> </w:t>
      </w:r>
      <w:r>
        <w:rPr>
          <w:rFonts w:ascii="Arial" w:hAnsi="Arial"/>
          <w:b w:val="false"/>
          <w:i w:val="false"/>
          <w:caps w:val="false"/>
          <w:smallCaps w:val="false"/>
          <w:color w:val="231F20"/>
          <w:spacing w:val="-3"/>
          <w:sz w:val="20"/>
        </w:rPr>
        <w:t>of Medicine, and completed her residency in Pediatrics and a fellowship in Pediatric Infectious Diseases at the Mount Sinai School of</w:t>
      </w:r>
      <w:r>
        <w:rPr>
          <w:rFonts w:ascii="Arial" w:hAnsi="Arial"/>
          <w:b w:val="false"/>
          <w:i/>
          <w:caps w:val="false"/>
          <w:smallCaps w:val="false"/>
          <w:color w:val="231F20"/>
          <w:spacing w:val="-17"/>
          <w:sz w:val="20"/>
        </w:rPr>
        <w:t xml:space="preserve"> </w:t>
      </w:r>
      <w:r>
        <w:rPr>
          <w:rFonts w:ascii="Arial" w:hAnsi="Arial"/>
          <w:b w:val="false"/>
          <w:i w:val="false"/>
          <w:caps w:val="false"/>
          <w:smallCaps w:val="false"/>
          <w:color w:val="231F20"/>
          <w:spacing w:val="-3"/>
          <w:sz w:val="20"/>
        </w:rPr>
        <w:t>Medicine.</w:t>
      </w:r>
    </w:p>
    <w:p>
      <w:pPr>
        <w:pStyle w:val="TextBody"/>
        <w:spacing w:before="120" w:after="0"/>
        <w:rPr>
          <w:rFonts w:ascii="Arial" w:hAnsi="Arial"/>
          <w:b w:val="false"/>
          <w:i/>
          <w:caps w:val="false"/>
          <w:smallCaps w:val="false"/>
          <w:color w:val="231F20"/>
          <w:sz w:val="20"/>
        </w:rPr>
      </w:pPr>
      <w:r>
        <w:rPr>
          <w:rFonts w:ascii="Arial" w:hAnsi="Arial"/>
          <w:b w:val="false"/>
          <w:i/>
          <w:caps w:val="false"/>
          <w:smallCaps w:val="false"/>
          <w:color w:val="231F20"/>
          <w:sz w:val="20"/>
        </w:rPr>
        <w:t xml:space="preserve">John Vavricka </w:t>
      </w:r>
      <w:r>
        <w:rPr>
          <w:rFonts w:ascii="Arial" w:hAnsi="Arial"/>
          <w:b w:val="false"/>
          <w:i w:val="false"/>
          <w:caps w:val="false"/>
          <w:smallCaps w:val="false"/>
          <w:color w:val="231F20"/>
          <w:sz w:val="20"/>
        </w:rPr>
        <w:t>has served as our Chief Commercial Officer since October 2018. Prior to joining us, Mr. Vavricka cofounded Biothea Pharma, Inc., a biotechnology company, in 2015, and was the Founder, Chief Executive Officer and President of Iroko Pharmaceuticals, Inc., a global pharmaceuticals company, from 2007 to 2015. Mr. Vavricka received his B.S. from Northwestern University.</w:t>
      </w:r>
    </w:p>
    <w:p>
      <w:pPr>
        <w:pStyle w:val="TextBody"/>
        <w:spacing w:before="120" w:after="0"/>
        <w:rPr>
          <w:rFonts w:ascii="Arial" w:hAnsi="Arial"/>
          <w:b w:val="false"/>
          <w:i/>
          <w:caps w:val="false"/>
          <w:smallCaps w:val="false"/>
          <w:color w:val="231F20"/>
          <w:sz w:val="20"/>
        </w:rPr>
      </w:pPr>
      <w:r>
        <w:rPr>
          <w:rFonts w:ascii="Arial" w:hAnsi="Arial"/>
          <w:b w:val="false"/>
          <w:i/>
          <w:caps w:val="false"/>
          <w:smallCaps w:val="false"/>
          <w:color w:val="231F20"/>
          <w:sz w:val="20"/>
        </w:rPr>
        <w:t xml:space="preserve">Wayne Foster </w:t>
      </w:r>
      <w:r>
        <w:rPr>
          <w:rFonts w:ascii="Arial" w:hAnsi="Arial"/>
          <w:b w:val="false"/>
          <w:i w:val="false"/>
          <w:caps w:val="false"/>
          <w:smallCaps w:val="false"/>
          <w:color w:val="231F20"/>
          <w:sz w:val="20"/>
        </w:rPr>
        <w:t>has served as our Senior Vice President, Finance and Administration since December 2019. Prior to joining us, Mr. Foster served as Vice President of Finance at Mersana Therapeutics, Inc., a biopharmaceutical company, from January 2012 to September 2019. Mr. Foster received his B.B.A. from the University of Massachusetts</w:t>
      </w:r>
      <w:r>
        <w:rPr>
          <w:rFonts w:ascii="Arial" w:hAnsi="Arial"/>
          <w:b w:val="false"/>
          <w:i/>
          <w:caps w:val="false"/>
          <w:smallCaps w:val="false"/>
          <w:color w:val="231F20"/>
          <w:spacing w:val="-14"/>
          <w:sz w:val="20"/>
        </w:rPr>
        <w:t xml:space="preserve"> </w:t>
      </w:r>
      <w:r>
        <w:rPr>
          <w:rFonts w:ascii="Arial" w:hAnsi="Arial"/>
          <w:b w:val="false"/>
          <w:i w:val="false"/>
          <w:caps w:val="false"/>
          <w:smallCaps w:val="false"/>
          <w:color w:val="231F20"/>
          <w:sz w:val="20"/>
        </w:rPr>
        <w:t>Amherst.</w:t>
      </w:r>
    </w:p>
    <w:p>
      <w:pPr>
        <w:pStyle w:val="TextBody"/>
        <w:spacing w:before="0" w:after="0"/>
        <w:rPr/>
      </w:pPr>
      <w:r>
        <w:rPr/>
        <w:t> </w:t>
      </w:r>
    </w:p>
    <w:p>
      <w:pPr>
        <w:pStyle w:val="TextBody"/>
        <w:spacing w:before="0" w:after="0"/>
        <w:rPr>
          <w:rFonts w:ascii="Arial" w:hAnsi="Arial"/>
          <w:b w:val="false"/>
          <w:i w:val="false"/>
          <w:caps w:val="false"/>
          <w:smallCaps w:val="false"/>
          <w:color w:val="231F20"/>
          <w:sz w:val="20"/>
        </w:rPr>
      </w:pPr>
      <w:r>
        <w:rPr>
          <w:rFonts w:ascii="Arial" w:hAnsi="Arial"/>
          <w:b w:val="false"/>
          <w:i w:val="false"/>
          <w:caps w:val="false"/>
          <w:smallCaps w:val="false"/>
          <w:color w:val="231F20"/>
          <w:sz w:val="20"/>
        </w:rPr>
        <w:t>Directors</w:t>
      </w:r>
    </w:p>
    <w:p>
      <w:pPr>
        <w:pStyle w:val="TextBody"/>
        <w:spacing w:before="120" w:after="0"/>
        <w:rPr>
          <w:rFonts w:ascii="Arial" w:hAnsi="Arial"/>
          <w:b w:val="false"/>
          <w:i/>
          <w:caps w:val="false"/>
          <w:smallCaps w:val="false"/>
          <w:color w:val="231F20"/>
          <w:sz w:val="20"/>
        </w:rPr>
      </w:pPr>
      <w:r>
        <w:rPr>
          <w:rFonts w:ascii="Arial" w:hAnsi="Arial"/>
          <w:b w:val="false"/>
          <w:i/>
          <w:caps w:val="false"/>
          <w:smallCaps w:val="false"/>
          <w:color w:val="231F20"/>
          <w:sz w:val="20"/>
        </w:rPr>
        <w:t xml:space="preserve">Franklin Berger </w:t>
      </w:r>
      <w:r>
        <w:rPr>
          <w:rFonts w:ascii="Arial" w:hAnsi="Arial"/>
          <w:b w:val="false"/>
          <w:i w:val="false"/>
          <w:caps w:val="false"/>
          <w:smallCaps w:val="false"/>
          <w:color w:val="231F20"/>
          <w:sz w:val="20"/>
        </w:rPr>
        <w:t xml:space="preserve">has served as a member of our Board since September 2019. Mr. Berger is a consultant to biotechnology industry participants, including major biopharmaceutical firms, mid-capitalization biotechnology companies, specialist asset managers and venture capital companies, providing business development, strategic, financing, partnering, and royalty acquisition advice. Mr. Berger is also a biotechnology industry analyst with experience in capital markets and financial analysis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39</w:t>
      </w:r>
    </w:p>
    <w:p>
      <w:pPr>
        <w:pStyle w:val="HorizontalLine"/>
        <w:rPr/>
      </w:pPr>
      <w:r>
        <w:rPr/>
      </w:r>
    </w:p>
    <w:p>
      <w:pPr>
        <w:pStyle w:val="TextBody"/>
        <w:spacing w:before="120" w:after="0"/>
        <w:rPr>
          <w:rFonts w:ascii="Arial" w:hAnsi="Arial"/>
          <w:b w:val="false"/>
          <w:i/>
          <w:caps w:val="false"/>
          <w:smallCaps w:val="false"/>
          <w:color w:val="231F20"/>
          <w:sz w:val="20"/>
        </w:rPr>
      </w:pPr>
      <w:r>
        <w:rPr>
          <w:rFonts w:ascii="Arial" w:hAnsi="Arial"/>
          <w:b w:val="false"/>
          <w:i w:val="false"/>
          <w:caps w:val="false"/>
          <w:smallCaps w:val="false"/>
          <w:color w:val="231F20"/>
          <w:sz w:val="20"/>
        </w:rPr>
        <w:t>and a Founder and Managing Director at FMB Research. Mr. Berger also serves on the board of directors of BELLUS Health, Inc. since May 2010, ESSA Pharma Inc. since March 2015, Proteostasis</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Therapeutics, Inc. since February 2016, Kezar</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Life Sciences, Inc. since January 2016, and Five Prime Therapeutics, Inc. since October 2014. Mr. Berger previously served on the board of directors of Tocagen, Inc. from October 2014 to December 2020. Mr. Berger received his B.A. and M.A. from Johns Hopkins University and his M.B.A. from Harvard Business School. We believe that Mr. Berger’s financial background and experience as an equity analyst in the biotechnology industry combined with his experience serving on the boards of directors of multiple public companies qualifies him to serve on our Board.</w:t>
      </w:r>
    </w:p>
    <w:p>
      <w:pPr>
        <w:pStyle w:val="TextBody"/>
        <w:spacing w:before="120" w:after="0"/>
        <w:rPr>
          <w:rFonts w:ascii="Arial" w:hAnsi="Arial"/>
          <w:b w:val="false"/>
          <w:i/>
          <w:caps w:val="false"/>
          <w:smallCaps w:val="false"/>
          <w:color w:val="231F20"/>
          <w:sz w:val="20"/>
        </w:rPr>
      </w:pPr>
      <w:r>
        <w:rPr>
          <w:rFonts w:ascii="Arial" w:hAnsi="Arial"/>
          <w:b w:val="false"/>
          <w:i/>
          <w:caps w:val="false"/>
          <w:smallCaps w:val="false"/>
          <w:color w:val="231F20"/>
          <w:sz w:val="20"/>
        </w:rPr>
        <w:t>Isaac Cheng, M.D.</w:t>
      </w:r>
      <w:r>
        <w:rPr>
          <w:rFonts w:ascii="Arial" w:hAnsi="Arial"/>
          <w:b w:val="false"/>
          <w:i w:val="false"/>
          <w:caps w:val="false"/>
          <w:smallCaps w:val="false"/>
          <w:color w:val="231F20"/>
          <w:sz w:val="20"/>
        </w:rPr>
        <w:t>, has served as a member of our Board since March 2019. Dr. Cheng is an investment professional at the Morningside Technology Advisory, LLC, which advises as to venture capital and private equity opportunities. Dr. Cheng served on the board of directors of NuCana PLC from May 2017 to March 2020 and Liquidia Technologies, Inc., from January 2010 to January 2018. Dr. Cheng received his M.D. and B.S. from the Tufts University School of Medicine. We believe Dr. Cheng is qualified to serve on our Board due to his financial expertise, experience as a venture capitalist, industry experience and his experience in serving on the board of directors of public and private life sciences companies.</w:t>
      </w:r>
    </w:p>
    <w:p>
      <w:pPr>
        <w:pStyle w:val="TextBody"/>
        <w:spacing w:before="120" w:after="0"/>
        <w:rPr>
          <w:rFonts w:ascii="Arial" w:hAnsi="Arial"/>
          <w:b w:val="false"/>
          <w:i/>
          <w:caps w:val="false"/>
          <w:smallCaps w:val="false"/>
          <w:color w:val="231F20"/>
          <w:sz w:val="20"/>
        </w:rPr>
      </w:pPr>
      <w:r>
        <w:rPr>
          <w:rFonts w:ascii="Arial" w:hAnsi="Arial"/>
          <w:b w:val="false"/>
          <w:i/>
          <w:caps w:val="false"/>
          <w:smallCaps w:val="false"/>
          <w:color w:val="231F20"/>
          <w:sz w:val="20"/>
        </w:rPr>
        <w:t xml:space="preserve">Barbara Duncan </w:t>
      </w:r>
      <w:r>
        <w:rPr>
          <w:rFonts w:ascii="Arial" w:hAnsi="Arial"/>
          <w:b w:val="false"/>
          <w:i w:val="false"/>
          <w:caps w:val="false"/>
          <w:smallCaps w:val="false"/>
          <w:color w:val="231F20"/>
          <w:sz w:val="20"/>
        </w:rPr>
        <w:t>has served as a member of our Board since October 2020. Ms. Duncan served at Intercept Pharmaceuticals, Inc. as Chief Financial Officer and Treasurer from May 2009 to June 2016. Ms. Duncan serves as Chair of the board of directors of Fusion Pharmaceuticals Inc. since November 2021 and on the board of directors of Jounce Therapeutics, Inc. since June 2016, Adaptimmune Therapeutics plc since June 2016, ObsEva S.A. since November 2016, and Ovid Therapeutics, Inc. since June 2017. Previously, Ms. Duncan served on the boards of directors of Immunomedics, Inc. from March 2019 to October 2020, Innoviva, Inc., from November 2016 through April 2018, and Aevi Genomic Medicine, Inc., from June 2015 through January 2020. Ms. Duncan received her B.A. from Louisiana State University and her M.B.A. from the Wharton School, University of Pennsylvania. We believe Ms. Duncan is qualified to serve on our Board due to her experience in the biotechnology industry and with public companies.</w:t>
      </w:r>
    </w:p>
    <w:p>
      <w:pPr>
        <w:pStyle w:val="TextBody"/>
        <w:spacing w:before="120" w:after="0"/>
        <w:rPr>
          <w:rFonts w:ascii="Arial" w:hAnsi="Arial"/>
          <w:b w:val="false"/>
          <w:i w:val="false"/>
          <w:caps w:val="false"/>
          <w:smallCaps w:val="false"/>
          <w:color w:val="231F20"/>
          <w:sz w:val="20"/>
        </w:rPr>
      </w:pPr>
      <w:r>
        <w:rPr>
          <w:rFonts w:ascii="Arial" w:hAnsi="Arial"/>
          <w:b w:val="false"/>
          <w:i w:val="false"/>
          <w:caps w:val="false"/>
          <w:smallCaps w:val="false"/>
          <w:color w:val="231F20"/>
          <w:sz w:val="20"/>
        </w:rPr>
        <w:t>A</w:t>
      </w:r>
      <w:r>
        <w:rPr>
          <w:rFonts w:ascii="Arial" w:hAnsi="Arial"/>
          <w:b w:val="false"/>
          <w:i/>
          <w:caps w:val="false"/>
          <w:smallCaps w:val="false"/>
          <w:color w:val="231F20"/>
          <w:sz w:val="20"/>
        </w:rPr>
        <w:t>ndrew Hack, M.D., Ph.D.</w:t>
      </w:r>
      <w:r>
        <w:rPr>
          <w:rFonts w:ascii="Arial" w:hAnsi="Arial"/>
          <w:b w:val="false"/>
          <w:i w:val="false"/>
          <w:caps w:val="false"/>
          <w:smallCaps w:val="false"/>
          <w:color w:val="231F20"/>
          <w:sz w:val="20"/>
        </w:rPr>
        <w:t>, has served on our Board since May 2020. Dr. Hack is a Partner and Managing Director of Bain Capital Life Sciences, a private equity fund that invests in biopharmaceutical, specialty pharmaceutical, medical device, diagnostics, and enabling life science technology companies globally. From July 2015 to March 2019, Dr. Hack served as Chief Financial Officer of Editas Medicine, Inc. From May 2011 to June 2015, Dr. Hack was a portfolio manager at Millennium Management LLC, an institutional asset manager, where he ran a healthcare fund focused on biotechnology, pharmaceutical, and medical device companies. From December 2008 to May 2011, Dr. Hack was a healthcare analyst at HealthCor Management, L.P., a registered investment advisor. Prior to December 2008, Dr. Hack served as a healthcare analyst for hedge fund Carlyle-Blue Wave Partners and as principal of the MPM BioEquities Fund, a hedge fund that was affiliated with MPM Capital. Dr. Hack began his investment career covering the biotechnology sector at investment banks Banc of America Securities LLC and Rodman &amp; Renshaw, LLC.  Previously, Dr. Hack was Director of Life Sciences and co-founder of Reify Corporation, a life science tools and drug discovery company. Dr. Hack also serves as a director of Affinivax, Inc., Allena Pharmaceuticals, Inc., BCLS Acquisition Corp., Dynavax Technologies, Inc., Imperative Care, Inc., JenaValve Technology, Inc., Mersana Therapeutics, Inc. and Xilio Therapeutics, Inc. Dr. Hack received his B.A. in biology with special honors from the University of Chicago,</w:t>
      </w:r>
      <w:r>
        <w:rPr>
          <w:rFonts w:ascii="Arial" w:hAnsi="Arial"/>
          <w:b w:val="false"/>
          <w:i w:val="false"/>
          <w:caps w:val="false"/>
          <w:smallCaps w:val="false"/>
          <w:color w:val="231F20"/>
          <w:spacing w:val="-3"/>
          <w:sz w:val="20"/>
        </w:rPr>
        <w:t xml:space="preserve"> </w:t>
      </w:r>
      <w:r>
        <w:rPr>
          <w:rFonts w:ascii="Arial" w:hAnsi="Arial"/>
          <w:b w:val="false"/>
          <w:i w:val="false"/>
          <w:caps w:val="false"/>
          <w:smallCaps w:val="false"/>
          <w:color w:val="231F20"/>
          <w:sz w:val="20"/>
        </w:rPr>
        <w:t>where</w:t>
      </w:r>
      <w:r>
        <w:rPr>
          <w:rFonts w:ascii="Arial" w:hAnsi="Arial"/>
          <w:b w:val="false"/>
          <w:i w:val="false"/>
          <w:caps w:val="false"/>
          <w:smallCaps w:val="false"/>
          <w:color w:val="231F20"/>
          <w:spacing w:val="-3"/>
          <w:sz w:val="20"/>
        </w:rPr>
        <w:t xml:space="preserve"> </w:t>
      </w:r>
      <w:r>
        <w:rPr>
          <w:rFonts w:ascii="Arial" w:hAnsi="Arial"/>
          <w:b w:val="false"/>
          <w:i w:val="false"/>
          <w:caps w:val="false"/>
          <w:smallCaps w:val="false"/>
          <w:color w:val="231F20"/>
          <w:sz w:val="20"/>
        </w:rPr>
        <w:t>he</w:t>
      </w:r>
      <w:r>
        <w:rPr>
          <w:rFonts w:ascii="Arial" w:hAnsi="Arial"/>
          <w:b w:val="false"/>
          <w:i w:val="false"/>
          <w:caps w:val="false"/>
          <w:smallCaps w:val="false"/>
          <w:color w:val="231F20"/>
          <w:spacing w:val="-3"/>
          <w:sz w:val="20"/>
        </w:rPr>
        <w:t xml:space="preserve"> </w:t>
      </w:r>
      <w:r>
        <w:rPr>
          <w:rFonts w:ascii="Arial" w:hAnsi="Arial"/>
          <w:b w:val="false"/>
          <w:i w:val="false"/>
          <w:caps w:val="false"/>
          <w:smallCaps w:val="false"/>
          <w:color w:val="231F20"/>
          <w:sz w:val="20"/>
        </w:rPr>
        <w:t>also</w:t>
      </w:r>
      <w:r>
        <w:rPr>
          <w:rFonts w:ascii="Arial" w:hAnsi="Arial"/>
          <w:b w:val="false"/>
          <w:i w:val="false"/>
          <w:caps w:val="false"/>
          <w:smallCaps w:val="false"/>
          <w:color w:val="231F20"/>
          <w:spacing w:val="-2"/>
          <w:sz w:val="20"/>
        </w:rPr>
        <w:t xml:space="preserve"> </w:t>
      </w:r>
      <w:r>
        <w:rPr>
          <w:rFonts w:ascii="Arial" w:hAnsi="Arial"/>
          <w:b w:val="false"/>
          <w:i w:val="false"/>
          <w:caps w:val="false"/>
          <w:smallCaps w:val="false"/>
          <w:color w:val="231F20"/>
          <w:sz w:val="20"/>
        </w:rPr>
        <w:t>received</w:t>
      </w:r>
      <w:r>
        <w:rPr>
          <w:rFonts w:ascii="Arial" w:hAnsi="Arial"/>
          <w:b w:val="false"/>
          <w:i w:val="false"/>
          <w:caps w:val="false"/>
          <w:smallCaps w:val="false"/>
          <w:color w:val="231F20"/>
          <w:spacing w:val="-4"/>
          <w:sz w:val="20"/>
        </w:rPr>
        <w:t xml:space="preserve"> </w:t>
      </w:r>
      <w:r>
        <w:rPr>
          <w:rFonts w:ascii="Arial" w:hAnsi="Arial"/>
          <w:b w:val="false"/>
          <w:i w:val="false"/>
          <w:caps w:val="false"/>
          <w:smallCaps w:val="false"/>
          <w:color w:val="231F20"/>
          <w:sz w:val="20"/>
        </w:rPr>
        <w:t>his</w:t>
      </w:r>
      <w:r>
        <w:rPr>
          <w:rFonts w:ascii="Arial" w:hAnsi="Arial"/>
          <w:b w:val="false"/>
          <w:i w:val="false"/>
          <w:caps w:val="false"/>
          <w:smallCaps w:val="false"/>
          <w:color w:val="231F20"/>
          <w:spacing w:val="-2"/>
          <w:sz w:val="20"/>
        </w:rPr>
        <w:t xml:space="preserve"> </w:t>
      </w:r>
      <w:r>
        <w:rPr>
          <w:rFonts w:ascii="Arial" w:hAnsi="Arial"/>
          <w:b w:val="false"/>
          <w:i w:val="false"/>
          <w:caps w:val="false"/>
          <w:smallCaps w:val="false"/>
          <w:color w:val="231F20"/>
          <w:sz w:val="20"/>
        </w:rPr>
        <w:t>M.D.</w:t>
      </w:r>
      <w:r>
        <w:rPr>
          <w:rFonts w:ascii="Arial" w:hAnsi="Arial"/>
          <w:b w:val="false"/>
          <w:i w:val="false"/>
          <w:caps w:val="false"/>
          <w:smallCaps w:val="false"/>
          <w:color w:val="231F20"/>
          <w:spacing w:val="-2"/>
          <w:sz w:val="20"/>
        </w:rPr>
        <w:t xml:space="preserve"> </w:t>
      </w:r>
      <w:r>
        <w:rPr>
          <w:rFonts w:ascii="Arial" w:hAnsi="Arial"/>
          <w:b w:val="false"/>
          <w:i w:val="false"/>
          <w:caps w:val="false"/>
          <w:smallCaps w:val="false"/>
          <w:color w:val="231F20"/>
          <w:sz w:val="20"/>
        </w:rPr>
        <w:t>and</w:t>
      </w:r>
      <w:r>
        <w:rPr>
          <w:rFonts w:ascii="Arial" w:hAnsi="Arial"/>
          <w:b w:val="false"/>
          <w:i w:val="false"/>
          <w:caps w:val="false"/>
          <w:smallCaps w:val="false"/>
          <w:color w:val="231F20"/>
          <w:spacing w:val="-3"/>
          <w:sz w:val="20"/>
        </w:rPr>
        <w:t xml:space="preserve"> </w:t>
      </w:r>
      <w:r>
        <w:rPr>
          <w:rFonts w:ascii="Arial" w:hAnsi="Arial"/>
          <w:b w:val="false"/>
          <w:i w:val="false"/>
          <w:caps w:val="false"/>
          <w:smallCaps w:val="false"/>
          <w:color w:val="231F20"/>
          <w:sz w:val="20"/>
        </w:rPr>
        <w:t>Ph.D.</w:t>
      </w:r>
      <w:r>
        <w:rPr>
          <w:rFonts w:ascii="Arial" w:hAnsi="Arial"/>
          <w:b w:val="false"/>
          <w:i w:val="false"/>
          <w:caps w:val="false"/>
          <w:smallCaps w:val="false"/>
          <w:color w:val="231F20"/>
          <w:spacing w:val="-2"/>
          <w:sz w:val="20"/>
        </w:rPr>
        <w:t xml:space="preserve"> </w:t>
      </w:r>
      <w:r>
        <w:rPr>
          <w:rFonts w:ascii="Arial" w:hAnsi="Arial"/>
          <w:b w:val="false"/>
          <w:i w:val="false"/>
          <w:caps w:val="false"/>
          <w:smallCaps w:val="false"/>
          <w:color w:val="231F20"/>
          <w:sz w:val="20"/>
        </w:rPr>
        <w:t>We</w:t>
      </w:r>
      <w:r>
        <w:rPr>
          <w:rFonts w:ascii="Arial" w:hAnsi="Arial"/>
          <w:b w:val="false"/>
          <w:i w:val="false"/>
          <w:caps w:val="false"/>
          <w:smallCaps w:val="false"/>
          <w:color w:val="231F20"/>
          <w:spacing w:val="-3"/>
          <w:sz w:val="20"/>
        </w:rPr>
        <w:t xml:space="preserve"> </w:t>
      </w:r>
      <w:r>
        <w:rPr>
          <w:rFonts w:ascii="Arial" w:hAnsi="Arial"/>
          <w:b w:val="false"/>
          <w:i w:val="false"/>
          <w:caps w:val="false"/>
          <w:smallCaps w:val="false"/>
          <w:color w:val="231F20"/>
          <w:sz w:val="20"/>
        </w:rPr>
        <w:t>believe</w:t>
      </w:r>
      <w:r>
        <w:rPr>
          <w:rFonts w:ascii="Arial" w:hAnsi="Arial"/>
          <w:b w:val="false"/>
          <w:i w:val="false"/>
          <w:caps w:val="false"/>
          <w:smallCaps w:val="false"/>
          <w:color w:val="231F20"/>
          <w:spacing w:val="-4"/>
          <w:sz w:val="20"/>
        </w:rPr>
        <w:t xml:space="preserve"> </w:t>
      </w:r>
      <w:r>
        <w:rPr>
          <w:rFonts w:ascii="Arial" w:hAnsi="Arial"/>
          <w:b w:val="false"/>
          <w:i w:val="false"/>
          <w:caps w:val="false"/>
          <w:smallCaps w:val="false"/>
          <w:color w:val="231F20"/>
          <w:sz w:val="20"/>
        </w:rPr>
        <w:t>Dr.</w:t>
      </w:r>
      <w:r>
        <w:rPr>
          <w:rFonts w:ascii="Arial" w:hAnsi="Arial"/>
          <w:b w:val="false"/>
          <w:i w:val="false"/>
          <w:caps w:val="false"/>
          <w:smallCaps w:val="false"/>
          <w:color w:val="231F20"/>
          <w:spacing w:val="-2"/>
          <w:sz w:val="20"/>
        </w:rPr>
        <w:t xml:space="preserve"> </w:t>
      </w:r>
      <w:r>
        <w:rPr>
          <w:rFonts w:ascii="Arial" w:hAnsi="Arial"/>
          <w:b w:val="false"/>
          <w:i w:val="false"/>
          <w:caps w:val="false"/>
          <w:smallCaps w:val="false"/>
          <w:color w:val="231F20"/>
          <w:sz w:val="20"/>
        </w:rPr>
        <w:t>Hack</w:t>
      </w:r>
      <w:r>
        <w:rPr>
          <w:rFonts w:ascii="Arial" w:hAnsi="Arial"/>
          <w:b w:val="false"/>
          <w:i w:val="false"/>
          <w:caps w:val="false"/>
          <w:smallCaps w:val="false"/>
          <w:color w:val="231F20"/>
          <w:spacing w:val="-2"/>
          <w:sz w:val="20"/>
        </w:rPr>
        <w:t xml:space="preserve"> </w:t>
      </w:r>
      <w:r>
        <w:rPr>
          <w:rFonts w:ascii="Arial" w:hAnsi="Arial"/>
          <w:b w:val="false"/>
          <w:i w:val="false"/>
          <w:caps w:val="false"/>
          <w:smallCaps w:val="false"/>
          <w:color w:val="231F20"/>
          <w:sz w:val="20"/>
        </w:rPr>
        <w:t>is</w:t>
      </w:r>
      <w:r>
        <w:rPr>
          <w:rFonts w:ascii="Arial" w:hAnsi="Arial"/>
          <w:b w:val="false"/>
          <w:i w:val="false"/>
          <w:caps w:val="false"/>
          <w:smallCaps w:val="false"/>
          <w:color w:val="231F20"/>
          <w:spacing w:val="-3"/>
          <w:sz w:val="20"/>
        </w:rPr>
        <w:t xml:space="preserve"> </w:t>
      </w:r>
      <w:r>
        <w:rPr>
          <w:rFonts w:ascii="Arial" w:hAnsi="Arial"/>
          <w:b w:val="false"/>
          <w:i w:val="false"/>
          <w:caps w:val="false"/>
          <w:smallCaps w:val="false"/>
          <w:color w:val="231F20"/>
          <w:sz w:val="20"/>
        </w:rPr>
        <w:t>qualified</w:t>
      </w:r>
      <w:r>
        <w:rPr>
          <w:rFonts w:ascii="Arial" w:hAnsi="Arial"/>
          <w:b w:val="false"/>
          <w:i w:val="false"/>
          <w:caps w:val="false"/>
          <w:smallCaps w:val="false"/>
          <w:color w:val="231F20"/>
          <w:spacing w:val="-5"/>
          <w:sz w:val="20"/>
        </w:rPr>
        <w:t xml:space="preserve"> </w:t>
      </w:r>
      <w:r>
        <w:rPr>
          <w:rFonts w:ascii="Arial" w:hAnsi="Arial"/>
          <w:b w:val="false"/>
          <w:i w:val="false"/>
          <w:caps w:val="false"/>
          <w:smallCaps w:val="false"/>
          <w:color w:val="231F20"/>
          <w:sz w:val="20"/>
        </w:rPr>
        <w:t>to</w:t>
      </w:r>
      <w:r>
        <w:rPr>
          <w:rFonts w:ascii="Arial" w:hAnsi="Arial"/>
          <w:b w:val="false"/>
          <w:i w:val="false"/>
          <w:caps w:val="false"/>
          <w:smallCaps w:val="false"/>
          <w:color w:val="231F20"/>
          <w:spacing w:val="-3"/>
          <w:sz w:val="20"/>
        </w:rPr>
        <w:t xml:space="preserve"> </w:t>
      </w:r>
      <w:r>
        <w:rPr>
          <w:rFonts w:ascii="Arial" w:hAnsi="Arial"/>
          <w:b w:val="false"/>
          <w:i w:val="false"/>
          <w:caps w:val="false"/>
          <w:smallCaps w:val="false"/>
          <w:color w:val="231F20"/>
          <w:sz w:val="20"/>
        </w:rPr>
        <w:t>serve</w:t>
      </w:r>
      <w:r>
        <w:rPr>
          <w:rFonts w:ascii="Arial" w:hAnsi="Arial"/>
          <w:b w:val="false"/>
          <w:i w:val="false"/>
          <w:caps w:val="false"/>
          <w:smallCaps w:val="false"/>
          <w:color w:val="231F20"/>
          <w:spacing w:val="-3"/>
          <w:sz w:val="20"/>
        </w:rPr>
        <w:t xml:space="preserve"> </w:t>
      </w:r>
      <w:r>
        <w:rPr>
          <w:rFonts w:ascii="Arial" w:hAnsi="Arial"/>
          <w:b w:val="false"/>
          <w:i w:val="false"/>
          <w:caps w:val="false"/>
          <w:smallCaps w:val="false"/>
          <w:color w:val="231F20"/>
          <w:sz w:val="20"/>
        </w:rPr>
        <w:t>on</w:t>
      </w:r>
      <w:r>
        <w:rPr>
          <w:rFonts w:ascii="Arial" w:hAnsi="Arial"/>
          <w:b w:val="false"/>
          <w:i w:val="false"/>
          <w:caps w:val="false"/>
          <w:smallCaps w:val="false"/>
          <w:color w:val="231F20"/>
          <w:spacing w:val="-2"/>
          <w:sz w:val="20"/>
        </w:rPr>
        <w:t xml:space="preserve"> </w:t>
      </w:r>
      <w:r>
        <w:rPr>
          <w:rFonts w:ascii="Arial" w:hAnsi="Arial"/>
          <w:b w:val="false"/>
          <w:i w:val="false"/>
          <w:caps w:val="false"/>
          <w:smallCaps w:val="false"/>
          <w:color w:val="231F20"/>
          <w:sz w:val="20"/>
        </w:rPr>
        <w:t>our</w:t>
      </w:r>
      <w:r>
        <w:rPr>
          <w:rFonts w:ascii="Arial" w:hAnsi="Arial"/>
          <w:b w:val="false"/>
          <w:i w:val="false"/>
          <w:caps w:val="false"/>
          <w:smallCaps w:val="false"/>
          <w:color w:val="231F20"/>
          <w:spacing w:val="-3"/>
          <w:sz w:val="20"/>
        </w:rPr>
        <w:t xml:space="preserve"> </w:t>
      </w:r>
      <w:r>
        <w:rPr>
          <w:rFonts w:ascii="Arial" w:hAnsi="Arial"/>
          <w:b w:val="false"/>
          <w:i w:val="false"/>
          <w:caps w:val="false"/>
          <w:smallCaps w:val="false"/>
          <w:color w:val="231F20"/>
          <w:sz w:val="20"/>
        </w:rPr>
        <w:t>Board</w:t>
      </w:r>
      <w:r>
        <w:rPr>
          <w:rFonts w:ascii="Arial" w:hAnsi="Arial"/>
          <w:b w:val="false"/>
          <w:i w:val="false"/>
          <w:caps w:val="false"/>
          <w:smallCaps w:val="false"/>
          <w:color w:val="231F20"/>
          <w:spacing w:val="-3"/>
          <w:sz w:val="20"/>
        </w:rPr>
        <w:t xml:space="preserve"> </w:t>
      </w:r>
      <w:r>
        <w:rPr>
          <w:rFonts w:ascii="Arial" w:hAnsi="Arial"/>
          <w:b w:val="false"/>
          <w:i w:val="false"/>
          <w:caps w:val="false"/>
          <w:smallCaps w:val="false"/>
          <w:color w:val="231F20"/>
          <w:sz w:val="20"/>
        </w:rPr>
        <w:t>due</w:t>
      </w:r>
      <w:r>
        <w:rPr>
          <w:rFonts w:ascii="Arial" w:hAnsi="Arial"/>
          <w:b w:val="false"/>
          <w:i w:val="false"/>
          <w:caps w:val="false"/>
          <w:smallCaps w:val="false"/>
          <w:color w:val="231F20"/>
          <w:spacing w:val="-4"/>
          <w:sz w:val="20"/>
        </w:rPr>
        <w:t xml:space="preserve"> </w:t>
      </w:r>
      <w:r>
        <w:rPr>
          <w:rFonts w:ascii="Arial" w:hAnsi="Arial"/>
          <w:b w:val="false"/>
          <w:i w:val="false"/>
          <w:caps w:val="false"/>
          <w:smallCaps w:val="false"/>
          <w:color w:val="231F20"/>
          <w:sz w:val="20"/>
        </w:rPr>
        <w:t>to his extensive financial and investment experience in the life sciences</w:t>
      </w:r>
      <w:r>
        <w:rPr>
          <w:rFonts w:ascii="Arial" w:hAnsi="Arial"/>
          <w:b w:val="false"/>
          <w:i w:val="false"/>
          <w:caps w:val="false"/>
          <w:smallCaps w:val="false"/>
          <w:color w:val="231F20"/>
          <w:spacing w:val="26"/>
          <w:sz w:val="20"/>
        </w:rPr>
        <w:t xml:space="preserve"> </w:t>
      </w:r>
      <w:r>
        <w:rPr>
          <w:rFonts w:ascii="Arial" w:hAnsi="Arial"/>
          <w:b w:val="false"/>
          <w:i w:val="false"/>
          <w:caps w:val="false"/>
          <w:smallCaps w:val="false"/>
          <w:color w:val="231F20"/>
          <w:sz w:val="20"/>
        </w:rPr>
        <w:t>industry.</w:t>
      </w:r>
    </w:p>
    <w:p>
      <w:pPr>
        <w:pStyle w:val="TextBody"/>
        <w:spacing w:before="120" w:after="0"/>
        <w:rPr>
          <w:rFonts w:ascii="Arial" w:hAnsi="Arial"/>
          <w:b w:val="false"/>
          <w:i/>
          <w:caps w:val="false"/>
          <w:smallCaps w:val="false"/>
          <w:color w:val="231F20"/>
          <w:sz w:val="20"/>
        </w:rPr>
      </w:pPr>
      <w:r>
        <w:rPr>
          <w:rFonts w:ascii="Arial" w:hAnsi="Arial"/>
          <w:b w:val="false"/>
          <w:i/>
          <w:caps w:val="false"/>
          <w:smallCaps w:val="false"/>
          <w:color w:val="231F20"/>
          <w:sz w:val="20"/>
        </w:rPr>
        <w:t xml:space="preserve">Bruno Lucidi </w:t>
      </w:r>
      <w:r>
        <w:rPr>
          <w:rFonts w:ascii="Arial" w:hAnsi="Arial"/>
          <w:b w:val="false"/>
          <w:i w:val="false"/>
          <w:caps w:val="false"/>
          <w:smallCaps w:val="false"/>
          <w:color w:val="231F20"/>
          <w:sz w:val="20"/>
        </w:rPr>
        <w:t xml:space="preserve">has served as a member of our Board since September 2014. Mr. Lucidi is a Life Sciences Expert at Wallonia Trade and Foreign Investment Agency. From October 2017 to September 2019, Mr. Lucidi was Chief Executive Officer at AgenTus Therapeutics, a pre-clinical stage biopharmaceutical company. Mr. Lucidi was trained in Oncology at the Gustave Roussy Institute, Villejuif, France, in Marketing and Strategic Management of Companies at the Ecole Superieure de Commerce, Paris,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40</w:t>
      </w:r>
    </w:p>
    <w:p>
      <w:pPr>
        <w:pStyle w:val="HorizontalLine"/>
        <w:rPr/>
      </w:pPr>
      <w:r>
        <w:rPr/>
      </w:r>
    </w:p>
    <w:p>
      <w:pPr>
        <w:pStyle w:val="TextBody"/>
        <w:spacing w:before="120" w:after="0"/>
        <w:rPr>
          <w:rFonts w:ascii="Arial" w:hAnsi="Arial"/>
          <w:b w:val="false"/>
          <w:i/>
          <w:caps w:val="false"/>
          <w:smallCaps w:val="false"/>
          <w:color w:val="231F20"/>
          <w:sz w:val="20"/>
        </w:rPr>
      </w:pPr>
      <w:r>
        <w:rPr>
          <w:rFonts w:ascii="Arial" w:hAnsi="Arial"/>
          <w:b w:val="false"/>
          <w:i w:val="false"/>
          <w:caps w:val="false"/>
          <w:smallCaps w:val="false"/>
          <w:color w:val="231F20"/>
          <w:sz w:val="20"/>
        </w:rPr>
        <w:t>France, and in Finance, Merger and Acquisitions at the Investment Banking Institute in New York. We believe Mr. Lucidi</w:t>
      </w:r>
      <w:r>
        <w:rPr>
          <w:rFonts w:ascii="Arial" w:hAnsi="Arial"/>
          <w:b w:val="false"/>
          <w:i/>
          <w:caps w:val="false"/>
          <w:smallCaps w:val="false"/>
          <w:color w:val="231F20"/>
          <w:sz w:val="20"/>
        </w:rPr>
        <w:t xml:space="preserve"> </w:t>
      </w:r>
      <w:r>
        <w:rPr>
          <w:rFonts w:ascii="Arial" w:hAnsi="Arial"/>
          <w:b w:val="false"/>
          <w:i w:val="false"/>
          <w:caps w:val="false"/>
          <w:smallCaps w:val="false"/>
          <w:color w:val="231F20"/>
          <w:sz w:val="20"/>
        </w:rPr>
        <w:t>is qualified to serve on our Board due to his extensive experience in the life sciences industry.</w:t>
      </w:r>
    </w:p>
    <w:p>
      <w:pPr>
        <w:pStyle w:val="TextBody"/>
        <w:spacing w:before="120" w:after="0"/>
        <w:rPr>
          <w:rFonts w:ascii="Arial" w:hAnsi="Arial"/>
          <w:b w:val="false"/>
          <w:i/>
          <w:caps w:val="false"/>
          <w:smallCaps w:val="false"/>
          <w:color w:val="231F20"/>
          <w:sz w:val="20"/>
        </w:rPr>
      </w:pPr>
      <w:r>
        <w:rPr>
          <w:rFonts w:ascii="Arial" w:hAnsi="Arial"/>
          <w:b w:val="false"/>
          <w:i/>
          <w:caps w:val="false"/>
          <w:smallCaps w:val="false"/>
          <w:color w:val="231F20"/>
          <w:sz w:val="20"/>
        </w:rPr>
        <w:t xml:space="preserve">Polly A. Murphy, D.V.M., Ph.D. </w:t>
      </w:r>
      <w:r>
        <w:rPr>
          <w:rFonts w:ascii="Arial" w:hAnsi="Arial"/>
          <w:b w:val="false"/>
          <w:i w:val="false"/>
          <w:caps w:val="false"/>
          <w:smallCaps w:val="false"/>
          <w:color w:val="231F20"/>
          <w:sz w:val="20"/>
        </w:rPr>
        <w:t>has served as a member of our Board since August 2020. Dr. Murphy has served    as Chief Business Officer at UroGen Pharma, Inc. since August 2020. Since September 2008, Dr. Murphy has served at Pfizer, Inc., most recently as Vice President and Head of Commercial Development Pfizer Oncology Business Unit from January 2019 to August 2020, Vice President and Head of Global Marketing and Commercial Development Pfizer Oncology Business Unit from June 2017 to December 2018 and as Vice President and Head of</w:t>
      </w:r>
      <w:r>
        <w:rPr>
          <w:rFonts w:ascii="Arial" w:hAnsi="Arial"/>
          <w:b w:val="false"/>
          <w:i/>
          <w:caps w:val="false"/>
          <w:smallCaps w:val="false"/>
          <w:color w:val="231F20"/>
          <w:spacing w:val="-5"/>
          <w:sz w:val="20"/>
        </w:rPr>
        <w:t xml:space="preserve"> </w:t>
      </w:r>
      <w:r>
        <w:rPr>
          <w:rFonts w:ascii="Arial" w:hAnsi="Arial"/>
          <w:b w:val="false"/>
          <w:i w:val="false"/>
          <w:caps w:val="false"/>
          <w:smallCaps w:val="false"/>
          <w:color w:val="231F20"/>
          <w:sz w:val="20"/>
        </w:rPr>
        <w:t>Strategy</w:t>
      </w:r>
      <w:r>
        <w:rPr>
          <w:rFonts w:ascii="Arial" w:hAnsi="Arial"/>
          <w:b w:val="false"/>
          <w:i/>
          <w:caps w:val="false"/>
          <w:smallCaps w:val="false"/>
          <w:color w:val="231F20"/>
          <w:spacing w:val="-5"/>
          <w:sz w:val="20"/>
        </w:rPr>
        <w:t xml:space="preserve"> </w:t>
      </w:r>
      <w:r>
        <w:rPr>
          <w:rFonts w:ascii="Arial" w:hAnsi="Arial"/>
          <w:b w:val="false"/>
          <w:i w:val="false"/>
          <w:caps w:val="false"/>
          <w:smallCaps w:val="false"/>
          <w:color w:val="231F20"/>
          <w:sz w:val="20"/>
        </w:rPr>
        <w:t>and</w:t>
      </w:r>
      <w:r>
        <w:rPr>
          <w:rFonts w:ascii="Arial" w:hAnsi="Arial"/>
          <w:b w:val="false"/>
          <w:i/>
          <w:caps w:val="false"/>
          <w:smallCaps w:val="false"/>
          <w:color w:val="231F20"/>
          <w:spacing w:val="-5"/>
          <w:sz w:val="20"/>
        </w:rPr>
        <w:t xml:space="preserve"> </w:t>
      </w:r>
      <w:r>
        <w:rPr>
          <w:rFonts w:ascii="Arial" w:hAnsi="Arial"/>
          <w:b w:val="false"/>
          <w:i w:val="false"/>
          <w:caps w:val="false"/>
          <w:smallCaps w:val="false"/>
          <w:color w:val="231F20"/>
          <w:sz w:val="20"/>
        </w:rPr>
        <w:t>Business</w:t>
      </w:r>
      <w:r>
        <w:rPr>
          <w:rFonts w:ascii="Arial" w:hAnsi="Arial"/>
          <w:b w:val="false"/>
          <w:i/>
          <w:caps w:val="false"/>
          <w:smallCaps w:val="false"/>
          <w:color w:val="231F20"/>
          <w:spacing w:val="-4"/>
          <w:sz w:val="20"/>
        </w:rPr>
        <w:t xml:space="preserve"> </w:t>
      </w:r>
      <w:r>
        <w:rPr>
          <w:rFonts w:ascii="Arial" w:hAnsi="Arial"/>
          <w:b w:val="false"/>
          <w:i w:val="false"/>
          <w:caps w:val="false"/>
          <w:smallCaps w:val="false"/>
          <w:color w:val="231F20"/>
          <w:sz w:val="20"/>
        </w:rPr>
        <w:t>Development</w:t>
      </w:r>
      <w:r>
        <w:rPr>
          <w:rFonts w:ascii="Arial" w:hAnsi="Arial"/>
          <w:b w:val="false"/>
          <w:i/>
          <w:caps w:val="false"/>
          <w:smallCaps w:val="false"/>
          <w:color w:val="231F20"/>
          <w:spacing w:val="-6"/>
          <w:sz w:val="20"/>
        </w:rPr>
        <w:t xml:space="preserve"> </w:t>
      </w:r>
      <w:r>
        <w:rPr>
          <w:rFonts w:ascii="Arial" w:hAnsi="Arial"/>
          <w:b w:val="false"/>
          <w:i w:val="false"/>
          <w:caps w:val="false"/>
          <w:smallCaps w:val="false"/>
          <w:color w:val="231F20"/>
          <w:sz w:val="20"/>
        </w:rPr>
        <w:t>for</w:t>
      </w:r>
      <w:r>
        <w:rPr>
          <w:rFonts w:ascii="Arial" w:hAnsi="Arial"/>
          <w:b w:val="false"/>
          <w:i/>
          <w:caps w:val="false"/>
          <w:smallCaps w:val="false"/>
          <w:color w:val="231F20"/>
          <w:spacing w:val="-5"/>
          <w:sz w:val="20"/>
        </w:rPr>
        <w:t xml:space="preserve"> </w:t>
      </w:r>
      <w:r>
        <w:rPr>
          <w:rFonts w:ascii="Arial" w:hAnsi="Arial"/>
          <w:b w:val="false"/>
          <w:i w:val="false"/>
          <w:caps w:val="false"/>
          <w:smallCaps w:val="false"/>
          <w:color w:val="231F20"/>
          <w:sz w:val="20"/>
        </w:rPr>
        <w:t>Pfizer</w:t>
      </w:r>
      <w:r>
        <w:rPr>
          <w:rFonts w:ascii="Arial" w:hAnsi="Arial"/>
          <w:b w:val="false"/>
          <w:i/>
          <w:caps w:val="false"/>
          <w:smallCaps w:val="false"/>
          <w:color w:val="231F20"/>
          <w:spacing w:val="-6"/>
          <w:sz w:val="20"/>
        </w:rPr>
        <w:t xml:space="preserve"> </w:t>
      </w:r>
      <w:r>
        <w:rPr>
          <w:rFonts w:ascii="Arial" w:hAnsi="Arial"/>
          <w:b w:val="false"/>
          <w:i w:val="false"/>
          <w:caps w:val="false"/>
          <w:smallCaps w:val="false"/>
          <w:color w:val="231F20"/>
          <w:sz w:val="20"/>
        </w:rPr>
        <w:t>China</w:t>
      </w:r>
      <w:r>
        <w:rPr>
          <w:rFonts w:ascii="Arial" w:hAnsi="Arial"/>
          <w:b w:val="false"/>
          <w:i/>
          <w:caps w:val="false"/>
          <w:smallCaps w:val="false"/>
          <w:color w:val="231F20"/>
          <w:spacing w:val="-5"/>
          <w:sz w:val="20"/>
        </w:rPr>
        <w:t xml:space="preserve"> </w:t>
      </w:r>
      <w:r>
        <w:rPr>
          <w:rFonts w:ascii="Arial" w:hAnsi="Arial"/>
          <w:b w:val="false"/>
          <w:i w:val="false"/>
          <w:caps w:val="false"/>
          <w:smallCaps w:val="false"/>
          <w:color w:val="231F20"/>
          <w:sz w:val="20"/>
        </w:rPr>
        <w:t>from</w:t>
      </w:r>
      <w:r>
        <w:rPr>
          <w:rFonts w:ascii="Arial" w:hAnsi="Arial"/>
          <w:b w:val="false"/>
          <w:i/>
          <w:caps w:val="false"/>
          <w:smallCaps w:val="false"/>
          <w:color w:val="231F20"/>
          <w:spacing w:val="-5"/>
          <w:sz w:val="20"/>
        </w:rPr>
        <w:t xml:space="preserve"> </w:t>
      </w:r>
      <w:r>
        <w:rPr>
          <w:rFonts w:ascii="Arial" w:hAnsi="Arial"/>
          <w:b w:val="false"/>
          <w:i w:val="false"/>
          <w:caps w:val="false"/>
          <w:smallCaps w:val="false"/>
          <w:color w:val="231F20"/>
          <w:sz w:val="20"/>
        </w:rPr>
        <w:t>November</w:t>
      </w:r>
      <w:r>
        <w:rPr>
          <w:rFonts w:ascii="Arial" w:hAnsi="Arial"/>
          <w:b w:val="false"/>
          <w:i/>
          <w:caps w:val="false"/>
          <w:smallCaps w:val="false"/>
          <w:color w:val="231F20"/>
          <w:spacing w:val="-5"/>
          <w:sz w:val="20"/>
        </w:rPr>
        <w:t xml:space="preserve"> </w:t>
      </w:r>
      <w:r>
        <w:rPr>
          <w:rFonts w:ascii="Arial" w:hAnsi="Arial"/>
          <w:b w:val="false"/>
          <w:i w:val="false"/>
          <w:caps w:val="false"/>
          <w:smallCaps w:val="false"/>
          <w:color w:val="231F20"/>
          <w:sz w:val="20"/>
        </w:rPr>
        <w:t>2013</w:t>
      </w:r>
      <w:r>
        <w:rPr>
          <w:rFonts w:ascii="Arial" w:hAnsi="Arial"/>
          <w:b w:val="false"/>
          <w:i/>
          <w:caps w:val="false"/>
          <w:smallCaps w:val="false"/>
          <w:color w:val="231F20"/>
          <w:spacing w:val="-4"/>
          <w:sz w:val="20"/>
        </w:rPr>
        <w:t xml:space="preserve"> </w:t>
      </w:r>
      <w:r>
        <w:rPr>
          <w:rFonts w:ascii="Arial" w:hAnsi="Arial"/>
          <w:b w:val="false"/>
          <w:i w:val="false"/>
          <w:caps w:val="false"/>
          <w:smallCaps w:val="false"/>
          <w:color w:val="231F20"/>
          <w:sz w:val="20"/>
        </w:rPr>
        <w:t>to</w:t>
      </w:r>
      <w:r>
        <w:rPr>
          <w:rFonts w:ascii="Arial" w:hAnsi="Arial"/>
          <w:b w:val="false"/>
          <w:i/>
          <w:caps w:val="false"/>
          <w:smallCaps w:val="false"/>
          <w:color w:val="231F20"/>
          <w:spacing w:val="-5"/>
          <w:sz w:val="20"/>
        </w:rPr>
        <w:t xml:space="preserve"> </w:t>
      </w:r>
      <w:r>
        <w:rPr>
          <w:rFonts w:ascii="Arial" w:hAnsi="Arial"/>
          <w:b w:val="false"/>
          <w:i w:val="false"/>
          <w:caps w:val="false"/>
          <w:smallCaps w:val="false"/>
          <w:color w:val="231F20"/>
          <w:sz w:val="20"/>
        </w:rPr>
        <w:t>May</w:t>
      </w:r>
      <w:r>
        <w:rPr>
          <w:rFonts w:ascii="Arial" w:hAnsi="Arial"/>
          <w:b w:val="false"/>
          <w:i/>
          <w:caps w:val="false"/>
          <w:smallCaps w:val="false"/>
          <w:color w:val="231F20"/>
          <w:spacing w:val="-4"/>
          <w:sz w:val="20"/>
        </w:rPr>
        <w:t xml:space="preserve"> </w:t>
      </w:r>
      <w:r>
        <w:rPr>
          <w:rFonts w:ascii="Arial" w:hAnsi="Arial"/>
          <w:b w:val="false"/>
          <w:i w:val="false"/>
          <w:caps w:val="false"/>
          <w:smallCaps w:val="false"/>
          <w:color w:val="231F20"/>
          <w:sz w:val="20"/>
        </w:rPr>
        <w:t>2018.</w:t>
      </w:r>
      <w:r>
        <w:rPr>
          <w:rFonts w:ascii="Arial" w:hAnsi="Arial"/>
          <w:b w:val="false"/>
          <w:i/>
          <w:caps w:val="false"/>
          <w:smallCaps w:val="false"/>
          <w:color w:val="231F20"/>
          <w:spacing w:val="-5"/>
          <w:sz w:val="20"/>
        </w:rPr>
        <w:t xml:space="preserve"> </w:t>
      </w:r>
      <w:r>
        <w:rPr>
          <w:rFonts w:ascii="Arial" w:hAnsi="Arial"/>
          <w:b w:val="false"/>
          <w:i w:val="false"/>
          <w:caps w:val="false"/>
          <w:smallCaps w:val="false"/>
          <w:color w:val="231F20"/>
          <w:sz w:val="20"/>
        </w:rPr>
        <w:t>Dr.</w:t>
      </w:r>
      <w:r>
        <w:rPr>
          <w:rFonts w:ascii="Arial" w:hAnsi="Arial"/>
          <w:b w:val="false"/>
          <w:i/>
          <w:caps w:val="false"/>
          <w:smallCaps w:val="false"/>
          <w:color w:val="231F20"/>
          <w:spacing w:val="-4"/>
          <w:sz w:val="20"/>
        </w:rPr>
        <w:t xml:space="preserve"> </w:t>
      </w:r>
      <w:r>
        <w:rPr>
          <w:rFonts w:ascii="Arial" w:hAnsi="Arial"/>
          <w:b w:val="false"/>
          <w:i w:val="false"/>
          <w:caps w:val="false"/>
          <w:smallCaps w:val="false"/>
          <w:color w:val="231F20"/>
          <w:sz w:val="20"/>
        </w:rPr>
        <w:t>Murphy</w:t>
      </w:r>
      <w:r>
        <w:rPr>
          <w:rFonts w:ascii="Arial" w:hAnsi="Arial"/>
          <w:b w:val="false"/>
          <w:i/>
          <w:caps w:val="false"/>
          <w:smallCaps w:val="false"/>
          <w:color w:val="231F20"/>
          <w:spacing w:val="-4"/>
          <w:sz w:val="20"/>
        </w:rPr>
        <w:t xml:space="preserve"> </w:t>
      </w:r>
      <w:r>
        <w:rPr>
          <w:rFonts w:ascii="Arial" w:hAnsi="Arial"/>
          <w:b w:val="false"/>
          <w:i w:val="false"/>
          <w:caps w:val="false"/>
          <w:smallCaps w:val="false"/>
          <w:color w:val="231F20"/>
          <w:sz w:val="20"/>
        </w:rPr>
        <w:t>received her D.V.M. and Ph.D. from Iowa State University. We believe Dr. Murphy is qualified to serve on our Board due to her experience in the pharmaceutical industry in business development and</w:t>
      </w:r>
      <w:r>
        <w:rPr>
          <w:rFonts w:ascii="Arial" w:hAnsi="Arial"/>
          <w:b w:val="false"/>
          <w:i/>
          <w:caps w:val="false"/>
          <w:smallCaps w:val="false"/>
          <w:color w:val="231F20"/>
          <w:spacing w:val="4"/>
          <w:sz w:val="20"/>
        </w:rPr>
        <w:t xml:space="preserve"> </w:t>
      </w:r>
      <w:r>
        <w:rPr>
          <w:rFonts w:ascii="Arial" w:hAnsi="Arial"/>
          <w:b w:val="false"/>
          <w:i w:val="false"/>
          <w:caps w:val="false"/>
          <w:smallCaps w:val="false"/>
          <w:color w:val="231F20"/>
          <w:sz w:val="20"/>
        </w:rPr>
        <w:t>commercialization.</w:t>
      </w:r>
    </w:p>
    <w:p>
      <w:pPr>
        <w:pStyle w:val="TextBody"/>
        <w:spacing w:before="120" w:after="0"/>
        <w:rPr>
          <w:rFonts w:ascii="Arial" w:hAnsi="Arial"/>
          <w:b w:val="false"/>
          <w:i/>
          <w:caps w:val="false"/>
          <w:smallCaps w:val="false"/>
          <w:color w:val="231F20"/>
          <w:sz w:val="20"/>
        </w:rPr>
      </w:pPr>
      <w:r>
        <w:rPr>
          <w:rFonts w:ascii="Arial" w:hAnsi="Arial"/>
          <w:b w:val="false"/>
          <w:i/>
          <w:caps w:val="false"/>
          <w:smallCaps w:val="false"/>
          <w:color w:val="231F20"/>
          <w:sz w:val="20"/>
        </w:rPr>
        <w:t xml:space="preserve">Bruce Polsky, M.D., </w:t>
      </w:r>
      <w:r>
        <w:rPr>
          <w:rFonts w:ascii="Arial" w:hAnsi="Arial"/>
          <w:b w:val="false"/>
          <w:i w:val="false"/>
          <w:caps w:val="false"/>
          <w:smallCaps w:val="false"/>
          <w:color w:val="231F20"/>
          <w:sz w:val="20"/>
        </w:rPr>
        <w:t>has served as a member of our Board since November 2014. Dr. Polsky is the chair of the Department</w:t>
      </w:r>
      <w:r>
        <w:rPr>
          <w:rFonts w:ascii="Arial" w:hAnsi="Arial"/>
          <w:b w:val="false"/>
          <w:i/>
          <w:caps w:val="false"/>
          <w:smallCaps w:val="false"/>
          <w:color w:val="231F20"/>
          <w:spacing w:val="-8"/>
          <w:sz w:val="20"/>
        </w:rPr>
        <w:t xml:space="preserve"> </w:t>
      </w:r>
      <w:r>
        <w:rPr>
          <w:rFonts w:ascii="Arial" w:hAnsi="Arial"/>
          <w:b w:val="false"/>
          <w:i w:val="false"/>
          <w:caps w:val="false"/>
          <w:smallCaps w:val="false"/>
          <w:color w:val="231F20"/>
          <w:sz w:val="20"/>
        </w:rPr>
        <w:t>of</w:t>
      </w:r>
      <w:r>
        <w:rPr>
          <w:rFonts w:ascii="Arial" w:hAnsi="Arial"/>
          <w:b w:val="false"/>
          <w:i/>
          <w:caps w:val="false"/>
          <w:smallCaps w:val="false"/>
          <w:color w:val="231F20"/>
          <w:spacing w:val="-8"/>
          <w:sz w:val="20"/>
        </w:rPr>
        <w:t xml:space="preserve"> </w:t>
      </w:r>
      <w:r>
        <w:rPr>
          <w:rFonts w:ascii="Arial" w:hAnsi="Arial"/>
          <w:b w:val="false"/>
          <w:i w:val="false"/>
          <w:caps w:val="false"/>
          <w:smallCaps w:val="false"/>
          <w:color w:val="231F20"/>
          <w:sz w:val="20"/>
        </w:rPr>
        <w:t>Medicine</w:t>
      </w:r>
      <w:r>
        <w:rPr>
          <w:rFonts w:ascii="Arial" w:hAnsi="Arial"/>
          <w:b w:val="false"/>
          <w:i/>
          <w:caps w:val="false"/>
          <w:smallCaps w:val="false"/>
          <w:color w:val="231F20"/>
          <w:spacing w:val="-9"/>
          <w:sz w:val="20"/>
        </w:rPr>
        <w:t xml:space="preserve"> </w:t>
      </w:r>
      <w:r>
        <w:rPr>
          <w:rFonts w:ascii="Arial" w:hAnsi="Arial"/>
          <w:b w:val="false"/>
          <w:i w:val="false"/>
          <w:caps w:val="false"/>
          <w:smallCaps w:val="false"/>
          <w:color w:val="231F20"/>
          <w:sz w:val="20"/>
        </w:rPr>
        <w:t>at</w:t>
      </w:r>
      <w:r>
        <w:rPr>
          <w:rFonts w:ascii="Arial" w:hAnsi="Arial"/>
          <w:b w:val="false"/>
          <w:i/>
          <w:caps w:val="false"/>
          <w:smallCaps w:val="false"/>
          <w:color w:val="231F20"/>
          <w:spacing w:val="-8"/>
          <w:sz w:val="20"/>
        </w:rPr>
        <w:t xml:space="preserve"> </w:t>
      </w:r>
      <w:r>
        <w:rPr>
          <w:rFonts w:ascii="Arial" w:hAnsi="Arial"/>
          <w:b w:val="false"/>
          <w:i w:val="false"/>
          <w:caps w:val="false"/>
          <w:smallCaps w:val="false"/>
          <w:color w:val="231F20"/>
          <w:sz w:val="20"/>
        </w:rPr>
        <w:t>NYU</w:t>
      </w:r>
      <w:r>
        <w:rPr>
          <w:rFonts w:ascii="Arial" w:hAnsi="Arial"/>
          <w:b w:val="false"/>
          <w:i/>
          <w:caps w:val="false"/>
          <w:smallCaps w:val="false"/>
          <w:color w:val="231F20"/>
          <w:spacing w:val="-7"/>
          <w:sz w:val="20"/>
        </w:rPr>
        <w:t xml:space="preserve"> </w:t>
      </w:r>
      <w:r>
        <w:rPr>
          <w:rFonts w:ascii="Arial" w:hAnsi="Arial"/>
          <w:b w:val="false"/>
          <w:i w:val="false"/>
          <w:caps w:val="false"/>
          <w:smallCaps w:val="false"/>
          <w:color w:val="231F20"/>
          <w:spacing w:val="-7"/>
          <w:sz w:val="20"/>
        </w:rPr>
        <w:t xml:space="preserve">Langone Hospital – Long Island </w:t>
      </w:r>
      <w:r>
        <w:rPr>
          <w:rFonts w:ascii="Arial" w:hAnsi="Arial"/>
          <w:b w:val="false"/>
          <w:i w:val="false"/>
          <w:caps w:val="false"/>
          <w:smallCaps w:val="false"/>
          <w:color w:val="231F20"/>
          <w:sz w:val="20"/>
        </w:rPr>
        <w:t>in</w:t>
      </w:r>
      <w:r>
        <w:rPr>
          <w:rFonts w:ascii="Arial" w:hAnsi="Arial"/>
          <w:b w:val="false"/>
          <w:i/>
          <w:caps w:val="false"/>
          <w:smallCaps w:val="false"/>
          <w:color w:val="231F20"/>
          <w:spacing w:val="-8"/>
          <w:sz w:val="20"/>
        </w:rPr>
        <w:t xml:space="preserve"> </w:t>
      </w:r>
      <w:r>
        <w:rPr>
          <w:rFonts w:ascii="Arial" w:hAnsi="Arial"/>
          <w:b w:val="false"/>
          <w:i w:val="false"/>
          <w:caps w:val="false"/>
          <w:smallCaps w:val="false"/>
          <w:color w:val="231F20"/>
          <w:sz w:val="20"/>
        </w:rPr>
        <w:t>Mineola,</w:t>
      </w:r>
      <w:r>
        <w:rPr>
          <w:rFonts w:ascii="Arial" w:hAnsi="Arial"/>
          <w:b w:val="false"/>
          <w:i/>
          <w:caps w:val="false"/>
          <w:smallCaps w:val="false"/>
          <w:color w:val="231F20"/>
          <w:spacing w:val="-9"/>
          <w:sz w:val="20"/>
        </w:rPr>
        <w:t xml:space="preserve"> </w:t>
      </w:r>
      <w:r>
        <w:rPr>
          <w:rFonts w:ascii="Arial" w:hAnsi="Arial"/>
          <w:b w:val="false"/>
          <w:i w:val="false"/>
          <w:caps w:val="false"/>
          <w:smallCaps w:val="false"/>
          <w:color w:val="231F20"/>
          <w:sz w:val="20"/>
        </w:rPr>
        <w:t>New</w:t>
      </w:r>
      <w:r>
        <w:rPr>
          <w:rFonts w:ascii="Arial" w:hAnsi="Arial"/>
          <w:b w:val="false"/>
          <w:i/>
          <w:caps w:val="false"/>
          <w:smallCaps w:val="false"/>
          <w:color w:val="231F20"/>
          <w:spacing w:val="-7"/>
          <w:sz w:val="20"/>
        </w:rPr>
        <w:t xml:space="preserve"> </w:t>
      </w:r>
      <w:r>
        <w:rPr>
          <w:rFonts w:ascii="Arial" w:hAnsi="Arial"/>
          <w:b w:val="false"/>
          <w:i w:val="false"/>
          <w:caps w:val="false"/>
          <w:smallCaps w:val="false"/>
          <w:color w:val="231F20"/>
          <w:sz w:val="20"/>
        </w:rPr>
        <w:t>York,</w:t>
      </w:r>
      <w:r>
        <w:rPr>
          <w:rFonts w:ascii="Arial" w:hAnsi="Arial"/>
          <w:b w:val="false"/>
          <w:i/>
          <w:caps w:val="false"/>
          <w:smallCaps w:val="false"/>
          <w:color w:val="231F20"/>
          <w:spacing w:val="-8"/>
          <w:sz w:val="20"/>
        </w:rPr>
        <w:t xml:space="preserve"> </w:t>
      </w:r>
      <w:r>
        <w:rPr>
          <w:rFonts w:ascii="Arial" w:hAnsi="Arial"/>
          <w:b w:val="false"/>
          <w:i w:val="false"/>
          <w:caps w:val="false"/>
          <w:smallCaps w:val="false"/>
          <w:color w:val="231F20"/>
          <w:sz w:val="20"/>
        </w:rPr>
        <w:t>where</w:t>
      </w:r>
      <w:r>
        <w:rPr>
          <w:rFonts w:ascii="Arial" w:hAnsi="Arial"/>
          <w:b w:val="false"/>
          <w:i/>
          <w:caps w:val="false"/>
          <w:smallCaps w:val="false"/>
          <w:color w:val="231F20"/>
          <w:spacing w:val="-8"/>
          <w:sz w:val="20"/>
        </w:rPr>
        <w:t xml:space="preserve"> </w:t>
      </w:r>
      <w:r>
        <w:rPr>
          <w:rFonts w:ascii="Arial" w:hAnsi="Arial"/>
          <w:b w:val="false"/>
          <w:i w:val="false"/>
          <w:caps w:val="false"/>
          <w:smallCaps w:val="false"/>
          <w:color w:val="231F20"/>
          <w:sz w:val="20"/>
        </w:rPr>
        <w:t>he</w:t>
      </w:r>
      <w:r>
        <w:rPr>
          <w:rFonts w:ascii="Arial" w:hAnsi="Arial"/>
          <w:b w:val="false"/>
          <w:i/>
          <w:caps w:val="false"/>
          <w:smallCaps w:val="false"/>
          <w:color w:val="231F20"/>
          <w:spacing w:val="-8"/>
          <w:sz w:val="20"/>
        </w:rPr>
        <w:t xml:space="preserve"> </w:t>
      </w:r>
      <w:r>
        <w:rPr>
          <w:rFonts w:ascii="Arial" w:hAnsi="Arial"/>
          <w:b w:val="false"/>
          <w:i w:val="false"/>
          <w:caps w:val="false"/>
          <w:smallCaps w:val="false"/>
          <w:color w:val="231F20"/>
          <w:sz w:val="20"/>
        </w:rPr>
        <w:t>has</w:t>
      </w:r>
      <w:r>
        <w:rPr>
          <w:rFonts w:ascii="Arial" w:hAnsi="Arial"/>
          <w:b w:val="false"/>
          <w:i/>
          <w:caps w:val="false"/>
          <w:smallCaps w:val="false"/>
          <w:color w:val="231F20"/>
          <w:spacing w:val="-7"/>
          <w:sz w:val="20"/>
        </w:rPr>
        <w:t xml:space="preserve"> </w:t>
      </w:r>
      <w:r>
        <w:rPr>
          <w:rFonts w:ascii="Arial" w:hAnsi="Arial"/>
          <w:b w:val="false"/>
          <w:i w:val="false"/>
          <w:caps w:val="false"/>
          <w:smallCaps w:val="false"/>
          <w:color w:val="231F20"/>
          <w:sz w:val="20"/>
        </w:rPr>
        <w:t>practiced</w:t>
      </w:r>
      <w:r>
        <w:rPr>
          <w:rFonts w:ascii="Arial" w:hAnsi="Arial"/>
          <w:b w:val="false"/>
          <w:i/>
          <w:caps w:val="false"/>
          <w:smallCaps w:val="false"/>
          <w:color w:val="231F20"/>
          <w:spacing w:val="-8"/>
          <w:sz w:val="20"/>
        </w:rPr>
        <w:t xml:space="preserve"> </w:t>
      </w:r>
      <w:r>
        <w:rPr>
          <w:rFonts w:ascii="Arial" w:hAnsi="Arial"/>
          <w:b w:val="false"/>
          <w:i w:val="false"/>
          <w:caps w:val="false"/>
          <w:smallCaps w:val="false"/>
          <w:color w:val="231F20"/>
          <w:sz w:val="20"/>
        </w:rPr>
        <w:t>since</w:t>
      </w:r>
      <w:r>
        <w:rPr>
          <w:rFonts w:ascii="Arial" w:hAnsi="Arial"/>
          <w:b w:val="false"/>
          <w:i/>
          <w:caps w:val="false"/>
          <w:smallCaps w:val="false"/>
          <w:color w:val="231F20"/>
          <w:spacing w:val="-8"/>
          <w:sz w:val="20"/>
        </w:rPr>
        <w:t xml:space="preserve"> </w:t>
      </w:r>
      <w:r>
        <w:rPr>
          <w:rFonts w:ascii="Arial" w:hAnsi="Arial"/>
          <w:b w:val="false"/>
          <w:i w:val="false"/>
          <w:caps w:val="false"/>
          <w:smallCaps w:val="false"/>
          <w:color w:val="231F20"/>
          <w:sz w:val="20"/>
        </w:rPr>
        <w:t>2015.</w:t>
      </w:r>
      <w:r>
        <w:rPr>
          <w:rFonts w:ascii="Arial" w:hAnsi="Arial"/>
          <w:b w:val="false"/>
          <w:i/>
          <w:caps w:val="false"/>
          <w:smallCaps w:val="false"/>
          <w:color w:val="231F20"/>
          <w:spacing w:val="-8"/>
          <w:sz w:val="20"/>
        </w:rPr>
        <w:t xml:space="preserve"> </w:t>
      </w:r>
      <w:r>
        <w:rPr>
          <w:rFonts w:ascii="Arial" w:hAnsi="Arial"/>
          <w:b w:val="false"/>
          <w:i w:val="false"/>
          <w:caps w:val="false"/>
          <w:smallCaps w:val="false"/>
          <w:color w:val="231F20"/>
          <w:sz w:val="20"/>
        </w:rPr>
        <w:t>He also serves as professor and Chair of the Department of Medicine at NYU Long Island School of Medicine and</w:t>
      </w:r>
      <w:r>
        <w:rPr>
          <w:rFonts w:ascii="Arial" w:hAnsi="Arial"/>
          <w:b w:val="false"/>
          <w:i/>
          <w:caps w:val="false"/>
          <w:smallCaps w:val="false"/>
          <w:color w:val="231F20"/>
          <w:spacing w:val="-27"/>
          <w:sz w:val="20"/>
        </w:rPr>
        <w:t xml:space="preserve"> </w:t>
      </w:r>
      <w:r>
        <w:rPr>
          <w:rFonts w:ascii="Arial" w:hAnsi="Arial"/>
          <w:b w:val="false"/>
          <w:i w:val="false"/>
          <w:caps w:val="false"/>
          <w:smallCaps w:val="false"/>
          <w:color w:val="231F20"/>
          <w:sz w:val="20"/>
        </w:rPr>
        <w:t>as an Associate Dean at NYU Long Island School of Medicine. Dr. Polsky is a leading clinical virologist who played an active role in clinical investigations of HIV/AIDS, HBV, HCV and other viral infections. From 1998 to 2015, Dr. Polsky was at Mount Sinai St. Luke’s and Mount Sinai Roosevelt Hospitals, where he served as Chair of the Department of Medicine and as Chief of the Division of Infectious Diseases, among other positions. Dr. Polsky received his M.D. from Wayne State University. We believe Dr. Polsky is qualified to serve on our Board due to his extensive clinical experience in the life sciences</w:t>
      </w:r>
      <w:r>
        <w:rPr>
          <w:rFonts w:ascii="Arial" w:hAnsi="Arial"/>
          <w:b w:val="false"/>
          <w:i/>
          <w:caps w:val="false"/>
          <w:smallCaps w:val="false"/>
          <w:color w:val="231F20"/>
          <w:spacing w:val="36"/>
          <w:sz w:val="20"/>
        </w:rPr>
        <w:t xml:space="preserve"> </w:t>
      </w:r>
      <w:r>
        <w:rPr>
          <w:rFonts w:ascii="Arial" w:hAnsi="Arial"/>
          <w:b w:val="false"/>
          <w:i w:val="false"/>
          <w:caps w:val="false"/>
          <w:smallCaps w:val="false"/>
          <w:color w:val="231F20"/>
          <w:sz w:val="20"/>
        </w:rPr>
        <w:t>industry.</w:t>
      </w:r>
    </w:p>
    <w:p>
      <w:pPr>
        <w:pStyle w:val="TextBody"/>
        <w:spacing w:before="0" w:after="0"/>
        <w:rPr/>
      </w:pPr>
      <w:r>
        <w:rPr/>
        <w:t> </w:t>
      </w:r>
    </w:p>
    <w:p>
      <w:pPr>
        <w:pStyle w:val="TextBody"/>
        <w:spacing w:before="120" w:after="0"/>
        <w:rPr>
          <w:rFonts w:ascii="Arial" w:hAnsi="Arial"/>
          <w:b/>
          <w:i w:val="false"/>
          <w:caps w:val="false"/>
          <w:smallCaps w:val="false"/>
          <w:sz w:val="20"/>
        </w:rPr>
      </w:pPr>
      <w:bookmarkStart w:id="12" w:name="ITEM_1A_RISK_FACTORS"/>
      <w:bookmarkEnd w:id="12"/>
      <w:r>
        <w:rPr>
          <w:rFonts w:ascii="Arial" w:hAnsi="Arial"/>
          <w:b/>
          <w:i w:val="false"/>
          <w:caps w:val="false"/>
          <w:smallCaps w:val="false"/>
          <w:sz w:val="20"/>
        </w:rPr>
        <w:t xml:space="preserve">Item 1A. Risk Factors. </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 xml:space="preserve">You should carefully consider the risks and uncertainties described below, as well as the other information in this Annual Report on Form 10-K, including our financial statements and the related notes and “Management’s Discussion and Analysis of Results of Operations and Financial Condition.” Our business, financial condition, results of operations or prospects could be materially and adversely affected if any of these risks occurs, and as a result, the market price of our common stock could decline and you could lose all or part of your investment. Our actual results could differ materially and adversely from those anticipated in these forward-looking statements as a result of certain factors, including those set forth below.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 xml:space="preserve">Risks Related to COVID-19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There is significant uncertainty around our development of AT-527 as a potential treatment for COVID-19. </w:t>
      </w:r>
    </w:p>
    <w:p>
      <w:pPr>
        <w:pStyle w:val="TextBody"/>
        <w:spacing w:lineRule="auto" w:line="288" w:before="120" w:after="0"/>
        <w:rPr>
          <w:rFonts w:ascii="Arial" w:hAnsi="Arial"/>
          <w:b w:val="false"/>
          <w:i w:val="false"/>
          <w:caps w:val="false"/>
          <w:smallCaps w:val="false"/>
          <w:sz w:val="20"/>
        </w:rPr>
      </w:pPr>
      <w:r>
        <w:rPr>
          <w:rFonts w:ascii="Arial" w:hAnsi="Arial"/>
          <w:b w:val="false"/>
          <w:i w:val="false"/>
          <w:caps w:val="false"/>
          <w:smallCaps w:val="false"/>
          <w:sz w:val="20"/>
        </w:rPr>
        <w:t>Our development of AT-527 for the treatment of COVID-19 is in its early stages, and we may not be successful in our development of AT-527 as a potential treatment for COVID-19.  We, together with our collaborator Roche, anticipate initiating a Phase 3 clinical trial in the second quarter of 2021 to study AT-527 in adult patients with mild or moderate COVID-19 in the outpatient setting.  Currently, we are evaluating AT-527 for the treatment of patients with mild to moderate COVID-19 in two Phase 2 clinical trials.  Additionally, we are conducting a Phase 1 clinical trial in healthy volunteers and have additional Phase I clinical trials planned.  We have committed and plan to continue to commit significant financial and personnel resources to the development of AT-527 as a potential treatment for COVID-19. If we are unable to successfully develop AT-527 for the treatment of COVID-19, we will have taken resources away from other development programs and will not be able to recuperate the resources dedicated to developing AT-527 as a potential treatment for COVID-19, which could have a material adverse impact on our business. If the data from our Phase 2 clinical trials are not supportive of further development of AT-527 as a treatment for COVID-19 or the investor community has a negative reaction to the data, the demand for our common stock could decrease significantly, and the price of our common stock could decline substantially, which could result in significant losses for our stockholders.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41</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Further, while there is currently an urgent need for a treatment for COVID-19, the longevity and extent of the ongoing COVID-19 pandemic is uncertain and it is unclear whether SARS-CoV-2 will become an endemic human coronavirus that may circulate in the human population after the current pandemic has subsided.  If the pandemic were to dissipate, whether due to a significant decrease in new infections, due to the availability of vaccines, or otherwise, the need for a treatment could decrease significantly. If the need for a treatment decreases before or soon after commercialization of AT-527, if approved, or other treatments for COVID-19 are developed before AT-527, our business could be adversely impacted.</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may expend resources in anticipation of clinical trials and potential commercialization of AT-527, which we may not be able to recover if AT-527 is not approved for the treatment of COVID-19 or we are not successful at commercializing AT-527. </w:t>
      </w:r>
    </w:p>
    <w:p>
      <w:pPr>
        <w:pStyle w:val="TextBody"/>
        <w:spacing w:before="120" w:after="0"/>
        <w:rPr>
          <w:rFonts w:ascii="Arial" w:hAnsi="Arial"/>
          <w:b w:val="false"/>
          <w:i w:val="false"/>
          <w:caps w:val="false"/>
          <w:smallCaps w:val="false"/>
          <w:sz w:val="20"/>
        </w:rPr>
      </w:pPr>
      <w:bookmarkStart w:id="13" w:name="_Hlk67408343"/>
      <w:bookmarkEnd w:id="13"/>
      <w:r>
        <w:rPr>
          <w:rFonts w:ascii="Arial" w:hAnsi="Arial"/>
          <w:b w:val="false"/>
          <w:i w:val="false"/>
          <w:caps w:val="false"/>
          <w:smallCaps w:val="false"/>
          <w:sz w:val="20"/>
        </w:rPr>
        <w:t>We believe that there is an urgent unmet need for effective orally administered COVID-19 treatments particularly for patients in the outpatient setting. Accordingly, if the data from our ongoing and planned clinical trials of AT-527 in COVID-19 patients are positive, we may pursue certain expedited development, review and approval programs offered by the U.S. Food and Drug Administration (“FDA”) to sponsors of drugs designed to treat serious diseases and conditions. These programs may offer the potential for a more rapid approval and commercialization process than traditional FDA review pathways. In order to prepare for the possibility that we may be required to develop and rapidly commercialize AT-527, we may enter into agreements with, and make payments to contract manufacturing organizations (“CMOs”), third parties we are engaging to assist us in the potential commercialization of AT-527, and other third parties prior to obtaining any approval to market AT-527 for the treatment of COVID-19. As a result, we may not be able to recover these costs if AT-527 is not approved for the treatment of COVID-19, which could have a material adverse effect on our business.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currently expect that the market for a treatment for COVID-19 will be large, and we cannot be certain that Roche, our exclusive supplier of AT-527 commercial product for COVID-19, will be able to satisfy commercial demand for AT-527, if approved. If AT-527 is approved and we are unable to meet commercial demand, we may not be able to fully capitalize on our development of AT-527, which could have an adverse effect on our business.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Furthermore, we have never commercialized a product and may not be successful in establishing the capabilities required for commercialization. In order to commercialize AT-527, we are developing commercial capabilities. If we do not obtain approval for AT-527, we will have expended those resources prematurely, and our business could be adversely affected.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There has also been significant media coverage regarding the pricing of any vaccine or treatment for COVID-19. For example, Gilead Sciences, Inc. came under scrutiny regarding its pricing of Veklury (remdesivir), after having donated the initial supply of the drug. Pricing for drugs to treat COVID-19 continues to evolve, and we cannot be certain of the factors that will determine the sales price of AT-527, if approved. If we are unable to sell AT-527 at a sufficient price point, our ability to commercialize AT-527, if approved, may be adversely affected.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AT-527 may face significant competition from vaccines and other treatments for COVID-19 that are in development.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in October 2020, the FDA approved the antiviral drug Veklury (remdesivir), a direct acting antiviral marketed by Gilead Sciences for the treatment of COVID-19 for certain patients requiring hospitalization and in November 2020 the FDA granted Regeneron an emergency use authorization for the use of casirivimab and imdevimab, administered together, for the treatment of mild to moderate coronavirus COVID-19 in adult and certain pediatric patients with positive results of direct SARS-CoV-2 viral testing who are at high risk for progressing to severe COVID-19 and/or hospitalization. In the same month, FDA granted Eli Lily emergency use authorization for bamlanivimab for the treatment of </w:t>
      </w:r>
      <w:r>
        <w:rPr>
          <w:rFonts w:ascii="Arial" w:hAnsi="Arial"/>
          <w:b w:val="false"/>
          <w:i w:val="false"/>
          <w:caps w:val="false"/>
          <w:smallCaps w:val="false"/>
          <w:color w:val="333333"/>
          <w:sz w:val="20"/>
          <w:highlight w:val="white"/>
        </w:rPr>
        <w:t xml:space="preserve">mild to moderate COVID-19 in adult and certain pediatric patients.  In addition to therapeutics, vaccines indicated for active immunization to prevent COVID-19 have been recently authorized for emergency use.  In December 2020, the FDA granted authorization for emergency use for vaccines from </w:t>
      </w:r>
      <w:r>
        <w:rPr>
          <w:rFonts w:ascii="Arial" w:hAnsi="Arial"/>
          <w:b w:val="false"/>
          <w:i w:val="false"/>
          <w:caps w:val="false"/>
          <w:smallCaps w:val="false"/>
          <w:sz w:val="20"/>
        </w:rPr>
        <w:t xml:space="preserve">Pfizer Inc. and BioNTech and Moderna, Inc. each of which announced clinical trial results showing that their respective vaccine candidate was found to be more than 90% effective in preventing COVID-19 during such trials and in February 2021, the FDA granted emergency use authorization to a vaccine developed by Janssen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42</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Pharmaceutical Company. Additional vaccines and therapeutics are in development by other pharmaceutical and biopharmaceutical companies. For example, molnupirvir, an orally administered direct-acting antiviral, which is being developed by Merck and Ridgeback Biotherapeutics is currently in Phase 2/3 development in both outpatient and hospital settings.   Given the products currently approved or authorized for use as well as those in development by others, any treatment we may develop could face significant competition. If any other company develops treatments more rapidly or effectively than we do, develops a treatment that becomes the standard of care, develops a treatment at a lower cost, or is more successful at commercializing an approved treatment, we may not be able to successfully commercialize AT-527 for the treatment of COVID-19, even if approved, or compete with other treatments or vaccines, which could adversely impact our business and operations.</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The COVID-19 pandemic may materially and adversely affect our business and financial results.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December 2019, SARS-CoV-2 surfaced in China. Since then, COVID-19 has spread globally. In the United States, travel bans and government stay-at-home orders caused widespread disruption in business operations and economic activity. Governmental authorities around the world implemented measures to reduce the spread of COVID-19. These measures, including suggested or mandated “shelter-in-place” orders, have adversely affected workforces, customers, consumer sentiment, economies, and financial markets, and, along with decreased consumer spending, have contributed to an economic downturn in the United States. In response to the public health directives and orders and to help minimize the risk of COVID-19 for our employees, we have taken precautionary measures, including implementing work-from-home policies for all our employees. Many of our third-party collaborators, such as our CMOs, clinical research organizations (“CROs”), suppliers and others, have taken similar precautionary measures. These measures have disrupted our business and delayed certain of our clinical programs and timelines. For example, our Phase 1/2a clinical trial of AT-787 for the treatment of hepatitis C virus (“HCV”) was paused when clinical trial sites closed due to COVID-19 precautions by the countries and medical facilities where the trial was to be conducted. As certain countries have reopened, they have experienced a new surge of infection and have in some areas reinstated stay at home and other containment measures. Efforts to re-open are likely to take a significant amount of time, require additional resources to implement social-distancing and other containment measures, or may not be successful.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impact to our operations due to the COVID-19 pandemic could be severe and could negatively affect our business, financial condition and results of operations. To the extent the COVID-19 pandemic adversely affects our business and financial results, it may also have the effect of heightening many of the other risk factors described in this “Risk Factors” section, such as those relating to our clinical trial timelines, our ability to enroll subjects for clinical trials and obtain materials that are required for the production of our product candidates, and our ability to raise capital.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The COVID-19 pandemic may materially and adversely affect our clinical trials.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a result of the COVID-19 pandemic, we may experience additional disruptions that could severely impact our clinical trials, including: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or difficulties in enrolling patients in a clinical trial, including rapidly evolving treatment paradigms, and patients that may not be able to comply with clinical trial protocols if quarantines impede patient movement or interrupt healthcare services;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or difficulties in clinical site initiation, including difficulties in recruiting clinical site investigators, and clinical site staff, or the overwork of existing investigators and staff;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diversion or prioritization of healthcare resources away from the conduct of clinical trials and towards the COVID-19 pandemic, including the diversion of hospitals serving as our clinical trial sites and hospital staff supporting the conduct of our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interruptions or delays in preclinical studies due to restricted or limited operations at research and development laboratory facilities;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interruption of key clinical trial activities, such as clinical trial site monitoring, due to limitations on travel imposed or recommended by federal, state or provincial governments, employers and others;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43</w:t>
      </w:r>
    </w:p>
    <w:p>
      <w:pPr>
        <w:pStyle w:val="HorizontalLine"/>
        <w:rPr/>
      </w:pPr>
      <w:r>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val="false"/>
                <w:caps w:val="false"/>
                <w:smallCaps w:val="false"/>
                <w:color w:val="000000"/>
              </w:rPr>
              <w:t>the risk that participants enrolled in our non-COVID-19-related clinical trials will contract COVID-19 while the clinical trial is ongoing, which could impact the results of the clinical trial, including by increasing the number of observed adverse events;</w:t>
            </w:r>
            <w:r>
              <w:rPr>
                <w:b w:val="false"/>
                <w:i w:val="false"/>
                <w:caps w:val="false"/>
                <w:smallCaps w:val="false"/>
                <w:color w:val="000000"/>
              </w:rPr>
              <w:t xml:space="preserv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limitations in employee resources that would otherwise be focused on the conduct of our clinical trials, including because of sickness of employees or their families or the desire of employees to avoid contact with large groups of people;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receiving approval from local regulatory authorities to initiate our planned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clinical sites receiving the supplies and materials needed to conduct our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interruption in global shipping that may affect the transport of clinical trial materials, such as investigational drug product;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in local regulations as part of a response to the COVID-19 outbreak that may require us to change the ways in which our clinical trials are conducted, which may result in unexpected costs, or to discontinue the clinical trials altogether;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necessary interactions with local regulators, ethics committees and other important agencies and contractors due to limitations in employee resources or forced furlough of government employees; and </w:t>
            </w:r>
          </w:p>
        </w:tc>
      </w:tr>
    </w:tbl>
    <w:tbl>
      <w:tblPr>
        <w:tblW w:w="9205" w:type="dxa"/>
        <w:jc w:val="left"/>
        <w:tblInd w:w="0" w:type="dxa"/>
        <w:tblCellMar>
          <w:top w:w="0" w:type="dxa"/>
          <w:left w:w="0" w:type="dxa"/>
          <w:bottom w:w="0" w:type="dxa"/>
          <w:right w:w="0" w:type="dxa"/>
        </w:tblCellMar>
      </w:tblPr>
      <w:tblGrid>
        <w:gridCol w:w="110"/>
        <w:gridCol w:w="9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refusal of the FDA to accept data from clinical trials in these affected geographies.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For example, our HCV program was delayed when clinical trial sites conducting our Phase 1/2a trials closed, and our other development programs may be delayed or otherwise negatively impacted. As a result, the expected timeline for data readouts of our clinical trials and certain regulatory submissions will likely be negatively impacted, which would adversely affect and delay our ability to seek regulatory approvals for our product candidates, increase our operating expenses, and have a material adverse effect on our financial condition. Moreover, SARS-CoV-2 is a novel pathogen, and information regarding the emergence of viral variants, and the symptoms, progression, and transmission of COVID-19 continues to rapidly evolve, which may present additional challenges for the conduct of our clinical trials in COVID-19 patients. For example, COVID-19 patients have presented with a wide range of symptoms and side effects, which may make it more difficult for clinical trial investigators to determine whether any adverse events observed in our clinical trials are related to AT-527 or are consistent with the underlying disease. Any increase in the severity or incidence of adverse events deemed to be related to AT-527 could delay or prevent its regulatory approval, which could have a material adverse effect on our business, financial condition and results of operations.</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 xml:space="preserve">Risks Related to Our Financial Condition and Capital Requirements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have a limited operating history and no history of successfully developing or commercializing any approved antiviral products, which may make it difficult to evaluate the success of our business to date and to assess the prospects for our future viability.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a clinical-stage biopharmaceutical company. Our operations to date have been limited to financing and staffing our company, developing our technology and identifying and developing our product candidates. Our prospects must be considered in light of the uncertainties, risks, expenses and difficulties frequently encountered by biopharmaceutical companies in their early stages of operations. We have not yet demonstrated an ability to complete any late-stage or pivotal clinical trials, obtain marketing approval, manufacture a commercial-scale product, or conduct sales and marketing activities necessary for successful product commercialization, or arrange for third parties to do these activities on our behalf. Consequently, predictions about our future success or viability may not be as accurate as they could be if we had a longer operating history or a history of successfully developing, obtaining marketing approval for and commercializing antiviral therapies.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we may encounter unforeseen expenses, difficulties, complications, delays and other known and unknown obstacles. If we successfully develop a product candidate, we will eventually need to transition from a company with a research and development focus to a company capable of supporting commercial activities. We may not be successful in this transition. For example, we may need to rapidly develop our commercialization capabilities if AT-527 is approved for the treatment of COVID-19.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44</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we continue to build our business, we expect our financial condition and operating results may fluctuate significantly from quarter to quarter and year to year due to a variety of factors, many of which are beyond our control. Accordingly, you should not rely upon the results of any particular quarterly or annual period as indications of future operating performance.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have incurred significant losses since inception and expect to incur significant additional losses for the foreseeable future. We have no products that have generated any commercial revenue and we may never achieve or maintain profitability.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have incurred significant operating losses since our inception, including operating losses of $11.0 million, $14.6 million and $9.5 million for the years ended December 31, 2020, 2019 and 2018, respectively. As of December 31, 2020, we had an accumulated deficit of $65.2 million. In addition, we have not commercialized any products and have never generated any revenue from product sales. We have devoted almost all of our financial resources to research and development, including our clinical trials and preclinical development activities.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expect to continue to incur significant additional operating losses for the foreseeable future as we seek to advance product candidates through clinical development, continue preclinical development, expand our research and development activities, develop new product candidates, complete preclinical studies and clinical trials, seek regulatory approval and, if we receive regulatory approval, commercialize our products. In order to obtain FDA approval to market any product candidate in the United States, we must submit to the FDA a New Drug Application (“NDA”) demonstrating to the FDA’s satisfaction that the product candidate is safe and effective for its intended use(s). This demonstration requires significant research and extensive data from animal tests, which are referred to as nonclinical or preclinical studies, as well as human tests, which are referred to as clinical trials. Furthermore, the costs of advancing product candidates into each succeeding clinical phase tend to increase substantially over time. The total costs to advance any of our product candidates to marketing approval in even a single jurisdiction would be substantial and difficult to accurately predict. Because of the numerous risks and uncertainties associated with the development of drug products, we are unable to accurately predict the timing or amount of increased expenses or when, or if, we will be able to begin generating revenue from the commercialization of products or achieve or maintain profitability. Our expenses will also increase substantially if or as we: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initiate additional clinical trials of our most advanced product candidate, AT-527, including our anticipated Phase 3 global clinical development program and progress our ongoing Phase 2 clinical trials for the treatment of patients with moderate COVID-19 and our current and planned Phase 1 clinical trials in healthy volunteers;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advance the development of our other product candidates, including resuming our Phase 1/2a clinical trial of AT-787 for the treatment of HCV, which has been delayed due to the COVID-19 pandemic, and a Phase 1 clinical trial of AT-752 for the treatment of dengue, and the preclinical development of our other product candidates, including AT-899 and other product candidates for the treatment of RSV; </w:t>
            </w:r>
          </w:p>
        </w:tc>
      </w:tr>
    </w:tbl>
    <w:tbl>
      <w:tblPr>
        <w:tblW w:w="6955" w:type="dxa"/>
        <w:jc w:val="left"/>
        <w:tblInd w:w="0" w:type="dxa"/>
        <w:tblCellMar>
          <w:top w:w="0" w:type="dxa"/>
          <w:left w:w="0" w:type="dxa"/>
          <w:bottom w:w="0" w:type="dxa"/>
          <w:right w:w="0" w:type="dxa"/>
        </w:tblCellMar>
      </w:tblPr>
      <w:tblGrid>
        <w:gridCol w:w="110"/>
        <w:gridCol w:w="68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84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continue to discover and develop additional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seek regulatory and marketing approvals for product candidates that successfully complete clinical trials, if any;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establish manufacturing and supply chain capacity sufficient to provide commercial quantities of any product candidates for which we may obtain marketing approval, if any;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establish a sales, marketing, internal systems and distribution infrastructure to commercialize any products for which we may obtain regulatory approval, if any, in geographies in which we plan to commercialize our products ourselves or with co-promotion collaborators; </w:t>
            </w:r>
          </w:p>
        </w:tc>
      </w:tr>
    </w:tbl>
    <w:tbl>
      <w:tblPr>
        <w:tblW w:w="7705" w:type="dxa"/>
        <w:jc w:val="left"/>
        <w:tblInd w:w="0" w:type="dxa"/>
        <w:tblCellMar>
          <w:top w:w="0" w:type="dxa"/>
          <w:left w:w="0" w:type="dxa"/>
          <w:bottom w:w="0" w:type="dxa"/>
          <w:right w:w="0" w:type="dxa"/>
        </w:tblCellMar>
      </w:tblPr>
      <w:tblGrid>
        <w:gridCol w:w="110"/>
        <w:gridCol w:w="75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maintain, expand, protect and enforce our intellectual property portfolio;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hire additional staff, including clinical, scientific, technical, regulatory, operational, financial, commercial and support personnel, to execute our business plan and support our product development and potential future commercialization efforts;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more extensively utilize external vendors for support with respect to research, development, manufacturing, commercialization, regulatory, pharmacovigilance and other functions;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45</w:t>
      </w:r>
    </w:p>
    <w:p>
      <w:pPr>
        <w:pStyle w:val="HorizontalLine"/>
        <w:rPr/>
      </w:pPr>
      <w:r>
        <w:rPr/>
      </w:r>
    </w:p>
    <w:tbl>
      <w:tblPr>
        <w:tblW w:w="9820" w:type="dxa"/>
        <w:jc w:val="left"/>
        <w:tblInd w:w="0" w:type="dxa"/>
        <w:tblCellMar>
          <w:top w:w="0" w:type="dxa"/>
          <w:left w:w="0" w:type="dxa"/>
          <w:bottom w:w="0" w:type="dxa"/>
          <w:right w:w="0" w:type="dxa"/>
        </w:tblCellMar>
      </w:tblPr>
      <w:tblGrid>
        <w:gridCol w:w="110"/>
        <w:gridCol w:w="971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710" w:type="dxa"/>
            <w:tcBorders/>
            <w:shd w:fill="auto" w:val="clear"/>
          </w:tcPr>
          <w:p>
            <w:pPr>
              <w:pStyle w:val="TableContents"/>
              <w:spacing w:before="120" w:after="0"/>
              <w:jc w:val="left"/>
              <w:rPr>
                <w:b w:val="false"/>
                <w:i w:val="false"/>
                <w:caps w:val="false"/>
                <w:smallCaps w:val="false"/>
              </w:rPr>
            </w:pPr>
            <w:r>
              <w:rPr>
                <w:rFonts w:ascii="Arial" w:hAnsi="Arial"/>
                <w:b w:val="false"/>
                <w:i w:val="false"/>
                <w:caps w:val="false"/>
                <w:smallCaps w:val="false"/>
                <w:color w:val="000000"/>
              </w:rPr>
              <w:t>acquire or in-license commercial products, additional product candidates and technologies;</w:t>
            </w:r>
            <w:r>
              <w:rPr>
                <w:b w:val="false"/>
                <w:i w:val="false"/>
                <w:caps w:val="false"/>
                <w:smallCaps w:val="false"/>
                <w:color w:val="000000"/>
              </w:rPr>
              <w:t xml:space="preserve"> </w:t>
            </w:r>
          </w:p>
        </w:tc>
      </w:tr>
    </w:tbl>
    <w:tbl>
      <w:tblPr>
        <w:tblW w:w="9385" w:type="dxa"/>
        <w:jc w:val="left"/>
        <w:tblInd w:w="0" w:type="dxa"/>
        <w:tblCellMar>
          <w:top w:w="0" w:type="dxa"/>
          <w:left w:w="0" w:type="dxa"/>
          <w:bottom w:w="0" w:type="dxa"/>
          <w:right w:w="0" w:type="dxa"/>
        </w:tblCellMar>
      </w:tblPr>
      <w:tblGrid>
        <w:gridCol w:w="110"/>
        <w:gridCol w:w="92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27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make royalty, milestone or other payments under any future in-license agreements;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incur additional legal, accounting and other expenses in operating our business as a public company.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Furthermore, our ability to successfully develop, commercialize and license any products and generate product revenue is subject to substantial additional risks and uncertainties. Each of our product candidates will require additional preclinical and/or clinical development, regulatory approval in not less than one jurisdiction, the securing of manufacturing supply, capacity, distribution channels and expertise, the use of external vendors, the building of a commercial organization, substantial investment and significant marketing efforts before we generate any revenue from product sales. As a result, we expect to continue to incur operating losses and negative cash flows for the foreseeable future. These operating losses and negative cash flows have had, and will continue to have, an adverse effect on our stockholders’ equity and working capital.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amount of future losses and when, if ever, we will achieve profitability are uncertain. We have no products that have generated any commercial revenue, do not expect to generate revenues from the commercial sale of products in the foreseeable future until we have successfully developed one or more product candidates, and might never generate revenues from the sale of products. Our ability to generate product revenue and achieve profitability will depend on, among other things, successful completion of the clinical development of our product candidates; obtaining necessary regulatory approvals from the FDA and foreign regulatory authorities; establishing manufacturing and sales capabilities; market acceptance of our products, if approved, and establishing marketing infrastructure to commercialize our product candidates for which we obtain approval; and raising sufficient funds to finance our activities. We might not succeed at any of these undertakings. If we are unsuccessful at some or all of these undertakings, our business, prospects, and results of operations may be materially adversely affected.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will require substantial additional financing, which may not be available on acceptable terms, or at all. A failure to obtain this necessary capital when needed could force us to delay, limit, reduce or terminate our product development or commercialization efforts.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operations have incurred substantial expenses since inception. We expect to continue to incur substantial expenses to continue the clinical development of AT-527, AT-752 and AT-787, for future clinical trials for our other product candidates and to continue to identify new product candidates.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will continue to need additional capital to fund future clinical trials and preclinical development, which we may raise through equity offerings, debt financings, marketing and distribution arrangements and other collaborations, strategic alliances and licensing arrangements or other sources. Additional sources of financing might not be available on favorable terms, if at all. If we do not succeed in raising additional funds on acceptable terms, we might be unable to initiate or complete planned clinical trials or seek regulatory approvals of any of our product candidates from the FDA, or any foreign regulatory authorities, and could be forced to discontinue product development. In addition, attempting to secure additional financing may divert the time and attention of our management from day-to-day activities and harm our product candidate development efforts.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Based on our current operating plan, we believe that our cash and cash equivalents as of December 31, 2020, will be sufficient to fund our operating expenses and capital expenditure requirements through at least 2023. This estimate is based on assumptions that may prove to be wrong, and we could use our available capital resources sooner than we currently expect. We will require significant additional funds in order to launch and commercialize our current and any future product candidates to the extent that such launch and commercialization are not the responsibility of a collaborator.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 we develop.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future capital requirements depend on many factors, including: </w:t>
      </w:r>
    </w:p>
    <w:tbl>
      <w:tblPr>
        <w:tblW w:w="8725" w:type="dxa"/>
        <w:jc w:val="left"/>
        <w:tblInd w:w="0" w:type="dxa"/>
        <w:tblCellMar>
          <w:top w:w="0" w:type="dxa"/>
          <w:left w:w="0" w:type="dxa"/>
          <w:bottom w:w="0" w:type="dxa"/>
          <w:right w:w="0" w:type="dxa"/>
        </w:tblCellMar>
      </w:tblPr>
      <w:tblGrid>
        <w:gridCol w:w="110"/>
        <w:gridCol w:w="86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61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scope, progress, results and costs of our preclinical studies and clinical trials;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46</w:t>
      </w:r>
    </w:p>
    <w:p>
      <w:pPr>
        <w:pStyle w:val="HorizontalLine"/>
        <w:rPr/>
      </w:pPr>
      <w:r>
        <w:rPr/>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timing of, and the costs involved in, obtaining marketing approvals for our current and future product candidates in regions where we choose to commercialize any products;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number of future product candidates and potential additional indications that we may pursue and their development requirements;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stability, scale, yield and cost of manufacturing our product candidates for clinical trials, in preparation for regulatory approval and in preparation for commercialization;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costs of commercialization activities for any approved product candidate to the extent such costs are not the responsibility of any collaborators, including the costs and timing of establishing product sales, marketing, distribution and manufacturing capabilities;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revenue, if any, received from commercial sales of our product candidates, should any of our product candidates receive marketing approval; </w:t>
            </w:r>
          </w:p>
        </w:tc>
      </w:tr>
    </w:tbl>
    <w:tbl>
      <w:tblPr>
        <w:tblW w:w="9880" w:type="dxa"/>
        <w:jc w:val="left"/>
        <w:tblInd w:w="0" w:type="dxa"/>
        <w:tblCellMar>
          <w:top w:w="0" w:type="dxa"/>
          <w:left w:w="0" w:type="dxa"/>
          <w:bottom w:w="0" w:type="dxa"/>
          <w:right w:w="0" w:type="dxa"/>
        </w:tblCellMar>
      </w:tblPr>
      <w:tblGrid>
        <w:gridCol w:w="110"/>
        <w:gridCol w:w="97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77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costs and timing of changes in pharmaceutical pricing and reimbursement infrastructure;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subject to receipt of regulatory approval and revenue, if any, received from commercial sales for any approved indications for any of our product candidates;</w:t>
            </w:r>
          </w:p>
        </w:tc>
      </w:tr>
    </w:tbl>
    <w:tbl>
      <w:tblPr>
        <w:tblW w:w="7555" w:type="dxa"/>
        <w:jc w:val="left"/>
        <w:tblInd w:w="0" w:type="dxa"/>
        <w:tblCellMar>
          <w:top w:w="0" w:type="dxa"/>
          <w:left w:w="0" w:type="dxa"/>
          <w:bottom w:w="0" w:type="dxa"/>
          <w:right w:w="0" w:type="dxa"/>
        </w:tblCellMar>
      </w:tblPr>
      <w:tblGrid>
        <w:gridCol w:w="110"/>
        <w:gridCol w:w="74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44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compete with other therapies in the indications we target;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extent to which we in-license or acquire rights to other products, product candidates or technologies;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headcount growth and associated costs as we expand our research and development capabilities and establish a commercial infrastructure;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costs of preparing, filing and prosecuting patent applications and maintaining and protecting our intellectual property rights, including enforcing and defending intellectual property-related claims; and </w:t>
            </w:r>
          </w:p>
        </w:tc>
      </w:tr>
    </w:tbl>
    <w:tbl>
      <w:tblPr>
        <w:tblW w:w="4765" w:type="dxa"/>
        <w:jc w:val="left"/>
        <w:tblInd w:w="0" w:type="dxa"/>
        <w:tblCellMar>
          <w:top w:w="0" w:type="dxa"/>
          <w:left w:w="0" w:type="dxa"/>
          <w:bottom w:w="0" w:type="dxa"/>
          <w:right w:w="0" w:type="dxa"/>
        </w:tblCellMar>
      </w:tblPr>
      <w:tblGrid>
        <w:gridCol w:w="110"/>
        <w:gridCol w:w="46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65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costs of operating as a public company.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cannot be certain that additional funding will be available on acceptable terms, or at all. If we are unable to raise additional capital in sufficient amounts, on terms acceptable to us, or on a timely basis, we may have to significantly delay, scale back or discontinue the development or commercialization of our product candidates or other research and development initiatives.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have not generated any revenue from product sales and may never be profitable.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ability to become profitable depends upon our ability to generate revenue from product sales. Prior to the execution of the Roche License Agreement, we had not generated any revenue and do not expect to generate product revenue unless or until we successfully complete clinical development and obtain regulatory approval of, and then successfully commercialize, at least one of our product candidates. Our product candidates are in varying stages of development which may necessitate additional preclinical studies in some cases and in all cases will require additional clinical development as well as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timely initiation and completion of our clinical trials of AT-527, AT-787 and AT-752, our preclinical studies and our future clinical trials, which may be significantly slower or more costly than we currently anticipate and will depend substantially upon the performance of third-party contractors;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complete additional investigational new drug application (“IND”), enabling studies and successfully submit INDs or comparable applications to allow us to initiate clinical trials for our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whether we are required by the FDA or similar foreign regulatory authorities to conduct additional clinical trials or other studies beyond those planned to support the approval and commercialization of our product candidates or any future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demonstrate to the satisfaction of the FDA or similar foreign regulatory authorities the safety and efficacy of our product candidates or any future product candidates;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47</w:t>
      </w:r>
    </w:p>
    <w:p>
      <w:pPr>
        <w:pStyle w:val="HorizontalLine"/>
        <w:rPr/>
      </w:pPr>
      <w:r>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val="false"/>
                <w:caps w:val="false"/>
                <w:smallCaps w:val="false"/>
                <w:color w:val="000000"/>
              </w:rPr>
              <w:t>the prevalence, duration and severity of potential side effects or other safety issues experienced with our product candidates or future product candidates, if any;</w:t>
            </w:r>
            <w:r>
              <w:rPr>
                <w:b w:val="false"/>
                <w:i w:val="false"/>
                <w:caps w:val="false"/>
                <w:smallCaps w:val="false"/>
                <w:color w:val="000000"/>
              </w:rPr>
              <w:t xml:space="preserv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timely receipt of necessary marketing approvals from the FDA or similar foreign regulatory authorities;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willingness of physicians, operators of clinics and patients to utilize or adopt any of our product candidates or future product candidates as potential antiviral therapies;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(“cGMP”);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successfully develop a commercial strategy and thereafter commercialize our product candidates or any future product candidates in the United States and internationally, if licensed for marketing, reimbursement, sale and distribution in such countries and territories, whether alone or in collaboration with others;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establish, maintain, protect and enforce intellectual property rights in and to our product candidates or any future product candidates.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Many of the factors listed above are beyond our control, and could cause us to experience significant delays or prevent us from obtaining regulatory approvals or commercialize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ability to use our net operating loss carryforwards and other tax attributes to offset future taxable income may be subject to certain limitations.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of December 31, 2020, we had U.S. federal net operating loss carryforwards (“NOLs”), of $53.2 million, which may be available to offset future taxable income, if any, of which $27.5 million begin to expire in 2033 and of which $25.7 million do not expire but are limited in their usage (for taxable years beginning after December 31, 2020) to an annual deduction equal to 80% of annual taxable income. In addition, as of December 31, 2020, we had state NOLs of $52.5 million, which may be available to offset future taxable income, if any, and begin to expire in 2033. As of December 31, 2020, we also had federal and state research and development credit carryforwards of $1.6 million and $0.3 million, respectively, which begin to expire in 2033. In general,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NOLs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In addition, future changes in our stock ownership, some of which might be beyond our control, could result in an ownership change under Sections 382 and 383 of the Code. For these reasons, we may not be able to utilize a material portion of the NOLs or research and development credit carryforwards even if we attain profitability.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 xml:space="preserve">Risks Related to the Discovery, Development, Preclinical and Clinical Testing, Manufacturing and Regulatory Approval of Our Product Candidates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business is highly dependent on the success of our most advanced product candidates, particularly AT-527, each of which will require significant additional clinical testing before we can seek regulatory approval and potentially launch commercial sales. If these product candidates fail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48</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in clinical development, do not receive regulatory approval or are not successfully commercialized, or are significantly delayed in doing so, our business will be harmed. </w:t>
      </w:r>
    </w:p>
    <w:p>
      <w:pPr>
        <w:pStyle w:val="TextBody"/>
        <w:spacing w:before="120" w:after="0"/>
        <w:rPr>
          <w:rFonts w:ascii="Arial" w:hAnsi="Arial"/>
          <w:b w:val="false"/>
          <w:i w:val="false"/>
          <w:caps w:val="false"/>
          <w:smallCaps w:val="false"/>
          <w:sz w:val="20"/>
        </w:rPr>
      </w:pPr>
      <w:bookmarkStart w:id="14" w:name="_Hlk674088391"/>
      <w:bookmarkEnd w:id="14"/>
      <w:r>
        <w:rPr>
          <w:rFonts w:ascii="Arial" w:hAnsi="Arial"/>
          <w:b w:val="false"/>
          <w:i w:val="false"/>
          <w:caps w:val="false"/>
          <w:smallCaps w:val="false"/>
          <w:sz w:val="20"/>
        </w:rPr>
        <w:t>A substantial portion of our business and future success depends on our ability to develop, obtain regulatory approval for</w:t>
      </w:r>
      <w:bookmarkStart w:id="15" w:name="_Hlk67408839"/>
      <w:bookmarkEnd w:id="15"/>
      <w:r>
        <w:rPr>
          <w:rFonts w:ascii="Arial" w:hAnsi="Arial"/>
          <w:b w:val="false"/>
          <w:i w:val="false"/>
          <w:caps w:val="false"/>
          <w:smallCaps w:val="false"/>
          <w:sz w:val="20"/>
        </w:rPr>
        <w:t xml:space="preserve"> and successfully commercialize our most advanced product candidates, AT-527 for the treatment of COVID-19, AT-787 for the treatment of HCV, and AT-752 for the treatment of dengue fever. We currently have no products that are approved for commercial sale and have not completed the development of any of our product candidates, and we may never be able to develop marketable products. Other than our development of AT-527 for the treatment of COVID-19, for which we expect to expend resources in the near term, we expect that a substantial portion of our efforts and expenditures over the next few years will be devoted to our most advanced product candidates, which will require additional clinical development, management of clinical, medical affairs and manufacturing activities, obtaining regulatory approvals in multiple jurisdictions, securing of manufacturing supply, building of a commercial organization, substantial investment and significant marketing efforts before we can generate any revenues from any commercial sales from any product candidate, if approved. We cannot be certain that any of our product candidates will be successful in clinical trials, receive regulatory approval or be successfully commercialized even if we receive regulatory approval. Further, our development of any product candidate may be delayed, which may affect our ability to successfully commercialize such product. For example, enrollment in our Phase 1/2a trial of AT-787 for the treatment of HCV has been delayed due to the COVID-19 pandemic. Additionally, if our competitors develop products to treat COVID-19, HCV, RSV, dengue, or any other diseases which our current or future product candidates are being developed to treat, before we are able to successfully develop a product candidate, or if our competitors develop any products that are superior to our product candidates, our potential market share could become smaller or non-existent. Even if we receive approval to market these product candidates from the FDA or other regulatory bodies, we cannot be certain that our product candidates will be as or more effective than other commercially available alternatives, successfully commercialized or widely accepted in the marketplace.  Nor can we be certain that, if approved, the safety and efficacy profile of our product candidates will be consistent with the results observed in clinical trials. If we are not successful in the clinical development of our most advanced product candidates, the required regulatory approvals for these product candidates are not obtained, there are significant delays in the development or approval of these product candidates, or any approved products are not commercially successful, our business, financial condition and results of operations may be materially harmed.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The regulatory approval processes of the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Although we believe that our ongoing and planned Phase 2 and Phase 3 clinical trials of AT-527 in patients with mild or moderate COVID-19, if successful, may enable us to submit an NDA seeking approval of AT-527 for the treatment of mild or moderate COVID-19, there is no guarantee that the FDA will agree with any strategy we may propose. We have not submitted an NDA for, or obtained regulatory approval of, any product candidate. We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49</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develop in the future will ever obtain regulatory approval. Applications for our product candidates could fail to receive regulatory approval for many reasons, including but not limited to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FDA or comparable foreign regulatory authorities may disagree with the design, implementation or interpretation of results of our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population studied in the clinical program may not be sufficiently broad or representative to assure efficacy and safety in the full population for which we seek approval;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be unable to demonstrate to the FDA or comparable foreign regulatory authorities that a product candidate’s clinical and other benefits outweigh its safety risks;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data collected from clinical trials of our product candidates may not be sufficient to support the submission of an NDA or other submission or to obtain regulatory approval in the United States or elsewhere;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FDA or comparable foreign regulatory authorities may fail to approve the manufacturing processes, test procedures and specifications, or facilities of third-party manufacturers with which we contract for clinical and commercial supplies;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approval policies or regulations of the FDA or comparable foreign regulatory authorities may significantly change in a manner rendering our or our collaborators’ clinical data insufficient for approval.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This lengthy approval process, as well as the unpredictability of the results of clinical trials, may result in our failing to obtain regulatory approval to market any of our product candidates, which would seriously harm our business. In addition, even if we or our collaborators were to obtain approval, regulatory authorities may approve any of our product candidates for fewer or more limited indications than we request, may impose significant limitations in the form of narrow indications, warnings, or a Risk Evaluation and Mitigation Strategy (“REMS”).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Clinical development is lengthy and uncertain. We may encounter substantial delays and costs in our clinical trials, or may not be able to conduct or complete our clinical trials on the timelines we expect, if at all.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time-consuming and subject to uncertainty. A failure of one or more clinical trials can occur at any stage of the process, and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To date, we have not completed any late-stage or pivotal clinical trials for any of our product candidates. We cannot guarantee that any of our planned or ongoing clinical trials will be initiated or conducted as planned or completed on schedule, if at all. We also cannot be sure that submission of any future IND or similar application will result in the FDA or other regulatory authority, as applicable, allowing future clinical trials to begin in a timely manner, if at all. Moreover, even if these trials begin, issues may arise that could cause regulatory authorities to suspend or terminate such clinical trials. A failure of one or more clinical trials can occur at any stage of testing, and our future clinical trials may not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50</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be successful. Events that may prevent successful or timely initiation or completion of clinical trials include: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inability to generate sufficient preclinical, toxicology, or other in vivo or in vitro data to support the initiation or continuation of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reaching a consensus with regulatory authorities on study design or implementation of the clinical trials; </w:t>
            </w:r>
          </w:p>
        </w:tc>
      </w:tr>
    </w:tbl>
    <w:tbl>
      <w:tblPr>
        <w:tblW w:w="7945" w:type="dxa"/>
        <w:jc w:val="left"/>
        <w:tblInd w:w="0" w:type="dxa"/>
        <w:tblCellMar>
          <w:top w:w="0" w:type="dxa"/>
          <w:left w:w="0" w:type="dxa"/>
          <w:bottom w:w="0" w:type="dxa"/>
          <w:right w:w="0" w:type="dxa"/>
        </w:tblCellMar>
      </w:tblPr>
      <w:tblGrid>
        <w:gridCol w:w="110"/>
        <w:gridCol w:w="783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83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or failure in obtaining regulatory authorization to commence a trial;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reaching agreement on acceptable terms with prospective CROs and clinical trial sites, the terms of which can be subject to extensive negotiation and may vary significantly among CROs and clinical trial sites; </w:t>
            </w:r>
          </w:p>
        </w:tc>
      </w:tr>
    </w:tbl>
    <w:tbl>
      <w:tblPr>
        <w:tblW w:w="7915" w:type="dxa"/>
        <w:jc w:val="left"/>
        <w:tblInd w:w="0" w:type="dxa"/>
        <w:tblCellMar>
          <w:top w:w="0" w:type="dxa"/>
          <w:left w:w="0" w:type="dxa"/>
          <w:bottom w:w="0" w:type="dxa"/>
          <w:right w:w="0" w:type="dxa"/>
        </w:tblCellMar>
      </w:tblPr>
      <w:tblGrid>
        <w:gridCol w:w="110"/>
        <w:gridCol w:w="78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80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identifying, recruiting and training suitable clinical investigators;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obtaining required institutional review board (“IRB”) or ethics committee, approval at each clinical trial site; </w:t>
            </w:r>
          </w:p>
        </w:tc>
      </w:tr>
    </w:tbl>
    <w:tbl>
      <w:tblPr>
        <w:tblW w:w="7525" w:type="dxa"/>
        <w:jc w:val="left"/>
        <w:tblInd w:w="0" w:type="dxa"/>
        <w:tblCellMar>
          <w:top w:w="0" w:type="dxa"/>
          <w:left w:w="0" w:type="dxa"/>
          <w:bottom w:w="0" w:type="dxa"/>
          <w:right w:w="0" w:type="dxa"/>
        </w:tblCellMar>
      </w:tblPr>
      <w:tblGrid>
        <w:gridCol w:w="110"/>
        <w:gridCol w:w="74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41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recruiting suitable patients to participate in our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manufacturing, testing, releasing, validating or importing/exporting sufficient stable quantities of our product candidates for use in clinical trials or the inability to do any of the foregoing;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insufficient or inadequate supply or quality of product candidates or other materials necessary for use in clinical trials, or delays in sufficiently developing, characterizing or controlling a manufacturing process suitable for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imposition of a temporary or permanent clinical hold by regulatory authorities for a number of reasons, including after review of an IND or amendment or equivalent foreign application or amendment; as a result of a new safety finding that presents unreasonable risk to clinical trial participants; or a negative finding from an inspection of our clinical trial operations or study sites;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recruiting, screening and enrolling patients and delays caused by patients withdrawing from clinical trials or failing to return for post-treatment follow-up, including due to the COVID-19 pandemic; </w:t>
            </w:r>
          </w:p>
        </w:tc>
      </w:tr>
    </w:tbl>
    <w:tbl>
      <w:tblPr>
        <w:tblW w:w="6505" w:type="dxa"/>
        <w:jc w:val="left"/>
        <w:tblInd w:w="0" w:type="dxa"/>
        <w:tblCellMar>
          <w:top w:w="0" w:type="dxa"/>
          <w:left w:w="0" w:type="dxa"/>
          <w:bottom w:w="0" w:type="dxa"/>
          <w:right w:w="0" w:type="dxa"/>
        </w:tblCellMar>
      </w:tblPr>
      <w:tblGrid>
        <w:gridCol w:w="110"/>
        <w:gridCol w:w="63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3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difficulty collaborating with patient groups and investigators;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failure by our CROs, other third parties or us to adhere to clinical trial protocols; failure to perform in accordance with the FDA’s or any other regulatory authority’s good clinical practice requirements (“GCPs”), or applicable regulatory guidelines in other countries;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occurrence of adverse events associated with the product candidate that are viewed to outweigh its potential benefits, or occurrence of adverse events in trial of the same class of agents conducted by other companies; </w:t>
            </w:r>
          </w:p>
        </w:tc>
      </w:tr>
    </w:tbl>
    <w:tbl>
      <w:tblPr>
        <w:tblW w:w="4105" w:type="dxa"/>
        <w:jc w:val="left"/>
        <w:tblInd w:w="0" w:type="dxa"/>
        <w:tblCellMar>
          <w:top w:w="0" w:type="dxa"/>
          <w:left w:w="0" w:type="dxa"/>
          <w:bottom w:w="0" w:type="dxa"/>
          <w:right w:w="0" w:type="dxa"/>
        </w:tblCellMar>
      </w:tblPr>
      <w:tblGrid>
        <w:gridCol w:w="110"/>
        <w:gridCol w:w="39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9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to the clinical trial protocols; </w:t>
            </w:r>
          </w:p>
        </w:tc>
      </w:tr>
    </w:tbl>
    <w:tbl>
      <w:tblPr>
        <w:tblW w:w="7045" w:type="dxa"/>
        <w:jc w:val="left"/>
        <w:tblInd w:w="0" w:type="dxa"/>
        <w:tblCellMar>
          <w:top w:w="0" w:type="dxa"/>
          <w:left w:w="0" w:type="dxa"/>
          <w:bottom w:w="0" w:type="dxa"/>
          <w:right w:w="0" w:type="dxa"/>
        </w:tblCellMar>
      </w:tblPr>
      <w:tblGrid>
        <w:gridCol w:w="110"/>
        <w:gridCol w:w="693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3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clinical sites deviating from trial protocol or dropping out of a trial;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in regulatory requirements and guidance that require amending or submitting new clinical protocols;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in the standard of care on which a clinical development plan was based, which may require new or additional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selection of clinical endpoints that require prolonged periods of observation or analyses of resulting data;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51</w:t>
      </w:r>
    </w:p>
    <w:p>
      <w:pPr>
        <w:pStyle w:val="HorizontalLine"/>
        <w:rPr/>
      </w:pPr>
      <w:r>
        <w:rPr/>
      </w:r>
    </w:p>
    <w:tbl>
      <w:tblPr>
        <w:tblW w:w="8920" w:type="dxa"/>
        <w:jc w:val="left"/>
        <w:tblInd w:w="0" w:type="dxa"/>
        <w:tblCellMar>
          <w:top w:w="0" w:type="dxa"/>
          <w:left w:w="0" w:type="dxa"/>
          <w:bottom w:w="0" w:type="dxa"/>
          <w:right w:w="0" w:type="dxa"/>
        </w:tblCellMar>
      </w:tblPr>
      <w:tblGrid>
        <w:gridCol w:w="110"/>
        <w:gridCol w:w="881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810" w:type="dxa"/>
            <w:tcBorders/>
            <w:shd w:fill="auto" w:val="clear"/>
          </w:tcPr>
          <w:p>
            <w:pPr>
              <w:pStyle w:val="TableContents"/>
              <w:spacing w:before="120" w:after="0"/>
              <w:jc w:val="left"/>
              <w:rPr>
                <w:b w:val="false"/>
                <w:i w:val="false"/>
                <w:caps w:val="false"/>
                <w:smallCaps w:val="false"/>
              </w:rPr>
            </w:pPr>
            <w:r>
              <w:rPr>
                <w:rFonts w:ascii="Arial" w:hAnsi="Arial"/>
                <w:b w:val="false"/>
                <w:i w:val="false"/>
                <w:caps w:val="false"/>
                <w:smallCaps w:val="false"/>
                <w:color w:val="000000"/>
              </w:rPr>
              <w:t>the cost of clinical trials of our product candidates being greater than we anticipate;</w:t>
            </w:r>
            <w:r>
              <w:rPr>
                <w:b w:val="false"/>
                <w:i w:val="false"/>
                <w:caps w:val="false"/>
                <w:smallCaps w:val="false"/>
                <w:color w:val="000000"/>
              </w:rPr>
              <w:t xml:space="preserv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clinical trials of our product candidates producing negative or inconclusive results, which may result in our deciding, or regulators requiring us, to conduct additional clinical trials or abandon development of such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transfer of manufacturing processes to larger-scale facilities operated by a CMO and delays or failure by our CMOs or us to make any necessary changes to such manufacturing process; and </w:t>
            </w:r>
          </w:p>
        </w:tc>
      </w:tr>
    </w:tbl>
    <w:tbl>
      <w:tblPr>
        <w:tblW w:w="8785" w:type="dxa"/>
        <w:jc w:val="left"/>
        <w:tblInd w:w="0" w:type="dxa"/>
        <w:tblCellMar>
          <w:top w:w="0" w:type="dxa"/>
          <w:left w:w="0" w:type="dxa"/>
          <w:bottom w:w="0" w:type="dxa"/>
          <w:right w:w="0" w:type="dxa"/>
        </w:tblCellMar>
      </w:tblPr>
      <w:tblGrid>
        <w:gridCol w:w="110"/>
        <w:gridCol w:w="86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67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third parties being unwilling or unable to satisfy their contractual obligations to us.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disruptions caused by the COVID-19 pandemic may increase the likelihood that we encounter difficulties or delays in initiating, enrolling, conducting or completing our planned and ongoing clinical trials. For example, due to the COVID-19 pandemic, our Phase 1/2a clinical trial of AT-787 for the treatment of HCV was paused until our clinical sites are able to re-open and we elect to resume enrollment, which has not yet occurred.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any approved products have patent protection and may allow our competitors to bring products to market before we do, which could impair our ability to successfully commercialize our product candidates and may seriously harm our business. </w:t>
      </w:r>
    </w:p>
    <w:p>
      <w:pPr>
        <w:pStyle w:val="TextBody"/>
        <w:spacing w:before="120" w:after="0"/>
        <w:rPr>
          <w:rFonts w:ascii="Arial" w:hAnsi="Arial"/>
          <w:b w:val="false"/>
          <w:i w:val="false"/>
          <w:caps w:val="false"/>
          <w:smallCaps w:val="false"/>
          <w:sz w:val="20"/>
        </w:rPr>
      </w:pPr>
      <w:bookmarkStart w:id="16" w:name="_Hlk67408927"/>
      <w:bookmarkEnd w:id="16"/>
      <w:r>
        <w:rPr>
          <w:rFonts w:ascii="Arial" w:hAnsi="Arial"/>
          <w:b w:val="false"/>
          <w:i w:val="false"/>
          <w:caps w:val="false"/>
          <w:smallCaps w:val="false"/>
          <w:sz w:val="20"/>
        </w:rPr>
        <w:t xml:space="preserve">We could also encounter delays if a clinical trial is suspended or terminated by us, by the data safety monitoring board (“DSMB”), for such trial, or by the FDA or any other regulatory authority, or if the IRBs or ethics committees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Further, conducting clinical trials in foreign countries, as we are doing for our COVID-19 and dengue product candidates, and as we expect to resume for our HCV product candidate,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Delays in the completion of any clinical trial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clinical trials that occur as a result could shorten any period during which we may have the exclusive right to commercialize our product candidates and our competitors may be able to bring products to market before we do, which could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52</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significantly reduce the commercial viability of our product candidates. Any of these occurrences may harm our business, financial condition and prospects significantly.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product candidates may be associated with serious adverse events, undesirable side effects or have other properties that could halt their clinical development, prevent their regulatory approval, limit their commercial potential or result in significant negative consequences.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Adverse events or other undesirable side effects caused by our product candidates could cause us, our collaborators, any DSMB for a trial, or regulatory authorities to interrupt, delay or halt clinical trials and could result in a more restrictive label or the delay or denial of regulatory approval by the FDA or other comparable foreign regulatory authorities.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any serious adverse events occur, clinical trials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or require us to cease selling any product candidates or products for any or all targeted indications. If we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regulatory authorities may suspend, limit or withdraw approvals of such product, or seek an injunction against its manufacture or distribution;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regulatory authorities may require additional warnings on the label, including “boxed” warnings, or issue safety alerts, Dear Healthcare Provider letters, press releases or other communications containing warnings or other safety information about the product;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be required to change the way the product is administered or conduct additional clinical trials or post-approval studies;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be required to create a REMS which could include a medication guide outlining the risks of such side effects for distribution to patients; </w:t>
            </w:r>
          </w:p>
        </w:tc>
      </w:tr>
    </w:tbl>
    <w:tbl>
      <w:tblPr>
        <w:tblW w:w="8335" w:type="dxa"/>
        <w:jc w:val="left"/>
        <w:tblInd w:w="0" w:type="dxa"/>
        <w:tblCellMar>
          <w:top w:w="0" w:type="dxa"/>
          <w:left w:w="0" w:type="dxa"/>
          <w:bottom w:w="0" w:type="dxa"/>
          <w:right w:w="0" w:type="dxa"/>
        </w:tblCellMar>
      </w:tblPr>
      <w:tblGrid>
        <w:gridCol w:w="110"/>
        <w:gridCol w:w="822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2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be subject to fines, injunctions or the imposition of criminal penalties; </w:t>
            </w:r>
          </w:p>
        </w:tc>
      </w:tr>
    </w:tbl>
    <w:tbl>
      <w:tblPr>
        <w:tblW w:w="7150" w:type="dxa"/>
        <w:jc w:val="left"/>
        <w:tblInd w:w="0" w:type="dxa"/>
        <w:tblCellMar>
          <w:top w:w="0" w:type="dxa"/>
          <w:left w:w="0" w:type="dxa"/>
          <w:bottom w:w="0" w:type="dxa"/>
          <w:right w:w="0" w:type="dxa"/>
        </w:tblCellMar>
      </w:tblPr>
      <w:tblGrid>
        <w:gridCol w:w="110"/>
        <w:gridCol w:w="70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4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could be sued and held liable for harm caused to patients; and </w:t>
            </w:r>
          </w:p>
        </w:tc>
      </w:tr>
    </w:tbl>
    <w:tbl>
      <w:tblPr>
        <w:tblW w:w="2875" w:type="dxa"/>
        <w:jc w:val="left"/>
        <w:tblInd w:w="0" w:type="dxa"/>
        <w:tblCellMar>
          <w:top w:w="0" w:type="dxa"/>
          <w:left w:w="0" w:type="dxa"/>
          <w:bottom w:w="0" w:type="dxa"/>
          <w:right w:w="0" w:type="dxa"/>
        </w:tblCellMar>
      </w:tblPr>
      <w:tblGrid>
        <w:gridCol w:w="110"/>
        <w:gridCol w:w="276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76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reputation may suffer. </w:t>
            </w:r>
          </w:p>
        </w:tc>
      </w:tr>
    </w:tbl>
    <w:p>
      <w:pPr>
        <w:pStyle w:val="TextBody"/>
        <w:spacing w:before="120" w:after="0"/>
        <w:rPr>
          <w:rFonts w:ascii="Arial" w:hAnsi="Arial"/>
          <w:b w:val="false"/>
          <w:i w:val="false"/>
          <w:caps w:val="false"/>
          <w:smallCaps w:val="false"/>
          <w:sz w:val="20"/>
        </w:rPr>
      </w:pPr>
      <w:bookmarkStart w:id="17" w:name="_Hlk67409006"/>
      <w:bookmarkEnd w:id="17"/>
      <w:r>
        <w:rPr>
          <w:rFonts w:ascii="Arial" w:hAnsi="Arial"/>
          <w:b w:val="false"/>
          <w:i w:val="false"/>
          <w:caps w:val="false"/>
          <w:smallCaps w:val="false"/>
          <w:sz w:val="20"/>
        </w:rPr>
        <w:t xml:space="preserve">Any of these events could prevent us from achieving or maintaining market acceptance of the particular product candidate, if approved, and could seriously harm our business, financial condition and results of operations.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53</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may develop future product candidates in combination with other therapies, which exposes us to additional risks.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may develop future product candidates in combination with other product candidates or existing therapies. Even if any product candidate we develop was to receive marketing approval or be commercialized for use in combination with other existing therapies, we would continue to be subject to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in antiviral treatments, and we would be subject to similar risks if we develop any of our product candidates for use in combination with other drugs or for indications other than currently anticipated. This could result in our own products being removed from the market or being less successful commercially.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may also evaluate our product candidates in combination with one or more other therapies that have not yet been approved for marketing by the FDA or similar foreign regulatory authorities. We will not be able to market and sell the product candidates we develop in combination with any such unapproved therapies that do not ultimately obtain marketing approval.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the FDA or similar foreign regulatory authorities do not approve these other drugs or revoke their approval of, or if safety, efficacy, manufacturing, or supply issues arise with, the drugs we choose to evaluate in combination with our product candidates, we may be unable to obtain approval of or market the product candidates we develop.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If we encounter difficulties enrolling patients in our clinical trials, our clinical development activities could be delayed or otherwise adversely affected.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 </w:t>
      </w:r>
    </w:p>
    <w:tbl>
      <w:tblPr>
        <w:tblW w:w="5560" w:type="dxa"/>
        <w:jc w:val="left"/>
        <w:tblInd w:w="0" w:type="dxa"/>
        <w:tblCellMar>
          <w:top w:w="0" w:type="dxa"/>
          <w:left w:w="0" w:type="dxa"/>
          <w:bottom w:w="0" w:type="dxa"/>
          <w:right w:w="0" w:type="dxa"/>
        </w:tblCellMar>
      </w:tblPr>
      <w:tblGrid>
        <w:gridCol w:w="110"/>
        <w:gridCol w:w="54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45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patient eligibility criteria defined in the protocol; </w:t>
            </w:r>
          </w:p>
        </w:tc>
      </w:tr>
    </w:tbl>
    <w:tbl>
      <w:tblPr>
        <w:tblW w:w="4465" w:type="dxa"/>
        <w:jc w:val="left"/>
        <w:tblInd w:w="0" w:type="dxa"/>
        <w:tblCellMar>
          <w:top w:w="0" w:type="dxa"/>
          <w:left w:w="0" w:type="dxa"/>
          <w:bottom w:w="0" w:type="dxa"/>
          <w:right w:w="0" w:type="dxa"/>
        </w:tblCellMar>
      </w:tblPr>
      <w:tblGrid>
        <w:gridCol w:w="110"/>
        <w:gridCol w:w="43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35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size of the target disease population; </w:t>
            </w:r>
          </w:p>
        </w:tc>
      </w:tr>
    </w:tbl>
    <w:tbl>
      <w:tblPr>
        <w:tblW w:w="9145" w:type="dxa"/>
        <w:jc w:val="left"/>
        <w:tblInd w:w="0" w:type="dxa"/>
        <w:tblCellMar>
          <w:top w:w="0" w:type="dxa"/>
          <w:left w:w="0" w:type="dxa"/>
          <w:bottom w:w="0" w:type="dxa"/>
          <w:right w:w="0" w:type="dxa"/>
        </w:tblCellMar>
      </w:tblPr>
      <w:tblGrid>
        <w:gridCol w:w="110"/>
        <w:gridCol w:w="903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3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size of the patient population required for analysis of the trial’s primary endpoints; </w:t>
            </w:r>
          </w:p>
        </w:tc>
      </w:tr>
    </w:tbl>
    <w:tbl>
      <w:tblPr>
        <w:tblW w:w="4015" w:type="dxa"/>
        <w:jc w:val="left"/>
        <w:tblInd w:w="0" w:type="dxa"/>
        <w:tblCellMar>
          <w:top w:w="0" w:type="dxa"/>
          <w:left w:w="0" w:type="dxa"/>
          <w:bottom w:w="0" w:type="dxa"/>
          <w:right w:w="0" w:type="dxa"/>
        </w:tblCellMar>
      </w:tblPr>
      <w:tblGrid>
        <w:gridCol w:w="110"/>
        <w:gridCol w:w="39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90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proximity of patients to trial sites; </w:t>
            </w:r>
          </w:p>
        </w:tc>
      </w:tr>
    </w:tbl>
    <w:tbl>
      <w:tblPr>
        <w:tblW w:w="2455" w:type="dxa"/>
        <w:jc w:val="left"/>
        <w:tblInd w:w="0" w:type="dxa"/>
        <w:tblCellMar>
          <w:top w:w="0" w:type="dxa"/>
          <w:left w:w="0" w:type="dxa"/>
          <w:bottom w:w="0" w:type="dxa"/>
          <w:right w:w="0" w:type="dxa"/>
        </w:tblCellMar>
      </w:tblPr>
      <w:tblGrid>
        <w:gridCol w:w="110"/>
        <w:gridCol w:w="23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34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design of the trial;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recruit clinical trial investigators with the appropriate competencies and experience;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clinicians’ and patients’ perceptions as to the potential advantages of the product candidate being studied in relation to other available therapies, including any new products that may be approved for the indications we are investigating; </w:t>
            </w:r>
          </w:p>
        </w:tc>
      </w:tr>
    </w:tbl>
    <w:tbl>
      <w:tblPr>
        <w:tblW w:w="5500" w:type="dxa"/>
        <w:jc w:val="left"/>
        <w:tblInd w:w="0" w:type="dxa"/>
        <w:tblCellMar>
          <w:top w:w="0" w:type="dxa"/>
          <w:left w:w="0" w:type="dxa"/>
          <w:bottom w:w="0" w:type="dxa"/>
          <w:right w:w="0" w:type="dxa"/>
        </w:tblCellMar>
      </w:tblPr>
      <w:tblGrid>
        <w:gridCol w:w="110"/>
        <w:gridCol w:w="53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39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obtain and maintain patient consents;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risk that patients enrolled in clinical trials will drop out of the trials before trial completion;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other factors outside of our control, such as the COVID-19 pandemic which has, among other things, created substantial burdens on healthcare providers who may be required to prioritize immediate critical patient care over clinical research.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For example, due to the COVID-19 pandemic, our Phase 1/2a trial of AT-787 for the treatment of HCV was paused until our clinical sites are able to re-open and we elect to resume enrollment, which has not yet occurred. In addition, our clinical trials will compete with other clinical trials for product candidates that are in the same therapeutic areas as our product candidates or similar areas,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54</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same clinical trial sites that some of our competitors use, which will reduce the number of patients who are available for our clinical trials at such clinical trial sites.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Delays in patient enrollment may result in increased costs or may affect the timing or outcome of our ongoing and planned clinical trials, which could prevent completion or commencement of these trials and adversely affect our ability to advance the development of our product candidates.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currently conduct clinical trials, and may in the future choose to conduct additional clinical trials, of our product candidates in sites outside the United States, and the FDA may not accept data from trials conducted in foreign locations.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currently conduct, and may in the future choose to conduct, clinical trials outside the United States for our product candidates. Although the FDA may accept data from clinical trials conducted outside the United States, acceptance of this data is subject to certain conditions imposed by the FDA. For example, the clinical trial must be conducted in accordance with GCP, and the FDA must also be able to validate the data from the study through an on-site inspection if necessary. In general, the patient population for any clinical trials conducted outside of the United States must be representative of the population for which we intend to seek approval for the product in the United States. In addition, while these clinical trials are subject to the applicable local laws, the FDA acceptance of the data will be dependent upon its determination that the trials also complied with all applicable U.S. laws and regulations. There can be no assurance the FDA will accept data from trials conducted outside of the United States. If the FDA does not accept the data from our clinical trials of our product candidates, it would likely result in the need for additional trials, which would be costly and time-consuming and delay or permanently halt our development of our product candidates.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there are risks inherent in conducting clinical trials in multiple jurisdictions, inside and outside of the United States, such as: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regulatory and administrative requirements of the jurisdiction where the trial is conducted that could burden or limit our ability to conduct our clinical trials; </w:t>
            </w:r>
          </w:p>
        </w:tc>
      </w:tr>
    </w:tbl>
    <w:tbl>
      <w:tblPr>
        <w:tblW w:w="3370" w:type="dxa"/>
        <w:jc w:val="left"/>
        <w:tblInd w:w="0" w:type="dxa"/>
        <w:tblCellMar>
          <w:top w:w="0" w:type="dxa"/>
          <w:left w:w="0" w:type="dxa"/>
          <w:bottom w:w="0" w:type="dxa"/>
          <w:right w:w="0" w:type="dxa"/>
        </w:tblCellMar>
      </w:tblPr>
      <w:tblGrid>
        <w:gridCol w:w="110"/>
        <w:gridCol w:w="32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26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foreign exchange fluctuations; </w:t>
            </w:r>
          </w:p>
        </w:tc>
      </w:tr>
    </w:tbl>
    <w:tbl>
      <w:tblPr>
        <w:tblW w:w="6640" w:type="dxa"/>
        <w:jc w:val="left"/>
        <w:tblInd w:w="0" w:type="dxa"/>
        <w:tblCellMar>
          <w:top w:w="0" w:type="dxa"/>
          <w:left w:w="0" w:type="dxa"/>
          <w:bottom w:w="0" w:type="dxa"/>
          <w:right w:w="0" w:type="dxa"/>
        </w:tblCellMar>
      </w:tblPr>
      <w:tblGrid>
        <w:gridCol w:w="110"/>
        <w:gridCol w:w="653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53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manufacturing, customs, shipment and storage requirements; </w:t>
            </w:r>
          </w:p>
        </w:tc>
      </w:tr>
    </w:tbl>
    <w:tbl>
      <w:tblPr>
        <w:tblW w:w="7045" w:type="dxa"/>
        <w:jc w:val="left"/>
        <w:tblInd w:w="0" w:type="dxa"/>
        <w:tblCellMar>
          <w:top w:w="0" w:type="dxa"/>
          <w:left w:w="0" w:type="dxa"/>
          <w:bottom w:w="0" w:type="dxa"/>
          <w:right w:w="0" w:type="dxa"/>
        </w:tblCellMar>
      </w:tblPr>
      <w:tblGrid>
        <w:gridCol w:w="110"/>
        <w:gridCol w:w="693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3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cultural differences in medical practice and clinical research;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risk that the patient populations in such trials are not considered representative as compared to the patient population in the target markets where approval is being sought. </w:t>
            </w:r>
          </w:p>
        </w:tc>
      </w:tr>
    </w:tbl>
    <w:p>
      <w:pPr>
        <w:pStyle w:val="TextBody"/>
        <w:spacing w:before="120" w:after="0"/>
        <w:rPr>
          <w:rFonts w:ascii="Arial" w:hAnsi="Arial"/>
          <w:b/>
          <w:i/>
          <w:caps w:val="false"/>
          <w:smallCaps w:val="false"/>
          <w:sz w:val="20"/>
        </w:rPr>
      </w:pPr>
      <w:r>
        <w:rPr>
          <w:rFonts w:ascii="Arial" w:hAnsi="Arial"/>
          <w:b/>
          <w:i/>
          <w:caps w:val="false"/>
          <w:smallCaps w:val="false"/>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spacing w:before="120" w:after="0"/>
        <w:rPr>
          <w:rFonts w:ascii="Arial" w:hAnsi="Arial"/>
          <w:b w:val="false"/>
          <w:i w:val="false"/>
          <w:caps w:val="false"/>
          <w:smallCaps w:val="false"/>
          <w:sz w:val="20"/>
        </w:rPr>
      </w:pPr>
      <w:bookmarkStart w:id="18" w:name="_Hlk67409071"/>
      <w:bookmarkEnd w:id="18"/>
      <w:r>
        <w:rPr>
          <w:rFonts w:ascii="Arial" w:hAnsi="Arial"/>
          <w:b w:val="false"/>
          <w:i w:val="false"/>
          <w:caps w:val="false"/>
          <w:smallCaps w:val="false"/>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Consequently, the top-line or preliminary data that we report may differ from final results reported from the same studies, or different conclusions or considerations may qualify such preliminary or topline data, once additional data have been received and fully evaluated. Top-line data also remain subject to audit and verification procedures that may result in the final results being materially different from the preliminary or topline data we previously published. As a result, top-line data should be viewed with caution until the final data are available.</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55</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results could significantly harm our business prospects. Further, disclosure of interim data by us or by our competitors could result in volatility in the price of our common stock.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may not be successful in our efforts to identify and successfully develop additional product candidates.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Part of our strategy involves identifying novel product candidates. The process by which we identify novel product candidates may fail to yield product candidates for clinical development for a number of reasons, including those discussed in these risk factors and also: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not be able to assemble sufficient resources to acquire or discover additional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competitors may develop alternatives that render our potential product candidates obsolete or less attractive;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potential product candidates we develop may nevertheless be covered by third-parties’ patent or other intellectual property or exclusive rights;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potential product candidates may, on further study, be shown to have harmful side effects, toxicities or other characteristics that indicate that they are unlikely to be products that will receive marketing approval or achieve market acceptance, if approved;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potential product candidates may not be effective in treating their targeted diseases or symptoms;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market for a potential product candidate may change so that the continued development of that product candidate is no longer reasonable;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 potential product candidate may not be capable of being produced in commercial quantities at an acceptable cost, or at all; or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regulatory pathway for a potential product candidate is highly complex and difficult to navigate successfully or economically.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we are unable to identify and successfully commercialize additional suitable product candidates, this would adversely impact our business strategy and our financial position.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may focus on potential product candidates that may prove to be unsuccessful and we may have to forego opportunities to develop other product candidates that may prove to be more successful.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may choose to focus our efforts and resources on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56</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Furthermore, we have limited financial and personnel resources and are placing significant focus on the development of our lead product candidates, particularly AT-527, and as such,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future product candidate, we may relinquish valuable rights to those future product candidates through collaboration, licensing or other royalty arrangements in cases in which it would have been more advantageous for us to retain sole development and commercialization rights to such future product candidates.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A Breakthrough Therapy designation by the FDA, even if granted for any of our product candidates, may not lead to a faster development or regulatory review or approval process, and it does not increase the likelihood that our product candidates will receive marketing approval.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may seek a Breakthrough Therapy designation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clinical development. Drugs designated as Breakthrough Therapies by the FDA may also be eligible for priority review, if the relevant criteria are met.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review procedures and does not assure ultimate approval by the FDA. In addition, even if one or more of our product candidates qualify as breakthrough therapies, the FDA may later decide that the product no longer meets the conditions for qualification or decide that the time period for FDA review or approval will not be shortened.</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may attempt to secure FDA approval of certain product candidates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developing certain product candidates for the treatment of serious and life-threatening conditions, including AT-527 for the treatment of COVID-19, and therefore may decide to seek approval of such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57</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the sponsor fails to conduct such studies in a timely manner, or if such post-approval studies fail to verify the drug’s predicted clinical benefit, the FDA may withdraw its approval of the drug on an expedited basis.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we decide to submit an NDA seeking accelerated approval or receive an expedited regulatory designation for our product candidates, there can be no assurance that such submission or application will be accepted or that any expedited development, review or approval will be granted on a timely basis, or at all. Failure to obtain accelerated approval or any other form of expedited development, review or approval for a product candidate would result in a longer time period to commercialization of such product candidate, if any, and could increase the cost of development of such product candidate, which could harm our competitive position in the marketplace.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Any product candidates we develop may not be effective, may be only moderately effective, or may prove to have undesirable or unintended side effects, toxicities or other characteristics that may preclude our obtaining marketing approval or prevent or limit commercial use. Failure to obtain marketing approval for a product candidate will prevent us from commercializing the product candidate in a given jurisdiction. Our development programs are early-stage and we have not received approval to market any product candidates from regulatory authorities in any jurisdiction. It is possible that none of the product candidates we are developing or that we may seek to develop in the future will ever obtain regulatory approval. We have no experience in filing and supporting the applications necessary to gain marketing approvals and expect to rely on third-party CROs, suppliers, vendors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process of obtaining marketing approvals, both in the United States and abroad, is expensive, may take many years if numerous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we experience delays in obtaining approval or if we fail to obtain approval of any product candidates we may develop, the commercial prospects for those product candidates may be harmed, and our ability to generate product revenue will be materially impaired.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58</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Even if we obtain FDA approval of any of our product candidates, we may never obtain approval or commercialize such products outside of the United States, which would limit our ability to realize their full market potential.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time-consuming. Regulatory requirements can vary widely from country to country and could delay or prevent the introduction of our products in those countries. Satisfying these and other regulatory requirements is costly, time-consuming,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Even if a current or future product candidate receives marketing approval, it may fail to achieve the degree of market acceptance by physicians, patients, third-party payors and others in the medical community necessary for commercial success.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antiviral products are well established in the medical community for the treatment of HCV, and doctors may continue to rely on these therapies.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 </w:t>
      </w:r>
    </w:p>
    <w:tbl>
      <w:tblPr>
        <w:tblW w:w="7525" w:type="dxa"/>
        <w:jc w:val="left"/>
        <w:tblInd w:w="0" w:type="dxa"/>
        <w:tblCellMar>
          <w:top w:w="0" w:type="dxa"/>
          <w:left w:w="0" w:type="dxa"/>
          <w:bottom w:w="0" w:type="dxa"/>
          <w:right w:w="0" w:type="dxa"/>
        </w:tblCellMar>
      </w:tblPr>
      <w:tblGrid>
        <w:gridCol w:w="110"/>
        <w:gridCol w:w="74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41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efficacy and potential advantages compared to alternative treatments; </w:t>
            </w:r>
          </w:p>
        </w:tc>
      </w:tr>
    </w:tbl>
    <w:tbl>
      <w:tblPr>
        <w:tblW w:w="7870" w:type="dxa"/>
        <w:jc w:val="left"/>
        <w:tblInd w:w="0" w:type="dxa"/>
        <w:tblCellMar>
          <w:top w:w="0" w:type="dxa"/>
          <w:left w:w="0" w:type="dxa"/>
          <w:bottom w:w="0" w:type="dxa"/>
          <w:right w:w="0" w:type="dxa"/>
        </w:tblCellMar>
      </w:tblPr>
      <w:tblGrid>
        <w:gridCol w:w="110"/>
        <w:gridCol w:w="77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6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ability to offer our products, if approved, for sale at competitive prices; </w:t>
            </w:r>
          </w:p>
        </w:tc>
      </w:tr>
    </w:tbl>
    <w:tbl>
      <w:tblPr>
        <w:tblW w:w="8200" w:type="dxa"/>
        <w:jc w:val="left"/>
        <w:tblInd w:w="0" w:type="dxa"/>
        <w:tblCellMar>
          <w:top w:w="0" w:type="dxa"/>
          <w:left w:w="0" w:type="dxa"/>
          <w:bottom w:w="0" w:type="dxa"/>
          <w:right w:w="0" w:type="dxa"/>
        </w:tblCellMar>
      </w:tblPr>
      <w:tblGrid>
        <w:gridCol w:w="110"/>
        <w:gridCol w:w="80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09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convenience and ease of administration compared to alternative treatments;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willingness of the target patient population to try new therapies and of physicians to prescribe these therapies; </w:t>
            </w:r>
          </w:p>
        </w:tc>
      </w:tr>
    </w:tbl>
    <w:tbl>
      <w:tblPr>
        <w:tblW w:w="5410" w:type="dxa"/>
        <w:jc w:val="left"/>
        <w:tblInd w:w="0" w:type="dxa"/>
        <w:tblCellMar>
          <w:top w:w="0" w:type="dxa"/>
          <w:left w:w="0" w:type="dxa"/>
          <w:bottom w:w="0" w:type="dxa"/>
          <w:right w:w="0" w:type="dxa"/>
        </w:tblCellMar>
      </w:tblPr>
      <w:tblGrid>
        <w:gridCol w:w="110"/>
        <w:gridCol w:w="530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30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strength of marketing and distribution support;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ability to obtain sufficient third-party coverage and adequate reimbursement, including with respect to the use of the approved product as a combination therapy; </w:t>
            </w:r>
          </w:p>
        </w:tc>
      </w:tr>
    </w:tbl>
    <w:tbl>
      <w:tblPr>
        <w:tblW w:w="8080" w:type="dxa"/>
        <w:jc w:val="left"/>
        <w:tblInd w:w="0" w:type="dxa"/>
        <w:tblCellMar>
          <w:top w:w="0" w:type="dxa"/>
          <w:left w:w="0" w:type="dxa"/>
          <w:bottom w:w="0" w:type="dxa"/>
          <w:right w:w="0" w:type="dxa"/>
        </w:tblCellMar>
      </w:tblPr>
      <w:tblGrid>
        <w:gridCol w:w="110"/>
        <w:gridCol w:w="79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97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adoption of a companion diagnostic and/or complementary diagnostic; and </w:t>
            </w:r>
          </w:p>
        </w:tc>
      </w:tr>
    </w:tbl>
    <w:tbl>
      <w:tblPr>
        <w:tblW w:w="5140" w:type="dxa"/>
        <w:jc w:val="left"/>
        <w:tblInd w:w="0" w:type="dxa"/>
        <w:tblCellMar>
          <w:top w:w="0" w:type="dxa"/>
          <w:left w:w="0" w:type="dxa"/>
          <w:bottom w:w="0" w:type="dxa"/>
          <w:right w:w="0" w:type="dxa"/>
        </w:tblCellMar>
      </w:tblPr>
      <w:tblGrid>
        <w:gridCol w:w="110"/>
        <w:gridCol w:w="503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03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prevalence and severity of any side effects. </w:t>
            </w:r>
          </w:p>
        </w:tc>
      </w:tr>
    </w:tbl>
    <w:p>
      <w:pPr>
        <w:pStyle w:val="TextBody"/>
        <w:spacing w:before="120" w:after="0"/>
        <w:rPr>
          <w:rFonts w:ascii="Arial" w:hAnsi="Arial"/>
          <w:b/>
          <w:i/>
          <w:caps w:val="false"/>
          <w:smallCaps w:val="false"/>
          <w:sz w:val="20"/>
        </w:rPr>
      </w:pPr>
      <w:r>
        <w:rPr>
          <w:rFonts w:ascii="Arial" w:hAnsi="Arial"/>
          <w:b/>
          <w:i/>
          <w:caps w:val="false"/>
          <w:smallCaps w:val="false"/>
          <w:sz w:val="20"/>
        </w:rPr>
        <w:t xml:space="preserve">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ability of the FDA to review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59</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insurance policies are expensive and protect us only from some business risks, which leaves us exposed to significant uninsured liabilities.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Though we have insurance coverage for clinical trial product liability, we do not carry insurance for all categories of risk that our business may encounter. Some of the policies we currently maintain include general liability, property, auto, workers’ compensation, umbrella, and directors’ and officers’ insurance.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of our product candidates,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stock price to decline and, if judgments exceed our insurance coverage, could adversely affect our results of operations and business, including preventing or limiting the development and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Operating as a public company has and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and cash equivalents position and results of operations.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60</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business and operations would suffer in the event of system failures, deficiencies or intrusions.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computer systems, as well as those of our CROs and other contractors and consultants, are vulnerable to failure or damage from computer viruses and other malware, unauthorized access or other cybersecurity attacks, natural disasters (including hurricanes), terrorism, war, fire and telecommunication or electrical failures. In the ordinary course of our business, we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The risk of a security breach or disruption, particularly through cyber-attacks or cyber intrusion, including by computer hackers, foreign governments, and cyber terrorists, has generally increased as the number, level of persistence, intensity and sophistication of attempted attacks and intrusions from around the world have increased. As a result of the COVID-19 pandemic, we may also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nor may we be able to implement preventive measures effective against all such security threats.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Because of this, we may also experience security breaches that may remain undetected for an extended period. We cannot assure you that our data protection efforts and our investment in information technology will prevent significant breakdowns, data leakages or breaches in our systems or those of our CROs and other contractors and consultants.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such an event were to occur and cause interruptions in our operations, it could result in a material disruption of our product candidate development programs. For example, the loss of preclinical studies or clinical trial data from completed, ongoing or planned studies or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our product candidates could be delayed. Although, to our knowledge, we have not experienced any such material security breach to date, any such breach could compromise our networks and the information stored there could be accessed, publicly disclosed, lost or stolen.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 xml:space="preserve">Risks Related to Healthcare Laws and Other Legal Compliance Matters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will be subject to extensive and costly government regulation.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product candidates will be subject to extensive and rigorous domestic government regulation, including regulation by the FDA, the Centers for Medicare &amp; Medicaid Services (“CMS”), other divisions of the U.S. Department of Health and Human Services, the U.S. Department of Justice, state and local governments, and their respective equivalents outside of the United States. The FDA regulates the research, development, preclinical and clinical testing, manufacture, safety, effectiveness, record-keeping, reporting, labeling, packaging, storage, approval, advertising, promotion, sale, distribution, import and export of pharmaceutical products. If our products are marketed abroad, they will also be subject to extensive regulation by foreign governments, whether or not they have obtained FDA approval for a given product and its uses. Such foreign regulation may be equally or more demanding than corresponding United States regulation.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61</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Government regulation substantially increases the cost and risk of researching, developing, manufacturing and selling our products. The regulatory review and approval process, which includes preclinical testing and clinical trials of each product candidate, is lengthy, expensive and uncertain. We must obtain and maintain regulatory authorization to conduct preclinical studies and clinical trials. We must obtain regulatory approval for each product we intend to market, and the manufacturing facilities used for the products must be inspected and meet legal requirements. Securing regulatory approval requires the submission of extensive preclinical and clinical data and other supporting information for each proposed therapeutic indication in order to establish the product’s safety and efficacy, potency and purity, for each intended use. The development and approval process takes many years, requires substantial resources, and may never lead to the approval of a product.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 obtained, any approvals may be withdrawn, including, for example, if there is a later discovery of previously unknown problems with the product, such as a previously unknown safety issue.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we, our consultants, CMOs,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Enacted and future healthcare legislation and policies may increase the difficulty and cost for us to obtain marketing approval of and commercialize our product candidates and could adversely affect our business.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the United States, the EU and other jurisdictions, there have been, and we expect there will continue to be, a number of legislative and regulatory changes and proposed changes to the healthcare system that could prevent or delay marketing approval of our products in development, restrict or regulate post-approval activities involving any product candidates for which we obtain marketing approval, impact pricing and reimbursement and impact our ability to sell any such products profitably. In particular, there have been and continue to be a number of initiatives at the U.S. federal and state levels that seek to reduce healthcare costs and improve the quality of healthcare. In addition, new regulations and interpretations of existing healthcare statutes and regulations are frequently adopted.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March 2010, the Patient Protection and Affordable Care Act (“ACA”), was enacted, which substantially changed the way healthcare is financed by both governmental and private insurers. Among the provisions of the ACA, those of greatest importance to the pharmaceutical and biotechnology industries include the following: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an increase in the statutory minimum rebates a manufacturer must pay under the Medicaid Drug Rebate Program to 23.1% and 13.0% of the average manufacturer price for branded and generic drugs, respectively;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62</w:t>
      </w:r>
    </w:p>
    <w:p>
      <w:pPr>
        <w:pStyle w:val="HorizontalLine"/>
        <w:rPr/>
      </w:pPr>
      <w:r>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val="false"/>
                <w:caps w:val="false"/>
                <w:smallCaps w:val="false"/>
                <w:color w:val="000000"/>
              </w:rPr>
              <w:t>a new methodology by which rebates owed by manufacturers under the Medicaid Drug Rebate Program are calculated for drugs that are inhaled, infused, instilled, implanted or injected;</w:t>
            </w:r>
            <w:r>
              <w:rPr>
                <w:b w:val="false"/>
                <w:i w:val="false"/>
                <w:caps w:val="false"/>
                <w:smallCaps w:val="false"/>
                <w:color w:val="000000"/>
              </w:rPr>
              <w:t xml:space="preserv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extension of a manufacturer’s Medicaid rebate liability to covered drugs dispensed to individuals who are enrolled in Medicaid managed care organizations;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 new Patient-Centered Outcomes Research Institute to oversee, identify priorities in, and conduct comparative clinical effectiveness research, along with funding for such research;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establishment of the Center for Medicare and Medicaid Innovation at CMS to test innovative payment and service delivery models to lower Medicare and Medicaid spending, potentially including prescription drug spending.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Since its enactment, there have been judicial, Congressional and executive challenges to certain aspects of the ACA, and we expect there will be additional challenges and amendments to the ACA in the future. By way of example, in 2017, the Tax Cuts and Jobs Act (“the Tax Act”) was signed into law, which included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the U.S. District Court for the Northern District of Texas ruled that the ACA is unconstitutional in its entirety because the penalty imposed by the individual mandate, which was deemed an integral part of the ACA, was reduced to $0 and effectively nullified by Congress as part of the Tax Act. Additionally, on December 18, 2019, the U.S. Court of Appeals for the Fifth Circuit ruled that the individual mandate was unconstitutional and remanded the case back to the District Court to determine whether the remaining provisions of the ACA are invalid as well. The U.S. Supreme Court is currently reviewing this case, although it remains unclear how and when the Supreme Court will rule. On June 14, 2018, the U.S. Court of Appeals for the Federal Circuit ruled that the federal government was not required to pay more than $12 billion in ACA risk corridor payments to third-party payors who argued that these payments were owed to them. This was appealed to the Supreme Court, who reversed the Federal Circuit’s decision on April 27, 2020, and ruled that the government must make risk corridor payments. It is unclear how other efforts to challenge, repeal or replace the ACA will impact the ACA or our business.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other legislative changes have been proposed and adopted in the United States since the ACA was enacted. In August 2011, the Budget Control Act of 2011 included aggregate reductions of Medicare payments to providers of 2% per fiscal year, effective April 1, 2013 which, due to subsequent legislative amendments, will stay in effect through 2030, with the exception of a temporary suspension from May 1, 2020 through March 31, 2021, unless additional congressional action is taken. In addition,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the orphan drug tax credit was reduced as part of a broader tax reform. These new laws or any other similar laws introduced in the future may result in additional reductions in Medicare and other healthcare funding, which could negatively affect our customers and accordingly, our financial operations.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Moreover, payment methodologies may be subject to changes in healthcare legislation and regulatory initiatives. For example, CMS may develop new payment and delivery models, such as outcomes-based reimbursement.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63</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markets outside of the United States and the EU, reimbursement and healthcare payment systems vary significantly by country, and many countries have instituted price ceilings on specific products and therapies.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in the United States, 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Even if we obtain regulatory approval for a product candidate, our products will remain subject to regulatory scrutiny and post-marketing requirements.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 Manufacturers and manufacturers’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64</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production and quality control.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 </w:t>
      </w:r>
    </w:p>
    <w:tbl>
      <w:tblPr>
        <w:tblW w:w="2440" w:type="dxa"/>
        <w:jc w:val="left"/>
        <w:tblInd w:w="0" w:type="dxa"/>
        <w:tblCellMar>
          <w:top w:w="0" w:type="dxa"/>
          <w:left w:w="0" w:type="dxa"/>
          <w:bottom w:w="0" w:type="dxa"/>
          <w:right w:w="0" w:type="dxa"/>
        </w:tblCellMar>
      </w:tblPr>
      <w:tblGrid>
        <w:gridCol w:w="110"/>
        <w:gridCol w:w="233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33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issue warning letters; </w:t>
            </w:r>
          </w:p>
        </w:tc>
      </w:tr>
    </w:tbl>
    <w:tbl>
      <w:tblPr>
        <w:tblW w:w="3715" w:type="dxa"/>
        <w:jc w:val="left"/>
        <w:tblInd w:w="0" w:type="dxa"/>
        <w:tblCellMar>
          <w:top w:w="0" w:type="dxa"/>
          <w:left w:w="0" w:type="dxa"/>
          <w:bottom w:w="0" w:type="dxa"/>
          <w:right w:w="0" w:type="dxa"/>
        </w:tblCellMar>
      </w:tblPr>
      <w:tblGrid>
        <w:gridCol w:w="110"/>
        <w:gridCol w:w="36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60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impose civil or criminal penalties; </w:t>
            </w:r>
          </w:p>
        </w:tc>
      </w:tr>
    </w:tbl>
    <w:tbl>
      <w:tblPr>
        <w:tblW w:w="4570" w:type="dxa"/>
        <w:jc w:val="left"/>
        <w:tblInd w:w="0" w:type="dxa"/>
        <w:tblCellMar>
          <w:top w:w="0" w:type="dxa"/>
          <w:left w:w="0" w:type="dxa"/>
          <w:bottom w:w="0" w:type="dxa"/>
          <w:right w:w="0" w:type="dxa"/>
        </w:tblCellMar>
      </w:tblPr>
      <w:tblGrid>
        <w:gridCol w:w="110"/>
        <w:gridCol w:w="44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46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suspend or withdraw regulatory approval; </w:t>
            </w:r>
          </w:p>
        </w:tc>
      </w:tr>
    </w:tbl>
    <w:tbl>
      <w:tblPr>
        <w:tblW w:w="3655" w:type="dxa"/>
        <w:jc w:val="left"/>
        <w:tblInd w:w="0" w:type="dxa"/>
        <w:tblCellMar>
          <w:top w:w="0" w:type="dxa"/>
          <w:left w:w="0" w:type="dxa"/>
          <w:bottom w:w="0" w:type="dxa"/>
          <w:right w:w="0" w:type="dxa"/>
        </w:tblCellMar>
      </w:tblPr>
      <w:tblGrid>
        <w:gridCol w:w="110"/>
        <w:gridCol w:w="35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54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suspend any of our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refuse to approve pending applications or supplements to approved applications submitted by us;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impose restrictions on our operations, including closing our contract manufacturers’ facilities; or </w:t>
            </w:r>
          </w:p>
        </w:tc>
      </w:tr>
    </w:tbl>
    <w:tbl>
      <w:tblPr>
        <w:tblW w:w="5620" w:type="dxa"/>
        <w:jc w:val="left"/>
        <w:tblInd w:w="0" w:type="dxa"/>
        <w:tblCellMar>
          <w:top w:w="0" w:type="dxa"/>
          <w:left w:w="0" w:type="dxa"/>
          <w:bottom w:w="0" w:type="dxa"/>
          <w:right w:w="0" w:type="dxa"/>
        </w:tblCellMar>
      </w:tblPr>
      <w:tblGrid>
        <w:gridCol w:w="110"/>
        <w:gridCol w:w="551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51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seize or detain products, or require a product recall.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The FDA and other regulatory agencies actively enforce the laws and regulations prohibiting the promotion of off-label uses.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65</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business operations and current and future relationships with investigators, healthcare professionals, consultants, third-party payors, patient organizations and customers will be subject to applicable healthcare regulatory laws, which could expose us to penalties.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U.S. federal Anti-Kickback Statute, which makes it illegal for any person to knowingly and willfully solicit, offer, receive, pay or provide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U.S. federal civil and criminal false claims laws, including the civil False Claims Act (the “FCA”), which prohibit individuals or entities from, among other things, knowingly presenting, or causing to be presented, to the U.S. federal government, claims for payment or approval that are false, fictitious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FCA even when they do not submit claims directly to government payors if they are deemed to “cause” the submission of false or fraudulent claims. The government may deem manufacturers to have “caused” the submission of false or fraudulent claims by, for example, providing inaccurate billing or coding information to customers or promoting a product off-label. Companies that submit claims directly to payors may also be liable under the FCA for the direct submission of such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U.S. federal Health Insurance Portability and Accountability Act of 1996, (“HIPAA”), and its implementing regulations,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U.S. federal Anti-Kickback Statute, a person or entity does not need to have actual knowledge of the statute or specific intent to violate it in order to have committed a violation;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U.S. federal Food, Drug and Cosmetic Act (“FDCA”), which prohibits, among other things, the adulteration or misbranding of drugs, biologics and medical devices;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66</w:t>
      </w:r>
    </w:p>
    <w:p>
      <w:pPr>
        <w:pStyle w:val="HorizontalLine"/>
        <w:rPr/>
      </w:pPr>
      <w:r>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U.S.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other healthcare providers starting in 2022, and teaching hospitals, as well as ownership and investment interests held by the physicians described above and their immediate family members;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federal price reporting laws, which require manufacturers to calculate and report complex pricing metrics to government programs, where reported prices may be used in the calculation of reimbursement and/or discounts on approved products;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federal consumer protection and unfair competition laws, which broadly regulate marketplace activities and activities that potentially harm consumers;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that require the registration of pharmaceutical sales representatives;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similar healthcare laws and regulations in the EU and other jurisdictions, including reporting requirements detailing interactions with and payments to healthcare providers.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subject to diverse laws and regulations relating to data privacy and security, including, in the United States, HIPAA, and, in the EU, Regulation 2016/679, known as the General Data Protection Regulation (the “GDPR”). New privacy rules are being enacted in the United States and globally, and existing ones are being updated and strengthened. For example, on June 28, 2018, California enacted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67</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California Consumer Privacy Act (the “CCPA”), which took effect on January 1, 2020. The CCPA creates individual privacy rights for California consumers, increases the privacy and security obligations of entities handling certain personal information, requires new disclosures to California individuals and affording such individuals new abilities to opt out of certain sales of personal information, and provides for civil penalties for violations as well as a private right of action for data breaches that is expected to increase data breach litigation.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privacy laws in the EU have been significantly reformed in recent years. On May 25, 2018, the GDPR entered into force and became directly applicable in all EU member states. The GDPR and related implementing laws in individual EU Member States govern the collection and use of personal health data and other personal data in the EU including the personal data processed by companies outside the EU in connection with the offering of goods or services to individuals in the EU or the monitoring of their behavior (including in the context of clinical trials). The GDPR rules are also applicable in the European Economic Area (“EEA”), which consists of the 27 EU Member States plus Norway, Liechtenstein and Iceland.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collecting and processing personal data, requires the appointment of data protection officers when sensitive personal data, such as health data, is processed on a large scale,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The GDPR provides that EU member states may establish their own laws and regulations limiting the processing of personal data, including genetic, biometric or health data, which could limit our ability to use and share personal data or could cause our costs to increase.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from January 1, 2021, we are subject to the GDPR and also the United Kingdom (“U.K.”) GDPR (“U.K. GDPR”), which, together with the amended U.K. Data Protection Act 2018, retains the GDPR in U.K. national law. The relationship between the United Kingdom and the EU in relation to certain aspects of data protection law remains unclear, and it is unclear how U.K. data protection laws and regulations will develop in the medium to longer term, and for example how data transfers to and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68</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from the U.K. will be regulated in the long term, which exposes us to further compliance risk. These changes will lead to additional costs and increase and expose us to two parallel regimes each with the power to fine up to the greater of either €20 million (for the EU) or £17,500,000 (for the U.K.), or 4% of global turnover for violations. Currently there is a four to six-month grace period agreed in the EU and U.K. Trade and Cooperation Agreement, ending June 30, 2021 at the latest, while the parties discuss an adequacy decision. The European Commission published a draft adequacy decision on February 19, 2021. If adopted, the decision will enable data transfers from EU member states to the U.K. for a four-year period, subject to subsequent extensions. In addition, we may be the subject of litigation and/or adverse publicity, which could adversely affect our business, results of operations and financial condition.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cannot assure you that our CROs or other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face potential liability related to the privacy of health information we obtain from clinical trials sponsored by us.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Most healthcare providers in the US, including research institutions from which we obtain patient health information, are subject to privacy and security regulations promulgated under HIPAA, as amended by the Health Information Technology for Economic and Clinical Health Act.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Even when HIPAA does not apply, according to the Federal Trade Commission (the “FTC”), failing to take appropriate steps to keep consumers’ personal information secure constitutes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we may maintain sensitive personally identifiable information, including health information, that we receive throughout the clinical trial process, in the course of our research collaborations. As such, we may be subject to state laws, requiring notification of affected individuals and state regulators in the event of a breach of personal information, which is a broader class of information than the health information protected by HIPAA. Our clinical trial programs outside the United States may implicate international data protection laws, including the U.K. GDPR, GDPR and legislation of the EU member states implementing it.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activities outside the United States impose additional compliance requirements and generate additional risks of enforcement for noncompliance. Failure by our CROs and other third-party contractors to comply with the strict rules on the transfer of personal data outside of the EU into the United States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69</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we or third-party CMOs, CROs or other contractors or consultants fail to comply with applicable federal, state or local regulatory privacy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are subject to environmental, health and safety laws and regulations, and we may become exposed to liability and substantial expenses in connection with environmental compliance or remediation activities.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and our employees are increasingly utilizing social media tools as a means of communication both internally and externally.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applicable laws and regulations, our policies and other legal or contractual requirements, which may give rise to regulatory enforcement action,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 xml:space="preserve">Risks Related to Commercialization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Developments by competitors may render our products or technologies obsolete or non-competitive or may reduce the size of our markets.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industry has been characterized by extensive research and development efforts, rapid developments in technologies, intense competition and a strong emphasis on proprietary products. We expect our product candidates to face intense and increasing competition as new products enter the relevant markets and advanced technologies become available. We face potential competition from many different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70</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sources, including pharmaceutical, biotechnology and specialty pharmaceutical companies. Academic research institutions, governmental agencies and public and private institutions are also potential sources of competitive products and technologies. Our competitors may have or may develop superior technologies or approaches, which may provide them with competitive advantages. Many of these competitors may also have compounds already approved or in development in the therapeutic categories that we are targeting with our product candidates. In addition, many of these competitors, either alone or together with their collaborative partners, may operate larger research and development programs or have substantially greater financial resources than we do, as well as greater experience in: </w:t>
      </w:r>
    </w:p>
    <w:tbl>
      <w:tblPr>
        <w:tblW w:w="3520" w:type="dxa"/>
        <w:jc w:val="left"/>
        <w:tblInd w:w="0" w:type="dxa"/>
        <w:tblCellMar>
          <w:top w:w="0" w:type="dxa"/>
          <w:left w:w="0" w:type="dxa"/>
          <w:bottom w:w="0" w:type="dxa"/>
          <w:right w:w="0" w:type="dxa"/>
        </w:tblCellMar>
      </w:tblPr>
      <w:tblGrid>
        <w:gridCol w:w="110"/>
        <w:gridCol w:w="341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41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developing product candidates; </w:t>
            </w:r>
          </w:p>
        </w:tc>
      </w:tr>
    </w:tbl>
    <w:tbl>
      <w:tblPr>
        <w:tblW w:w="5275" w:type="dxa"/>
        <w:jc w:val="left"/>
        <w:tblInd w:w="0" w:type="dxa"/>
        <w:tblCellMar>
          <w:top w:w="0" w:type="dxa"/>
          <w:left w:w="0" w:type="dxa"/>
          <w:bottom w:w="0" w:type="dxa"/>
          <w:right w:w="0" w:type="dxa"/>
        </w:tblCellMar>
      </w:tblPr>
      <w:tblGrid>
        <w:gridCol w:w="110"/>
        <w:gridCol w:w="516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6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undertaking preclinical testing and clinical trials; </w:t>
            </w:r>
          </w:p>
        </w:tc>
      </w:tr>
    </w:tbl>
    <w:tbl>
      <w:tblPr>
        <w:tblW w:w="4075" w:type="dxa"/>
        <w:jc w:val="left"/>
        <w:tblInd w:w="0" w:type="dxa"/>
        <w:tblCellMar>
          <w:top w:w="0" w:type="dxa"/>
          <w:left w:w="0" w:type="dxa"/>
          <w:bottom w:w="0" w:type="dxa"/>
          <w:right w:w="0" w:type="dxa"/>
        </w:tblCellMar>
      </w:tblPr>
      <w:tblGrid>
        <w:gridCol w:w="110"/>
        <w:gridCol w:w="396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96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obtaining NDA approval by the FDA; </w:t>
            </w:r>
          </w:p>
        </w:tc>
      </w:tr>
    </w:tbl>
    <w:tbl>
      <w:tblPr>
        <w:tblW w:w="6880" w:type="dxa"/>
        <w:jc w:val="left"/>
        <w:tblInd w:w="0" w:type="dxa"/>
        <w:tblCellMar>
          <w:top w:w="0" w:type="dxa"/>
          <w:left w:w="0" w:type="dxa"/>
          <w:bottom w:w="0" w:type="dxa"/>
          <w:right w:w="0" w:type="dxa"/>
        </w:tblCellMar>
      </w:tblPr>
      <w:tblGrid>
        <w:gridCol w:w="110"/>
        <w:gridCol w:w="67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77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comparable foreign regulatory approvals of product candidates; </w:t>
            </w:r>
          </w:p>
        </w:tc>
      </w:tr>
    </w:tbl>
    <w:tbl>
      <w:tblPr>
        <w:tblW w:w="4915" w:type="dxa"/>
        <w:jc w:val="left"/>
        <w:tblInd w:w="0" w:type="dxa"/>
        <w:tblCellMar>
          <w:top w:w="0" w:type="dxa"/>
          <w:left w:w="0" w:type="dxa"/>
          <w:bottom w:w="0" w:type="dxa"/>
          <w:right w:w="0" w:type="dxa"/>
        </w:tblCellMar>
      </w:tblPr>
      <w:tblGrid>
        <w:gridCol w:w="110"/>
        <w:gridCol w:w="48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80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formulating and manufacturing products; and </w:t>
            </w:r>
          </w:p>
        </w:tc>
      </w:tr>
    </w:tbl>
    <w:tbl>
      <w:tblPr>
        <w:tblW w:w="4675" w:type="dxa"/>
        <w:jc w:val="left"/>
        <w:tblInd w:w="0" w:type="dxa"/>
        <w:tblCellMar>
          <w:top w:w="0" w:type="dxa"/>
          <w:left w:w="0" w:type="dxa"/>
          <w:bottom w:w="0" w:type="dxa"/>
          <w:right w:w="0" w:type="dxa"/>
        </w:tblCellMar>
      </w:tblPr>
      <w:tblGrid>
        <w:gridCol w:w="110"/>
        <w:gridCol w:w="456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56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launching, marketing and selling products.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these competitors access the marketplace before we do with safer, more effective, or less expensive therapeutics, our product candidates, if approved for commercialization, may not be profitable to sell or worthwhile to continue to develop. Technology in the pharmaceutical industry has undergone rapid and significant change, and we expect that it will continue to do so. Any compounds, products or processes that we develop may become obsolete or uneconomical before we recover any expenses incurred in connection with their development. The success of our product candidates will depend upon factors such as product efficacy, safety, reliability, availability, timing, scope of regulatory approval, acceptance and price, among other things. Other important factors to our success include speed in developing product candidates, completing clinical development and laboratory testing, obtaining regulatory approvals and manufacturing and selling commercial quantities of potential products.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Significant competition exists from approved treatments or treatments in development for the diseases that we are targeting. Many of the approved drugs are well-established therapies or products and are widely accepted by physicians, patients and third-party payors. There are pharmaceutical and biotechnology companies at various stages of development and approval of treatments for COVID-19 (or vaccines for SARS-CoV-2), HCV, dengue and RSV. There are several vaccines and drugs authorized for emergency use and one drug approved for the treatment of certain patients with COVID-19 requiring hospitalization, several drugs approved for the treatment of HCV, an approved vaccine for dengue and an approved drug for the treatment of RSV. Our product candidates are intended to compete directly or indirectly with existing products and products currently in development. Even if approved and commercialized, our product candidates may fail to achieve market acceptance with hospitals, physicians or patients. Hospitals, physicians or patients may conclude that our products are less safe or effective or otherwise less attractive than existing drugs. If our product candidates do not receive market acceptance for any reason, our revenue potential would be diminished, which would materially adversely affect our ability to become profitable.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Many of our competitors have substantially greater capital resources, robust product candidate pipelines, established presence in the market and expertise in research and development, manufacturing, preclinical and clinical testing, obtaining regulatory approvals and reimbursement and marketing approved products than we do. As a result, our competitors may achieve product commercialization or patent or other intellectual property protection earlier than we can. Smaller or early-stage companies may also prove to be significant competitors, particularly through collaborative arrangements with large and established companies. These competitors also compete with us in recruiting and retaining qualified clinical, regulatory, scientific, sales, marketing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71</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product revenue.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Third-party payors increasingly are challenging prices charged for pharmaceutical products and services, and many third-party payors may refuse to provide coverage and reimbursement for particular drugs and biologics when an equivalent generic drug, biosimilar or a less expensive therapy is available. It is possible that a third-party payor may consider our product candidates as substitutable and only offer to reimburse patients for the less expensive product. For products administered under the supervision of a physician, obtaining coverage and adequate reimbursement may be particularly difficult because of the higher prices often associated with such drugs.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the United States, third-party payors, including private and governmental payors, such as the Medicare and Medicaid programs, play an important role in determining the extent to which new drugs and biologics will be covered and reimbursed. The Medicare program is increasingly used as a model for how private and other governmental payors develop their coverage and reimbursement policies for new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Some third-party payors may require pre-approval of coverage for new or innovative drug therapies before they will reimburse healthcare providers who use such therapies. Furthermore, rules and regulations regarding reimbursement change frequently, in some cases on short notice, and we believe that changes in these rules and regulations are likely. We cannot predict at this time what third-party payors will decide with respect to the coverage and reimbursement for our product candidates.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Outside the United States, international operations are generally subject to extensive governmental price controls and other market regulations, and we believe the increasing emphasis on cost-containment initiatives in the EU and other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72</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If we are unable to establish sales, marketing and distribution capabilities either on our own or in collaboration with third parties, we may not be successful in commercializing any of our product candidates, if approved, and we may not be able to generate any product revenue.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have limited personnel or infrastructure for the sales, marketing or distribution of products, and no experience as a company in commercializing a product candidate. The cost of building and maintaining such an organization may exceed the cost-effectiveness of doing so.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may build our own focused sales, distribution and marketing infrastructure to market our product candidates, if approved, in the United States and other markets around the world. There are significant expenses and risks involved with building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the commercialization of our product candidate, if approved. Additionally, if the commercial launch of our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Factors that may inhibit our efforts to commercialize our product candidates on our own include: </w:t>
      </w:r>
    </w:p>
    <w:tbl>
      <w:tblPr>
        <w:tblW w:w="10165" w:type="dxa"/>
        <w:jc w:val="left"/>
        <w:tblInd w:w="0" w:type="dxa"/>
        <w:tblCellMar>
          <w:top w:w="0" w:type="dxa"/>
          <w:left w:w="0" w:type="dxa"/>
          <w:bottom w:w="0" w:type="dxa"/>
          <w:right w:w="0" w:type="dxa"/>
        </w:tblCellMar>
      </w:tblPr>
      <w:tblGrid>
        <w:gridCol w:w="110"/>
        <w:gridCol w:w="100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5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inability to recruit and retain adequate numbers of effective sales and marketing personnel;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inability of sales personnel to obtain access to physicians or persuade adequate numbers of physicians to prescribe our future products;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inability to equip medical and sales personnel with effective materials, including medical and sales literature to help them educate physicians and other healthcare providers regarding applicable diseases and our future products;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lack of complementary products to be offered by sales personnel, which may put us at a competitive disadvantage relative to companies with more extensive product lines;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inability to develop or obtain sufficient operational functions to support our commercial activities;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unforeseen costs and expenses associated with creating an independent sales and marketing organization.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we are unable or decide not to establish internal sales, marketing and distribution capabilities, or decide not to do so for a particular country, we may pursue collaborative arrangements. If we pursue a collaborative arrangement, our sales will largely depend on the collaborator’s strategic interest in the product and such collaborator’s ability to successfully commercialize the product. For example, we have an option to request Roche co-promote with us AT-527 for the treatment of COVID-19 in the U.S. If we elect to exercise this option, we will be dependent in part on Roche’s efforts to successfully co-promote this product with us.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73</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we are unable to build our own sales force or access a collaborative relationship for the commercialization of any of our product candidates, we may be forced to delay the potential commercialization of our product candidates or reduce the scope of our sales or marketing activities for such product candidates. If we elect to increase our expenditures to fund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any of our product candidates or otherwise agree to terms unfavorable to us, any of which may have an adverse effect on our business, operating results and prospects.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we are unable to establish adequate sales, marketing and distribution capabilities, either on our own or in collaboration with third parties, we will not be successful in commercializing our other product candidates and may not become profitable and may incur significant additional losses.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even if we do establish adequate sales, marketing and distribution capabilities, the progress of general industry trends with respect to pricing models, supply chains and delivery mechanisms, among other things, could deviate from our expectations. If these or other industry trends change in a manner which we do not anticipate or for which we are not prepared, we may not be successful in commercializing our product candidates or become profitable.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future growth may depend, in part, on our ability to penetrate foreign markets, where we would be subject to additional regulatory burdens and other risks and uncertainties.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future profitability may depend, in part, on our ability to commercialize our product candidates in foreign markets for which we may rely on collaboration with third parties. For example, we will depend on Roche to commercialize AT-527 for the treatment of COVID-19 in markets outside the U.S. We are evaluating the opportunities for the development and commercialization of our other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 </w:t>
      </w:r>
    </w:p>
    <w:tbl>
      <w:tblPr>
        <w:tblW w:w="9895" w:type="dxa"/>
        <w:jc w:val="left"/>
        <w:tblInd w:w="0" w:type="dxa"/>
        <w:tblCellMar>
          <w:top w:w="0" w:type="dxa"/>
          <w:left w:w="0" w:type="dxa"/>
          <w:bottom w:w="0" w:type="dxa"/>
          <w:right w:w="0" w:type="dxa"/>
        </w:tblCellMar>
      </w:tblPr>
      <w:tblGrid>
        <w:gridCol w:w="110"/>
        <w:gridCol w:w="97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78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customers’ ability to obtain reimbursement for our product candidates in foreign markets; </w:t>
            </w:r>
          </w:p>
        </w:tc>
      </w:tr>
    </w:tbl>
    <w:tbl>
      <w:tblPr>
        <w:tblW w:w="8995" w:type="dxa"/>
        <w:jc w:val="left"/>
        <w:tblInd w:w="0" w:type="dxa"/>
        <w:tblCellMar>
          <w:top w:w="0" w:type="dxa"/>
          <w:left w:w="0" w:type="dxa"/>
          <w:bottom w:w="0" w:type="dxa"/>
          <w:right w:w="0" w:type="dxa"/>
        </w:tblCellMar>
      </w:tblPr>
      <w:tblGrid>
        <w:gridCol w:w="110"/>
        <w:gridCol w:w="88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88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inability to directly control commercial activities if we are relying on third parties;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burden of complying with complex and changing foreign regulatory, tax, accounting and legal requirements;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different medical practices and customs in foreign countries affecting acceptance in the marketplace; </w:t>
            </w:r>
          </w:p>
        </w:tc>
      </w:tr>
    </w:tbl>
    <w:tbl>
      <w:tblPr>
        <w:tblW w:w="4375" w:type="dxa"/>
        <w:jc w:val="left"/>
        <w:tblInd w:w="0" w:type="dxa"/>
        <w:tblCellMar>
          <w:top w:w="0" w:type="dxa"/>
          <w:left w:w="0" w:type="dxa"/>
          <w:bottom w:w="0" w:type="dxa"/>
          <w:right w:w="0" w:type="dxa"/>
        </w:tblCellMar>
      </w:tblPr>
      <w:tblGrid>
        <w:gridCol w:w="110"/>
        <w:gridCol w:w="426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26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import or export licensing requirements; </w:t>
            </w:r>
          </w:p>
        </w:tc>
      </w:tr>
    </w:tbl>
    <w:tbl>
      <w:tblPr>
        <w:tblW w:w="4825" w:type="dxa"/>
        <w:jc w:val="left"/>
        <w:tblInd w:w="0" w:type="dxa"/>
        <w:tblCellMar>
          <w:top w:w="0" w:type="dxa"/>
          <w:left w:w="0" w:type="dxa"/>
          <w:bottom w:w="0" w:type="dxa"/>
          <w:right w:w="0" w:type="dxa"/>
        </w:tblCellMar>
      </w:tblPr>
      <w:tblGrid>
        <w:gridCol w:w="110"/>
        <w:gridCol w:w="47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71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longer accounts receivable collection times; </w:t>
            </w:r>
          </w:p>
        </w:tc>
      </w:tr>
    </w:tbl>
    <w:tbl>
      <w:tblPr>
        <w:tblW w:w="10075" w:type="dxa"/>
        <w:jc w:val="left"/>
        <w:tblInd w:w="0" w:type="dxa"/>
        <w:tblCellMar>
          <w:top w:w="0" w:type="dxa"/>
          <w:left w:w="0" w:type="dxa"/>
          <w:bottom w:w="0" w:type="dxa"/>
          <w:right w:w="0" w:type="dxa"/>
        </w:tblCellMar>
      </w:tblPr>
      <w:tblGrid>
        <w:gridCol w:w="110"/>
        <w:gridCol w:w="996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96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supply our product candidates on a timely and large-scale basis in local markets;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longer lead times for shipping which may necessitate local manufacture of our product candidates; </w:t>
            </w:r>
          </w:p>
        </w:tc>
      </w:tr>
    </w:tbl>
    <w:tbl>
      <w:tblPr>
        <w:tblW w:w="8470" w:type="dxa"/>
        <w:jc w:val="left"/>
        <w:tblInd w:w="0" w:type="dxa"/>
        <w:tblCellMar>
          <w:top w:w="0" w:type="dxa"/>
          <w:left w:w="0" w:type="dxa"/>
          <w:bottom w:w="0" w:type="dxa"/>
          <w:right w:w="0" w:type="dxa"/>
        </w:tblCellMar>
      </w:tblPr>
      <w:tblGrid>
        <w:gridCol w:w="110"/>
        <w:gridCol w:w="83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36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language barriers for technical training and the need for language translations; </w:t>
            </w:r>
          </w:p>
        </w:tc>
      </w:tr>
    </w:tbl>
    <w:tbl>
      <w:tblPr>
        <w:tblW w:w="9790" w:type="dxa"/>
        <w:jc w:val="left"/>
        <w:tblInd w:w="0" w:type="dxa"/>
        <w:tblCellMar>
          <w:top w:w="0" w:type="dxa"/>
          <w:left w:w="0" w:type="dxa"/>
          <w:bottom w:w="0" w:type="dxa"/>
          <w:right w:w="0" w:type="dxa"/>
        </w:tblCellMar>
      </w:tblPr>
      <w:tblGrid>
        <w:gridCol w:w="110"/>
        <w:gridCol w:w="96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68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reduced protection of patent and other intellectual property rights in some foreign countries; </w:t>
            </w:r>
          </w:p>
        </w:tc>
      </w:tr>
    </w:tbl>
    <w:tbl>
      <w:tblPr>
        <w:tblW w:w="9010" w:type="dxa"/>
        <w:jc w:val="left"/>
        <w:tblInd w:w="0" w:type="dxa"/>
        <w:tblCellMar>
          <w:top w:w="0" w:type="dxa"/>
          <w:left w:w="0" w:type="dxa"/>
          <w:bottom w:w="0" w:type="dxa"/>
          <w:right w:w="0" w:type="dxa"/>
        </w:tblCellMar>
      </w:tblPr>
      <w:tblGrid>
        <w:gridCol w:w="110"/>
        <w:gridCol w:w="890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90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existence of additional potentially relevant third-party intellectual property rights;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74</w:t>
      </w:r>
    </w:p>
    <w:p>
      <w:pPr>
        <w:pStyle w:val="HorizontalLine"/>
        <w:rPr/>
      </w:pPr>
      <w:r>
        <w:rPr/>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5275" w:type="dxa"/>
        <w:jc w:val="left"/>
        <w:tblInd w:w="0" w:type="dxa"/>
        <w:tblCellMar>
          <w:top w:w="0" w:type="dxa"/>
          <w:left w:w="0" w:type="dxa"/>
          <w:bottom w:w="0" w:type="dxa"/>
          <w:right w:w="0" w:type="dxa"/>
        </w:tblCellMar>
      </w:tblPr>
      <w:tblGrid>
        <w:gridCol w:w="110"/>
        <w:gridCol w:w="516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6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foreign currency exchange rate fluctuations;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interpretation of contractual provisions governed by foreign laws in the event of a contract dispute.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Foreign sales of our product candidates could also be adversely affected by the imposition of governmental controls, political and economic instability, trade restrictions and changes in tariffs.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any of our product candidates is approved for commercialization, we may selectively partner with third parties to market it in certain jurisdictions outside the United States. We expect that we will be subject to additional risks related to international pharmaceutical operations, including: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different regulatory requirements for drug approvals and rules governing drug commercialization in foreign countries, including requirements specific to biologics or cell therapy products; </w:t>
            </w:r>
          </w:p>
        </w:tc>
      </w:tr>
    </w:tbl>
    <w:tbl>
      <w:tblPr>
        <w:tblW w:w="7135" w:type="dxa"/>
        <w:jc w:val="left"/>
        <w:tblInd w:w="0" w:type="dxa"/>
        <w:tblCellMar>
          <w:top w:w="0" w:type="dxa"/>
          <w:left w:w="0" w:type="dxa"/>
          <w:bottom w:w="0" w:type="dxa"/>
          <w:right w:w="0" w:type="dxa"/>
        </w:tblCellMar>
      </w:tblPr>
      <w:tblGrid>
        <w:gridCol w:w="110"/>
        <w:gridCol w:w="702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2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reduced protection for patent and other intellectual property rights; </w:t>
            </w:r>
          </w:p>
        </w:tc>
      </w:tr>
    </w:tbl>
    <w:tbl>
      <w:tblPr>
        <w:tblW w:w="5965" w:type="dxa"/>
        <w:jc w:val="left"/>
        <w:tblInd w:w="0" w:type="dxa"/>
        <w:tblCellMar>
          <w:top w:w="0" w:type="dxa"/>
          <w:left w:w="0" w:type="dxa"/>
          <w:bottom w:w="0" w:type="dxa"/>
          <w:right w:w="0" w:type="dxa"/>
        </w:tblCellMar>
      </w:tblPr>
      <w:tblGrid>
        <w:gridCol w:w="110"/>
        <w:gridCol w:w="58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85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foreign reimbursement, pricing and insurance regimes;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potential noncompliance with the U.S. Foreign Corrupt Practices Act, the U.K. Bribery Act 2010 and similar anti-bribery and anticorruption laws in other jurisdictions;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production shortages resulting from any events affecting raw material supply or manufacturing capabilities abroad.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have no prior experience in these areas. In addition, there are complex regulatory, tax, labor and other legal requirements imposed by both the EU and many of the individual member states in Europe with which we will need to comply. Many U.S.-based biotechnology companies have found the process of marketing their own products in Europe to be very challenging.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Certain legal and political risks are also inherent in foreign operations. There is a risk that foreign governments may nationalize private enterprises in certain countries where we may operate. In certain countries or regions, terrorist activities and the response to such activities may threaten our operations more than in the United States.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Additionally, the need to identify financially and commercially strong partners for commercialization outside the United States who will comply with the high manufacturing and legal and regulatory compliance standards we require is a risk to our financial performance.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some countries, particularly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clinical trials that compare the cost-effectiveness of our product candidates to other available therapies. If reimbursement of our products is unavailable or limited in scope or amount, or if pricing is set at unsatisfactory levels, our business could be harmed, possibly materially.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Potential product liability lawsuits against us could cause us to incur substantial liabilities and limit commercialization of any products that we may develop.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In addition, regardless of merit or eventual outcome, product liability claims may result in: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75</w:t>
      </w:r>
    </w:p>
    <w:p>
      <w:pPr>
        <w:pStyle w:val="HorizontalLine"/>
        <w:rPr/>
      </w:pPr>
      <w:r>
        <w:rPr/>
      </w:r>
    </w:p>
    <w:tbl>
      <w:tblPr>
        <w:tblW w:w="8515" w:type="dxa"/>
        <w:jc w:val="left"/>
        <w:tblInd w:w="0" w:type="dxa"/>
        <w:tblCellMar>
          <w:top w:w="0" w:type="dxa"/>
          <w:left w:w="0" w:type="dxa"/>
          <w:bottom w:w="0" w:type="dxa"/>
          <w:right w:w="0" w:type="dxa"/>
        </w:tblCellMar>
      </w:tblPr>
      <w:tblGrid>
        <w:gridCol w:w="110"/>
        <w:gridCol w:w="84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405" w:type="dxa"/>
            <w:tcBorders/>
            <w:shd w:fill="auto" w:val="clear"/>
          </w:tcPr>
          <w:p>
            <w:pPr>
              <w:pStyle w:val="TableContents"/>
              <w:spacing w:before="120" w:after="0"/>
              <w:jc w:val="left"/>
              <w:rPr>
                <w:b w:val="false"/>
                <w:i w:val="false"/>
                <w:caps w:val="false"/>
                <w:smallCaps w:val="false"/>
              </w:rPr>
            </w:pPr>
            <w:r>
              <w:rPr>
                <w:rFonts w:ascii="Arial" w:hAnsi="Arial"/>
                <w:b w:val="false"/>
                <w:i w:val="false"/>
                <w:caps w:val="false"/>
                <w:smallCaps w:val="false"/>
                <w:color w:val="000000"/>
              </w:rPr>
              <w:t>impairment of our business reputation and significant negative media attention;</w:t>
            </w:r>
            <w:r>
              <w:rPr>
                <w:b w:val="false"/>
                <w:i w:val="false"/>
                <w:caps w:val="false"/>
                <w:smallCaps w:val="false"/>
                <w:color w:val="000000"/>
              </w:rPr>
              <w:t xml:space="preserve"> </w:t>
            </w:r>
          </w:p>
        </w:tc>
      </w:tr>
    </w:tbl>
    <w:tbl>
      <w:tblPr>
        <w:tblW w:w="5260" w:type="dxa"/>
        <w:jc w:val="left"/>
        <w:tblInd w:w="0" w:type="dxa"/>
        <w:tblCellMar>
          <w:top w:w="0" w:type="dxa"/>
          <w:left w:w="0" w:type="dxa"/>
          <w:bottom w:w="0" w:type="dxa"/>
          <w:right w:w="0" w:type="dxa"/>
        </w:tblCellMar>
      </w:tblPr>
      <w:tblGrid>
        <w:gridCol w:w="110"/>
        <w:gridCol w:w="51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5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withdrawal of participants from our clinical trials; </w:t>
            </w:r>
          </w:p>
        </w:tc>
      </w:tr>
    </w:tbl>
    <w:tbl>
      <w:tblPr>
        <w:tblW w:w="2620" w:type="dxa"/>
        <w:jc w:val="left"/>
        <w:tblInd w:w="0" w:type="dxa"/>
        <w:tblCellMar>
          <w:top w:w="0" w:type="dxa"/>
          <w:left w:w="0" w:type="dxa"/>
          <w:bottom w:w="0" w:type="dxa"/>
          <w:right w:w="0" w:type="dxa"/>
        </w:tblCellMar>
      </w:tblPr>
      <w:tblGrid>
        <w:gridCol w:w="110"/>
        <w:gridCol w:w="251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51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injury to our reputation; </w:t>
            </w:r>
          </w:p>
        </w:tc>
      </w:tr>
    </w:tbl>
    <w:tbl>
      <w:tblPr>
        <w:tblW w:w="4375" w:type="dxa"/>
        <w:jc w:val="left"/>
        <w:tblInd w:w="0" w:type="dxa"/>
        <w:tblCellMar>
          <w:top w:w="0" w:type="dxa"/>
          <w:left w:w="0" w:type="dxa"/>
          <w:bottom w:w="0" w:type="dxa"/>
          <w:right w:w="0" w:type="dxa"/>
        </w:tblCellMar>
      </w:tblPr>
      <w:tblGrid>
        <w:gridCol w:w="110"/>
        <w:gridCol w:w="426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26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initiation of investigations by regulators; </w:t>
            </w:r>
          </w:p>
        </w:tc>
      </w:tr>
    </w:tbl>
    <w:tbl>
      <w:tblPr>
        <w:tblW w:w="6355" w:type="dxa"/>
        <w:jc w:val="left"/>
        <w:tblInd w:w="0" w:type="dxa"/>
        <w:tblCellMar>
          <w:top w:w="0" w:type="dxa"/>
          <w:left w:w="0" w:type="dxa"/>
          <w:bottom w:w="0" w:type="dxa"/>
          <w:right w:w="0" w:type="dxa"/>
        </w:tblCellMar>
      </w:tblPr>
      <w:tblGrid>
        <w:gridCol w:w="110"/>
        <w:gridCol w:w="62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24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significant costs to defend the claims and related litigation; </w:t>
            </w:r>
          </w:p>
        </w:tc>
      </w:tr>
    </w:tbl>
    <w:tbl>
      <w:tblPr>
        <w:tblW w:w="7015" w:type="dxa"/>
        <w:jc w:val="left"/>
        <w:tblInd w:w="0" w:type="dxa"/>
        <w:tblCellMar>
          <w:top w:w="0" w:type="dxa"/>
          <w:left w:w="0" w:type="dxa"/>
          <w:bottom w:w="0" w:type="dxa"/>
          <w:right w:w="0" w:type="dxa"/>
        </w:tblCellMar>
      </w:tblPr>
      <w:tblGrid>
        <w:gridCol w:w="110"/>
        <w:gridCol w:w="69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0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distraction of management’s attention from our primary business; </w:t>
            </w:r>
          </w:p>
        </w:tc>
      </w:tr>
    </w:tbl>
    <w:tbl>
      <w:tblPr>
        <w:tblW w:w="6400" w:type="dxa"/>
        <w:jc w:val="left"/>
        <w:tblInd w:w="0" w:type="dxa"/>
        <w:tblCellMar>
          <w:top w:w="0" w:type="dxa"/>
          <w:left w:w="0" w:type="dxa"/>
          <w:bottom w:w="0" w:type="dxa"/>
          <w:right w:w="0" w:type="dxa"/>
        </w:tblCellMar>
      </w:tblPr>
      <w:tblGrid>
        <w:gridCol w:w="110"/>
        <w:gridCol w:w="62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29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substantial monetary awards to patients or other claimants; </w:t>
            </w:r>
          </w:p>
        </w:tc>
      </w:tr>
    </w:tbl>
    <w:tbl>
      <w:tblPr>
        <w:tblW w:w="5095" w:type="dxa"/>
        <w:jc w:val="left"/>
        <w:tblInd w:w="0" w:type="dxa"/>
        <w:tblCellMar>
          <w:top w:w="0" w:type="dxa"/>
          <w:left w:w="0" w:type="dxa"/>
          <w:bottom w:w="0" w:type="dxa"/>
          <w:right w:w="0" w:type="dxa"/>
        </w:tblCellMar>
      </w:tblPr>
      <w:tblGrid>
        <w:gridCol w:w="110"/>
        <w:gridCol w:w="49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98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inability to commercialize a product candidate; </w:t>
            </w:r>
          </w:p>
        </w:tc>
      </w:tr>
    </w:tbl>
    <w:tbl>
      <w:tblPr>
        <w:tblW w:w="8365" w:type="dxa"/>
        <w:jc w:val="left"/>
        <w:tblInd w:w="0" w:type="dxa"/>
        <w:tblCellMar>
          <w:top w:w="0" w:type="dxa"/>
          <w:left w:w="0" w:type="dxa"/>
          <w:bottom w:w="0" w:type="dxa"/>
          <w:right w:w="0" w:type="dxa"/>
        </w:tblCellMar>
      </w:tblPr>
      <w:tblGrid>
        <w:gridCol w:w="110"/>
        <w:gridCol w:w="82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5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product recalls, withdrawals or labeling, marketing or promotional restrictions; </w:t>
            </w:r>
          </w:p>
        </w:tc>
      </w:tr>
    </w:tbl>
    <w:tbl>
      <w:tblPr>
        <w:tblW w:w="7015" w:type="dxa"/>
        <w:jc w:val="left"/>
        <w:tblInd w:w="0" w:type="dxa"/>
        <w:tblCellMar>
          <w:top w:w="0" w:type="dxa"/>
          <w:left w:w="0" w:type="dxa"/>
          <w:bottom w:w="0" w:type="dxa"/>
          <w:right w:w="0" w:type="dxa"/>
        </w:tblCellMar>
      </w:tblPr>
      <w:tblGrid>
        <w:gridCol w:w="110"/>
        <w:gridCol w:w="69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0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exhaustion of any available insurance and our capital resources; </w:t>
            </w:r>
          </w:p>
        </w:tc>
      </w:tr>
    </w:tbl>
    <w:tbl>
      <w:tblPr>
        <w:tblW w:w="8695" w:type="dxa"/>
        <w:jc w:val="left"/>
        <w:tblInd w:w="0" w:type="dxa"/>
        <w:tblCellMar>
          <w:top w:w="0" w:type="dxa"/>
          <w:left w:w="0" w:type="dxa"/>
          <w:bottom w:w="0" w:type="dxa"/>
          <w:right w:w="0" w:type="dxa"/>
        </w:tblCellMar>
      </w:tblPr>
      <w:tblGrid>
        <w:gridCol w:w="110"/>
        <w:gridCol w:w="85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58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decreased demand for a product candidate, if approved for commercial sale; and </w:t>
            </w:r>
          </w:p>
        </w:tc>
      </w:tr>
    </w:tbl>
    <w:tbl>
      <w:tblPr>
        <w:tblW w:w="1870" w:type="dxa"/>
        <w:jc w:val="left"/>
        <w:tblInd w:w="0" w:type="dxa"/>
        <w:tblCellMar>
          <w:top w:w="0" w:type="dxa"/>
          <w:left w:w="0" w:type="dxa"/>
          <w:bottom w:w="0" w:type="dxa"/>
          <w:right w:w="0" w:type="dxa"/>
        </w:tblCellMar>
      </w:tblPr>
      <w:tblGrid>
        <w:gridCol w:w="110"/>
        <w:gridCol w:w="17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76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loss of revenue.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Risks Related to Manufacturing and our Dependence on Third Parties</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will rely on third parties for the manufacture of materials for our research programs, preclinical studies and clinical trials and we do not have long-term contracts with many of these parties. This reliance on third parties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expect to rely on third parties for the manufacture of materials for our clinical trials and preclinical and clinical development. We expect to rely on third parties for commercial manufacture if any of our product candidates receive marketing approval, including Roche with respect to AT-527 for COVID-19. We do not have a long-term agreement with any of the third-party manufacturers we currently use to provide preclinical and clinical trial materials, and we purchase any required materials on a purchase order basis. Certain of these manufacturers are critical to our production and the loss of these manufacturers to one of our competitors or otherwise, or an inability to obtain quantities at an acceptable cost or quality, could delay, prevent or impair our ability to timely conduct preclinical studies or clinical trials, and would materially and adversely affect our development and commercialization efforts.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expect to continue to rely on third-party manufacturers for the commercial supply of any of our product candidates for which we obtain marketing approval, if any. We may be unable to maintain or establish required agreements with third-party manufacturers or to do so on acceptable terms. Even if we are able to establish agreements with third-party manufacturers, reliance on third-party manufacturers entails additional risks, including: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76</w:t>
      </w:r>
    </w:p>
    <w:p>
      <w:pPr>
        <w:pStyle w:val="HorizontalLine"/>
        <w:rPr/>
      </w:pPr>
      <w:r>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val="false"/>
                <w:caps w:val="false"/>
                <w:smallCaps w:val="false"/>
                <w:color w:val="000000"/>
              </w:rPr>
              <w:t>the reduction or termination of production or deliveries by suppliers, or the raising of prices or renegotiation of terms;</w:t>
            </w:r>
            <w:r>
              <w:rPr>
                <w:b w:val="false"/>
                <w:i w:val="false"/>
                <w:caps w:val="false"/>
                <w:smallCaps w:val="false"/>
                <w:color w:val="000000"/>
              </w:rPr>
              <w:t xml:space="preserv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termination or nonrenewal of arrangements or agreements by our third-party contractors at a time that is costly or inconvenient for us; </w:t>
            </w:r>
          </w:p>
        </w:tc>
      </w:tr>
    </w:tbl>
    <w:tbl>
      <w:tblPr>
        <w:tblW w:w="7495" w:type="dxa"/>
        <w:jc w:val="left"/>
        <w:tblInd w:w="0" w:type="dxa"/>
        <w:tblCellMar>
          <w:top w:w="0" w:type="dxa"/>
          <w:left w:w="0" w:type="dxa"/>
          <w:bottom w:w="0" w:type="dxa"/>
          <w:right w:w="0" w:type="dxa"/>
        </w:tblCellMar>
      </w:tblPr>
      <w:tblGrid>
        <w:gridCol w:w="110"/>
        <w:gridCol w:w="73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38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breach by the third-party contractors of our agreements with them; </w:t>
            </w:r>
          </w:p>
        </w:tc>
      </w:tr>
    </w:tbl>
    <w:tbl>
      <w:tblPr>
        <w:tblW w:w="9235" w:type="dxa"/>
        <w:jc w:val="left"/>
        <w:tblInd w:w="0" w:type="dxa"/>
        <w:tblCellMar>
          <w:top w:w="0" w:type="dxa"/>
          <w:left w:w="0" w:type="dxa"/>
          <w:bottom w:w="0" w:type="dxa"/>
          <w:right w:w="0" w:type="dxa"/>
        </w:tblCellMar>
      </w:tblPr>
      <w:tblGrid>
        <w:gridCol w:w="110"/>
        <w:gridCol w:w="912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12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failure of third-party contractors to comply with applicable regulatory requirements;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failure of the third party to manufacture our product candidates according to our specifications;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mislabeling of clinical supplies, potentially resulting in the wrong dose amounts being supplied or active drug or placebo not being properly identified;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clinical supplies not being delivered to clinical sites on time, leading to clinical trial interruptions, or of drug supplies not being distributed to commercial vendors in a timely manner, resulting in lost sales;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misappropriation or unauthorized disclosure of our intellectual property or other proprietary information, including our trade secrets and know-how.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do not have complete control over all aspects of the manufacturing process of, and are dependent on, our contract manufacturing partners for compliance with cGMP regulations and similar regulatory requirements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authorization for their manufacturing facilities. In addition, we do not have control over the ability of our contract manufacturers to maintain adequate quality control, quality assurance and qualified personnel. If the FDA or a comparable foreign regulatory authority does not authorize these facilities for the manufacture of our product candidates or if it withdraws any such authorization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third-party manufacturers may be unable to successfully scale up manufacturing of our product candidates in sufficient quality and quantity, which may impair the clinical advancement and commercialization of our product candidates.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order to conduct clinical trials of our product candidates and commercialize any approved product, our manufacturing partners need to manufacture them in large quantities. However, they may be unable to successfully increase the manufacturing capacity for any of our product candidates or products in a timely or cost-effective manner, or at all. In addition, quality issues may arise during scale-up activities, as discussed above. If we, or any manufacturing partners,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it is not certain that supplies could be resumed (whether in part or in whole) within a reasonable timeframe and at an acceptable cost, or at all. If we are unable to obtain or maintain third-party manufacturing for commercial supply of our product candidates, or to do so on commercially reasonable terms, we may not be able to develop and commercialize our product candidates successfully.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77</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do not have multiple sources of supply for some of the components used in our product candidates, nor long-term supply contracts, and certain of our suppliers are critical to our production. If we were to lose a critical supplier, it could have a material adverse effect on our ability to complete the development of our product candidates. If we obtain regulatory approval for any of our product candidates, we would need to expand the supply of their components in order to commercialize them.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do not have multiple sources of supply for each of the components used in the manufacturing of AT-527, AT-752, AT-787 or any of our other product candidates. For commercial supply of AT-527 for the treatment of COVID-19, we are exclusively dependent on Roche. For our other products, we have a sole supplier located in China for our active pharmaceutical ingredients. For fill-finish work, we have a supplier located in Canada and a back-up supplier located in the United States. We do not have long-term supply agreements with any of our component suppliers. We may not be able to establish additional sources of supply for our product candidates, or may be unable to do so on acceptable terms. Manufacturing suppliers are subject to cGMP quality and regulatory requirements and similar regulatory requirements, covering manufacturing, testing, quality control and record keeping relating to our product candidates and subject to ongoing inspections by applicable regulatory authorities. Manufacturing suppliers are also subject to local, state and federal regulations and licensing requirements. Failure by any of our suppliers to comply with all applicable regulations and requirements may result in long delays and interruptions in supply.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number of suppliers of the components of our product candidates is limited. In the event it is necessary or desirable to acquire supplies from alternative suppliers, we might not be able to obtain them on commercially reasonable terms, if at all. It could also require significant time and expense to redesign our manufacturing processes to work with another company and redesign of processes can trigger the need for conducting additional studies such as comparability or bridging studies. Additionally, certain of our suppliers are critical to our production, and the loss of these suppliers to one of our competitors or otherwise would materially and adversely affect our development and commercialization efforts.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part of any marketing approval, regulatory authorities conduct inspections that must be successful prior to the approval of the product. Failure of manufacturing suppliers to successfully complete these regulatory inspections will result in delays. If supply from the approved supplier is interrupted, there could be a significant disruption in commercial supply. An alternative vendor would need to be qualified through a NDA amendment or supplement, which could result in further delay. The FDA or other regulatory authorities outside of the United States may also require additional studies if a new supplier is relied upon for commercial production. Switching vendors may involve substantial costs and is likely to result in a delay in our desired clinical and commercial timelines.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we are unable to obtain the supplies we need at a reasonable price or on a timely basis, it could have a material adverse effect on our ability to complete the development of our product candidates or, if we obtain regulatory approval for our product candidates, to commercialize them.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rely on third parties to conduct our preclinical studies and clinical trials. Any failure by a third party to conduct the clinical trials according to GCPs and in a timely manner may delay or prevent our ability to seek or obtain regulatory approval for or commercialize our product candidates.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dependent on third parties to conduct critical aspects of our preclinical studies and clinical trials, including our planned Phase 3 clinical trial and our ongoing Phase 1 and Phase 2 clinical trials for AT-527 for the treatment of COVID-19, our Phase 1 clinical trial of AT-752 for the treatment of dengue and our Phase 1/2a clinical trial of AT-787 for the treatment of HCV, and we expect to rely on third parties to conduct future clinical trials and preclinical studies for our product candidates including Roche with respect to the clinical development of AT-527.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78</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or research activities complies with GCP regulations. In addition, our clinical trials must be conducted with product produced under cGMP regulations. Our failure to comply with these regulations may require us to repeat clinical trials, which would delay the regulatory approval process.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Any third parties conducting our clinical trials or preclinical studies are not and will not be our employees and, except for remedies available to us under our agreements with such third parties, we cannot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and cash equivalents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NDA we submit to the FDA. Any such delay or rejection could prevent us from commercializing our product candidates.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CROs have the right to terminate their agreements with us in the event of an uncured material breach. In addition, some of our CROs and substantially all our clinical trial sites have an ability to terminate their respective agreements with us if it can be reasonably demonstrated that the safety of the subjects participating in our clinical trials warrants such termination.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may collaborate with third parties for the development and commercialization of our candidates. We may not succeed in establishing and maintaining collaborative relationships, which may significantly limit our ability to develop and commercialize our product candidates successfully, if at all.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October 2020 we entered into the Roche License Agreement under which we granted to Roche an exclusive license related to AT-527 for certain development rights and commercialization rights outside of the United States.  Additionally, we agreed that Roche would be the exclusive global supplier of AT-527 commercial product, if approved.  As part of the Roche License Agreement we agreed with Roche that we would not commercialize AT-752 outside the United States unless we entered into a separate agreement with Roche to do so. We may seek additional collaborative relationships for the development and commercialization of our product candidates. If we enter into any additional such arrangements with any third parties, we will likely have shared or limited control over the amount and timing of resources that our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79</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collaborators dedicate to the development or potential commercialization of any product candidates we may seek to develop with them. Our ability to generate product revenue from these arrangements with commercial entities will depend on our collaborators’ abilities to successfully perform the functions assigned to them in these arrangements. We cannot predict the success of any collaboration that we enter into. Collaborations involving our product candidates pose the following risks to us: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generally have significant discretion in determining the efforts and resources that they will apply to these collaborations;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not properly obtain, maintain, enforce or defend intellectual property or proprietary rights relating to our product candidates or may use our proprietary information inappropriately or in such a way as to expose us to potential litigation or other intellectual property-related proceedings, including proceedings challenging the scope, ownership, validity and enforceability of our intellectual property;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own or co-own intellectual property rights covering our product candidates that result from our collaboration with them, and in such cases, we may not have the exclusive right to commercialize such intellectual property or such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disputes may arise with respect to the ownership of intellectual property developed pursuant to collaborations;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need the cooperation of our collaborators to enforce or defend any intellectual property we contribute to or that arises out of our collaborations, which may not be provided to us;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infringe, misappropriate or otherwise violate the intellectual property rights of third parties, which may expose us to litigation and potential liability;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with marketing and distribution rights to one or more product candidates may not commit sufficient resources to the marketing and distribution of such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lose certain valuable rights under circumstances identified in our collaborations, including if we undergo a change of control;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undergo a change of control and the new owners may decide to take the collaboration in a direction which is not in our best interest;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become bankrupt, which may significantly delay our research or development programs, or may cause us to lose access to valuable technology, devices, materials, know-how or intellectual property of the collaborator relating to our product candidates;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80</w:t>
      </w:r>
    </w:p>
    <w:p>
      <w:pPr>
        <w:pStyle w:val="HorizontalLine"/>
        <w:rPr/>
      </w:pPr>
      <w:r>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val="false"/>
                <w:caps w:val="false"/>
                <w:smallCaps w:val="false"/>
                <w:color w:val="000000"/>
              </w:rPr>
              <w:t>key personnel at our collaborators may leave, which could negatively impact our ability to productively work with our collaborators;</w:t>
            </w:r>
            <w:r>
              <w:rPr>
                <w:b w:val="false"/>
                <w:i w:val="false"/>
                <w:caps w:val="false"/>
                <w:smallCaps w:val="false"/>
                <w:color w:val="000000"/>
              </w:rPr>
              <w:t xml:space="preserv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collaborations may require us to incur short- and long-term expenditures, issue securities that dilute our stockholders, or disrupt our management and business;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collaborations may be terminated and, if terminated, may result in a need for additional capital to pursue further development or commercialization of the applicable product candidates;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collaboration agreements may not lead to development or commercialization of product candidates in the most efficient manner or at all.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may face significant competition in seeking appropriate collaborations.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If we seek, but are not able to establish, collaborations, we may have to alter our development and commercialization plans.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product development programs and the potential commercialization of our product candidates will require substantial additional capital. In addition to our collaboration with Roche, we may decide to collaborate with pharmaceutical and biotechnology companies for the development and potential commercialization of our other product candidates.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81</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may enter into collaborations, licensing arrangements, joint ventures, strategic alliances or partnerships with third parties that may not result in the development of commercially viable products or the generation of significant future product revenues.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the ordinary course of our business, we may enter into collaborations, licensing arrangements, joint ventures, strategic alliances, partnerships or other arrangements to develop new products and to pursue new markets. Proposing, negotiating and implementing collaborations, 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product revenues and could be terminated prior to developing any products.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current or future collaborators, they may act in their self-interest, which may be adverse to our best interest, and they may breach their obligations to us. In addition, we may have limited control over the amount and timing of resources that any current or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we enter into in-bound intellectual property license agreements, we may not be able to fully protect the licensed intellectual property rights or maintain those licenses. Future licensors could retain the right to prosecute, maintain, defend and enforce the intellectual property rights licensed to us, in which case we would depend on the ability and will of our licensors to do so. These licensors may determine not to pursue litigation against other companies or may pursue such litigation less aggressively than we would. If our licensors do not adequately protect or enforce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payment or other obligations on us, and future licensors may allege that we have breached our license agreement with them and accordingly seek to terminate our license. Any of the foregoing could adversely affect our competitive business position and have a material adverse effect on our business, financial condition, results of operations, and prospects.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82</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Data provided by collaborators and others upon which we rely that have not been independently verified could turn out to be false, misleading or incomplete.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rely on third-party vendors, such as CROs, scientists and collaborators to provide us with significant data and other information related to our programs, preclinical studies or clinical trials and our business. If such third parties provide inaccurate, misleading or incomplete data, our business, prospects and results of operations could be materially adversely affected.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employees and independent contractors, including principal investigators, CROs, consultants,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have a material adverse effect on our business.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preclinical studies or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If our CMOs and CROs use hazardous and biological materials in a manner that causes injury or violates applicable law, we may be liable for damages.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research and development activities involve the controlled use of potentially hazardous substances, including chemical materials by our CMOs and biological materials by our CROs. Our CMOs and CROs are subject to federal, state and local laws and regulations in the United States and in the countries in which they operate governing the use, manufacture, storage, handling and disposal of medical and hazardous materials. Although we believe that our manufacturers’ and CRO’s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Generally,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83</w:t>
      </w:r>
    </w:p>
    <w:p>
      <w:pPr>
        <w:pStyle w:val="HorizontalLine"/>
        <w:rPr/>
      </w:pPr>
      <w:r>
        <w:rPr/>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 xml:space="preserve">Risks Related to Intellectual Property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rely upon a combination of patents, trade secret protection and confidentiality agreements to protect our intellectual property and prevent others from duplicating AT-511 (the free base of AT-527), AT-527, AT-281 (the free base of AT-752), AT-752, AT-777, and AT-787, or their use or manufacture, or any of our other pipeline product candidates and any future product candidates, and our success depends in large part on our ability to obtain and maintain patent protection in the United States and other countries with respect to such product candidates.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patent prosecution process is expensive, time-consuming, and complex, and we may not be able to file, prosecute, maintain, enforce, or license all necessary or desirable patent applications at a reasonable cost or in a timely manner. Although we enter into confidentiality agreements with parties who have access to confidential or patentable aspects of our research and development output, such as our employees, CROs, consultants, scientific advisors and other contractors,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and some remain so until issued. Therefore, we cannot be certain that we were the first to make the inventions claimed in our patents or pending patent applications, or that we were the first to file any patent application related to an invention or product candidate. Further, if we encounter delays in regulatory approvals, the period of time during which we could market a product candidate under patent protection could be reduced.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strength of patents in the pharmaceutical field involves complex legal, factual and scientific questions and can be uncertain. It is possible that we will fail to identify patentable aspects of our research and development output before it is too late to obtain patent protection. The patent applications that we own may fail to result in issued patents with claims that cover our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 inventorship, ownership, validity, enforceability or scope of such patents, which may result in such patents being narrowed or invalidated, or being held unenforceable. Our pending and future patent applications may not result in patents being issued which protect our technology or product candidates or which effectively prevent others from commercializing competitive technologies and product candidates. Additionally, any U.S. provisional patent application that we file is not eligible to become an issued patent until, among other things, we file a non-provisional patent application within 12 months of filing the related provisional patent application. If we do not timely file any non-provisional patent application, we may lose our priority date with respect to the provisional patent application and any patent protection on the inventions disclosed in the provisional patent application.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Furthermore, even if they are unchallenged, our patents and patent applications may not adequately protect our intellectual property, provide exclusivity for our product candidates or prevent others from designing around our claims. In addition, no assurances can be given that third parties will not create similar or alternative products or methods that achieve similar results without infringing upon our patents. Any of these outcomes could impair our ability to prevent competition from third parties, which may have an adverse impact on our business.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the patent applications we hold with respect to our programs or product candidates fail to issue, if the breadth or strength of protection of our current or future issued patents is threatened, or if they fail to provide meaningful exclusivity for our product candidates, it could dissuade companies from collaborating with us to develop product candidates, or threaten our ability to commercialize our current or future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84</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product candidates. Several patent applications covering our product candidates have been filed recently by us. We cannot offer any assurances about which, if any, will result in issued patents, the breadth of any such patents or whether any issued patents will be found invalid or unenforceable or will be threatened by third parties. Any successful opposition to these patents or any other patents owned by us could deprive us of rights necessary for the successful commercialization of any product candidates that we may develop.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Wide-ranging patent reform legislation in the United States, including the Leahy-Smith America Invents Act of 2011, (the “Leahy-Smith Act”), may increase the uncertainty of the strength or enforceability of our intellectual property and the cost to defend it. The Leahy-Smith Act includes a number of significant changes to U.S. patent law, including provisions that affect the way patent applications are prosecuted and also affect patent litigation. Under the Leahy-Smith Act, the United States transitioned from a “first-to-invent” to a “first-to-file” system for deciding which party should be granted a patent when two or more patent applications are filed by different parties claiming the same invention. This will require us to be prompt going forward during the time from invention to filing of a patent application and to be diligent in filing patent applications, but circumstances could prevent us from promptly filing or prosecuting patent applications on our inventions. The Leahy-Smith Act also enlarged the scope of disclosures that qualify as prior art. Furthermore, if a third party filed a patent application before effectiveness of applicable provisions of the Leahy-Smith Act, on March 16, 2013, an interference proceeding in the United States can be initiated by a third party to determine if it was the first to invent any of the subject matter covered by the claims of our patent applications. We may also be subject to a third party preissuance submission of prior art to the U.S. Patent and Trademark Office, (the “USPTO”).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Leahy-Smith Act created for the first time new procedures to challenge issued patents in the United States, including post-grant review, inter partes review and derivation proceedings, which are adversarial proceedings conducted at the USPTO, which some third parties have been using to cause the cancellation of selected or all claims of issued patents of competitors. For a patent with a priority date of March 16, 2013 or later, which all of our patent filings have, a petition for post-grant review can be filed by a third party in a nine-month window from issuance of the patent. A petition for inter partes review can be filed immediately following the issuance of a patent if the patent was filed prior to March 16, 2013. A petition for inter partes review can be filed after the nine-month period for filing a post-grant review petition has expired for a patent with a priority date of March 16, 2013 or later. Post-grant review proceedings can be brought on any ground of challenge, whereas inter partes review proceedings can only be brought to raise a challenge based on published prior art. These adversarial actions at the USPTO include review of patent claims without the presumption of validity afforded to U.S. patents in lawsuits in U.S. federal courts. The USPTO issued a final rule effective November 13, 2018 announcing that it will now use the same claim construction standard currently used in the U.S. federal courts to interpret patent claims in USPTO proceedings, which is the plain and ordinary meaning of words used. If any of our patents are challenged by a third party in such a USPTO proceeding, there is no guarantee that we will be successful in defending the patent, which would result in a loss of the challenged patent right to us, including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a result of all of the foregoing, the issuance, scope, validity, enforceability and commercial value of our patent rights are highly uncertain, which could have a material adverse effect on our business, financial condition, results of operations, and prospects.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85</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Third-party claims of intellectual property infringement, misappropriation or other violation may result in substantial costs or prevent or delay our development and commercialization efforts.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commercial success depends in part on our avoiding actual and allegations of infringement, misappropriation or other violation of the patents and other proprietary rights of third parties. There is a substantial amount of litigation, both within and outside the United States, involving patent and other intellectual property rights in the pharmaceutical industry, including patent infringement lawsuits, interferences, oppositions, re-examination, and post-grant and inter partes review proceedings before the USPTO and similar proceedings in foreign jurisdictions, such as oppositions before the European Patent Office, (the “EPO”). Numerous U.S. and foreign issued patents and pending patent applications, which are owned by third parties, exist in the fields in which we are pursuing development candidates. Many companies in intellectual property-dependent industries, including the pharmaceutical industry, have employed intellectual property litigation as a means to gain an advantage over their competitors. As the pharmaceutical industry expands and more patents are issued, and as we gain greater visibility and market exposure as a public company, the risk increases that our product candidates may be subject to claims of infringement of the patent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Third parties may assert that we are employing their proprietary technology without authorization. There may be third-party patents or patent applications with claims to composition of matter, drug delivery, methods of manufacture or methods for treatment related to the use or manufacture of our product candidates. We cannot guarantee that our technologies, products, compositions and their uses do not or will not infringe, misappropriate or otherwise violate third-party patent or other intellectual property rights.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Pending patent applications that have been published can, subject to certain limitations, be later amended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In order to successfully challenge the validity of a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third-party patents were held by a court of competent jurisdiction to cover the composition of matter of any of our product candidates, the manufacturing process of any of our product candidates or the method of use for any of our product candidates, the holders of any such patents may be able to block our ability to commercialize such product candidate unless we obtained a license under the applicable patents, which may not be available at all or on commercially reasonable terms, or until such patents expire.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the merit of such claims. We may not be aware of all intellectual property rights potentially relating to our technology and product candidates and their uses, or we may incorrectly conclude that third-party intellectual property is invalid or that our activities and product candidates do not infringe, misappropriate or otherwise violate such intellectual property. Thus, we do not know with certainty that our technology and product candidates, or our development and commercialization thereof, do not and will not infringe, misappropriate or otherwise violate any third party’s intellectual property.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86</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Parties making claims against us may obtain injunctive or other equitable relief, which could effectively block our ability to further develop and commercialize one or more of our product candidates and/or harm our reputation and financial results. Defense of these claims, regardless of their merit, could involve substantial litigation expense and could be a substantial diversion of management and employee resources from our business.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In the event of a successful claim of infringement against us, we may have to pay substantial damages, including treble damages and attorneys’ fees for willful infringement, pay royalties, redesign our infringing products, in the case of claims concerning registered trademarks, rename our product candidates, or obtain one or more licenses from third parties, which may require substantial time and monetary expenditure, and which might be impossible or technically infeasible. Furthermore, we may not be able to obtain any required license on commercially reasonable terms or at all. Even if we were able to obtain a license, it could be non-exclusive, thereby giving our competitors and other third parties access to the same technologies licensed to us; alternatively or additionally it could include terms that impede or destroy our ability to compete successfully in the commercial marketplace. Any of the foregoing could have a material adverse effect on our business, financial condition, results of operations, and prospects.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A number of companies and universities file and obtain patents in the same area as our products, which are nucleotide prodrugs, and these patent filings could be asserted against us, which may affect our business, and if successful, could lead to expensive litigation, affect the profitability of our products and/or prohibit the sale of a product or its use.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product candidates are nucleotide prodrugs, or nucleotide phosphoramidates. A number of companies and universities have patent applications and issued patents in this general area, including for viral indications, such as, for example, Gilead Pharmasset, LLC.; Gilead Sciences, Inc.; Merck &amp; Co.; Bristol Myers Squibb; F. Hoffmann-La Roche; University of Cardiff; University College Cardiff Consultants; NuCana, plc; Alios Biopharma; Medivir; and others. If any of these companies or universities, or others, assert that a patent it holds is infringed by any of our product candidates or their use or manufacture, we may be drawn into expensive litigation, which may affect our business, take the time of and distract the attention of our employees, and if the litigation is successful, could affect the profitability of our products or prohibit their sale. On June 3, 2019, we received an anonymous Third Party Observation filed in connection with our international Patent Cooperation Treaty patent application for our second patent family, which covers the hemisulfate salt form of AT-511, or AT-527. The Observation generally challenges the patentability of the hemisulfate salt AT-527 over the free base AT-511. On August 1, 2019, we filed a response to the Observation describing that the AT-527 hemisulfate salt of AT-511 is not obvious in view of the AT-511 free base because AT-527 disproportionately concentrates in the liver over the heart, as shown in vivo in a dog model, which can provide an increased therapeutic effect to treat HCV, and decreased toxicity because hepatitis C is a disease of the liver. Further, while not raised in the response to the Observation, we have now also shown that AT-527 has a longer half-life and higher concentration in the lung than in the liver in vivo in monkeys, which is relevant to our COVID19 indication. On August 10, 2020, an anonymous party filed a Third Party Observation against our Patent Cooperation Treaty patent application covering a method to treat HCV patients with compensated or decompensated cirrhosis using our drug AT-527. The anonymous party asserted that it would have been obvious that the hemisulfate salt of AT-511 (AT-527) would be effective to treat HCV-infected cirrhotic patients. We disagree for several reasons, including that the hemisulfate salt of AT-511 had not been publicly disclosed at the time of the filing of our method of treatment of cirrhosis application and second it is well known that treating HCV-infected cirrhotic patients is very difficult. Our Patent Cooperation Treaty patent application provides human data that supports the efficacy of using AT-527 to treat cirrhotic HCV-infected patients. The Third Party Observations are not acted on by the Patent Cooperation Treaty, which does not examine patent applications. The Observations by anonymous third parties as well as our responses are placed in the file and available to be read and considered by any country examining our respective patent applications. In December 2019, the U.S. Patent Office issued a patent to us covering the composition of matter AT-527. However, other than the foregoing issued U.S. patent, there can be no assurance that the Observations will not adversely affect our ability to obtain issued patents from national-stage filings of such Patent Cooperation Treaty patent applications in any jurisdictions. We may not be aware of patent claims that are currently or may in the future be pending that affect our business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87</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by the competitors working in this area. Patent applications are typically published between six and eighteen months from filing, and the presentation of new claims in already pending applications can sometimes not be visible to the public, including to us, for a period of time, or if publicly available, not yet seen by us. We cannot provide any assurance that a third party practicing in the general area of our technology will not present a patent claim that covers one or more of our products or their methods of use or manufacture at any time, including before or during this registration period. If that does occur, we may have to take steps to try to invalidate such patent or application, and we may either choose not to or may not be successful in such attempt. A license to the patent or application may not be available on commercially reasonable terms or at all.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products are subject to The Drug Price Competition and Patent Term Restoration Act of 1984, as amended (also referred to as the Hatch-Waxman Act), in the United States, that can increase the risk of litigation with generic companies trying to sell our products, and may cause us to lose patent protection.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Because our clinical candidates are pharmaceutical molecules reviewed by the Center for Drug Evaluation and Research of the FDA, after commercialization they will be subject in the United States to the patent litigation process of the Hatch-Waxman Act, as currently amended, which allows a generic company to submit an Abbreviated New Drug Application, (“ANDA”), to the FDA to obtain approval to sell our drug using bioequivalence data only. Under the Hatch-Waxman Act, we will have the opportunity to list our patents that cover our drug product or its method of use in the FDA’s compendium of “Approved Drug Products with Therapeutic Equivalence Evaluation,” sometimes referred to as the FDA’s Orange Book.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Currently, in the United States, the FDA may grant five years of exclusivity for new chemical entities, (“NCEs”), for which all of our products may qualify. An NCE is a drug that contains no active moiety that has been approved by the FDA in any other NDA. A generic company can submit an ANDA to the FDA four years after approval of our product. The submission of the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latter, we will have 45 days to bring a patent infringement lawsuit against the generic company. This will initiate a challenge to one or more of our Orange Book-listed patents based on arguments from the generic company that our listed patents are invalid, unenforceable or not infringed. Under the Hatch-Waxman Act, if a lawsuit is brought, the FDA is prevented from issuing a final approval on the generic drug until 30 months after the end of our data exclusivity period, or a final decision of a court holding that our asserted patent claims are invalid, unenforceable or not infringed. If we do not properly list our relevant patents in the Orange Book, do not timely file a lawsuit in response to a certification from a generic company under an ANDA, or if we do not prevail in the resulting patent litigation, we can lose our proprietary protection, and our product can rapidly become generic. Further, even if we do correctly list our relevant patents in the Orange Book, bring a lawsuit in a timely manner and prevail in that lawsuit, the generic litigation may be at a very significant cost to us of attorneys’ fees and employee time and distraction over a long period. Further, it is common for more than one generic company to try to sell an innovator drug at the same time, and so we may be faced with the cost and distraction of multiple lawsuits. We may also determine it is necessary to settle the lawsuit in a manner that allows the generic company to enter our market prior to the expiration of our patent or otherwise in a manner that adversely affects the strength, validity or enforceability of our patent.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A number of pharmaceutical companies have been the subject of intense review by the FTC or a corresponding agency in another country based on how they have conducted or settled drug patent litigation, and certain reviews have led to an allegation of an antitrust violation, sometimes resulting in a fine or loss of rights. We cannot be sure that we would not also be subject to such a review or that the result of the review would be favorable to us, which could result in a fine or penalty.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FTC has brought a number of lawsuits in federal court in the past few years to challenge Hatch-Waxman Act ANDA litigation settlements between innovator companies and generic companies as anti-competitive. As an example, the FTC has taken an aggressive position that anything of value is a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88</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payment, whether money is paid or not. Under its approach, if an innovator as part of a patent settlement agrees not to launch or delay launch of an authorized generic during the 180-day period granted to the first generic company to challenge an Orange Book-listed patent covering an innovator drug, or negotiates a delay in entry without payment, the FTC may consider it an unacceptable reverse payment. The pharmaceutical industry argues that such agreements are rational business decisions to dismiss risk and are immune from antitrust attack if the terms of the settlement are within the scope of the exclusionary potential of the patent. In 2013, the U.S. Supreme Court, in a five-to-three decision in FTC v. Actavis, Inc., rejected both the pharmaceutical industry’s and FTC’s arguments with regard to so-called reverse payments, and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to enter the market before the patent expires without the patentee’s paying the generic. Furthermore, whether a reverse payment is justified depends upon its size, its scale in relation to the patentee’s anticipated future litigation costs, its independence from other services for which it might represent payment, as was the case in Actavis, and the lack of any other convincing justification. The Court held that reverse payment settlements can potentially violate antitrust laws and are subject to the standard antitrust rule-of-reason analysis, with the burden of proving that an agreement is unlawful on the FTC, leaving to lower courts the structuring of such rule of reason analysis. If we are faced with drug patent litigation, including Hatch-Waxman Act litigation with a generic company, we could be faced with such an FTC challenge based on that activity, including how or whether we settle the case, and even if we strongly disagree with the FTC’s position, we could face a significant expense or penalty.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Patent terms may be inadequate to protect our competitive position on our products for an adequate amount of time.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Given the amount of time required for the development, testing and regulatory review of new product candidates, patents protecting such candidates might expire before or shortly after such candidates are commercialized. For patents that are eligible for extension of patent term, we expect to seek extensions of patent terms in the United States and, if available, in other countries, however there can be no assurance that we will be granted any patent term extension we seek, or that any such patent term extension will provide us with any competitive advantage.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The Hatch-Waxman Act in the United States provides for the opportunity to seek a patent term extension on one selected patent for each of our products, and the length of that patent term extension, if at all, is subject to review and approval by the USPTO and the FDA.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the United States, the Hatch-Waxman Act permits one patent term extension of up to five years beyond the normal expiration of one patent per product, which if a method of treatment patent, is limited to the approved indication (or any additional indications approved during the period of extension).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USPTO in the United States, and any equivalent regulatory authorities in other countries, may not agree with our assessment of whether such extensions are available,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product revenue.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89</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1997, as part of the Food &amp; Drug Administration Modernization Act, (the “FDAMA”), Congress enacted a law that provides incentives to drug manufacturers who conduct studies of drugs in children. The law, which provides six months of exclusivity in return for conducting pediatric studies, is referred to as the pediatric exclusivity provision. If clinical studies are carried out by us that comply with the FDAMA, we may receive an additional six-month term added to our regulatory data exclusivity period and our patent term extension period, if received, on our product. However, if we choose not to carry out pediatric studies that comply with the FDAMA, or are not accepted by the FDA for this purpose, we would not receive this additional six-month exclusivity extension to our data exclusivity or our patent term extension.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Europe, supplementary protection certificates are available to extend a patent term up to five years to compensate for patent term lost during regulatory review, and can be extended for an additional six months if data from clinical trials is obtained in accordance with an agreed-upon pediatric investigation plan. Although all countries in Europe must provide supplementary protection certificates, there is no unified legislation among European countries and so supplementary protection certificates must be applied for and granted on a country-by-country basis. This can lead to a substantial cost to apply for and receive these certificates, which may vary among countries or not be provided at all.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If we are unable to obtain licenses from third parties on commercially reasonable terms or at all, or fail to comply with our obligations under such agreements, our business could be harmed.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It may be necessary for us to use the patented or other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or otherwise controlling such intellectual property rights could seek either an injunction prohibiting our sales or an obligation on our part to pay royalties and/or other forms of compensation. Even if we are able to obtain a license, it may be non-exclusive, thereby giving our competitors and other third parties access to the same technologies licensed to us.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Additionally, if we fail to comply with our obligations under any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90</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Although we are not currently involved in any relevant litigation, we may become involved in lawsuits to protect or enforce our patents or other intellectual property, which could be expensive, time-consuming and unsuccessful.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Competitors and other third parties may infringe, misappropriate or otherwise violate our or our future licensors’ patents, trademarks, copyrights or other intellectual property. As a result, we may need to file infringement, misappropriation or other intellectual property-related claims against third parties.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Any claims we assert against third parties could also provoke these parties to assert counterclaims against us alleging that we infringe, misappropriate or otherwise violate their intellectual property. In addition, in a patent infringement proceeding, such parties could counterclaim that the patents we have asserted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any such proceeding, a court may decide that a patent of ours, or a patent that we in-license, is not valid, is unenforceable and/or is not infringed, or may construe such patent’s claims narrowly or refuse to stop the other party from using the technology at issue on the grounds that our patents do not cover the technology in question. An adverse result in any litigation or defense proceedings could put one or more of our patents at risk of being invalidated, interpreted narrowly or held unenforceable in whole or in part, could put our patent applications at risk of not issuing, and could limit our ability to assert those patents against those parties or other competitors and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have a material adverse effect on our business, financial condition, results of operations, and prospects.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USPTO, EPO and other patent agencies require compliance with a number of procedural, documentary, fee payment and other similar provisions during the patent application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91</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place to remind us to pay these fees, and we employ an outside firm and rely on our outside counsel to pay such fees due to non-U.S. patent agencies.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or other third parties might be able to enter the market with similar or identical products or technology, which could have a material adverse effect on our business, financial condition, results of operations, and prospects.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may not be able to enforce our intellectual property rights throughout the world.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Filing, prosecuting and defending patents on our product candidates in all countries throughout the world would be prohibitively expensive. Therefore, we may choose not to pursue or maintain protection for certain intellectual property in certain jurisdictions. The requirements for patentability may differ in certain countries, particularly in developing countries.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Moreover, our ability to protect and enforce our intellectual property rights may be adversely affected by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may not favor the enforcement of our patents and other intellectual property rights.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This could make it difficult for us to stop the infringement of our patents or the misappropriation or other violation of our other intellectual property rights. A number of foreign countries have stated that they are willing to issue compulsory licenses to patents held by innovator companies on approved drugs to allow the government or one or more third-party companies to sell the approved drug without the permission of the innovator patentee where the foreign government concludes it is in the public interest. India, for example, has used such a procedure to allow domestic companies to make and sell patented drugs without innovator approval. There is no guarantee that patents covering any of our drugs will not be subject to a compulsory license in a foreign country, or that we will have any influence over if or how such a compulsory license is granted. Further, Brazil allows its regulatory agency ANVISA to participate in deciding whether to grant a drug patent in Brazil, and patent grant decisions are made based on several factors, including whether the patent meets the requirements for a patent and whether such a patent is deemed in the country’s interest. In addition, several other countries have created laws that make it more difficult to enforce drug patents than patents on other kinds of technologies. Further, under the treaty on the Trade-Related Aspects of Intellectual Property (the “TRIPS”), as interpreted by the Doha Declaration, countries in which drugs are manufactured are required to allow exportation of the drug to a developing country that lacks adequate manufacturing capability. Therefore, our drug markets in the United States or foreign countries may be affected by the influence of current public policy on patent issuance, enforcement or involuntary licensing in the healthcare area.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in November 2015, members of the World Trade Organization (the “WTO”), which administers TRIPS, voted to extend the exemption against enforcing pharmaceutical drug patents in least developed countries until 2033. We currently have no patent applications filed in least developed countries, and our current intent is not to file in these countries in the future, at least in part due to this WTO pharmaceutical patent exemption. </w:t>
      </w:r>
    </w:p>
    <w:p>
      <w:pPr>
        <w:pStyle w:val="TextBody"/>
        <w:spacing w:before="240" w:after="0"/>
        <w:jc w:val="center"/>
        <w:rPr>
          <w:rFonts w:ascii="Arial" w:hAnsi="Arial"/>
          <w:b w:val="false"/>
          <w:i w:val="false"/>
          <w:caps w:val="false"/>
          <w:smallCaps w:val="false"/>
          <w:sz w:val="20"/>
        </w:rPr>
      </w:pPr>
      <w:bookmarkStart w:id="19" w:name="_AEIOULastRenderedPageBreakAEIOU5"/>
      <w:bookmarkEnd w:id="19"/>
      <w:r>
        <w:rPr>
          <w:rFonts w:ascii="Arial" w:hAnsi="Arial"/>
          <w:b w:val="false"/>
          <w:i w:val="false"/>
          <w:caps w:val="false"/>
          <w:smallCaps w:val="false"/>
          <w:sz w:val="20"/>
        </w:rPr>
        <w:t>92</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rely on our ability to stop others from competing by enforcing our patents, however some jurisdictions may require us to grant licenses to third parties. Such compulsory licenses could be extended to include some of our product candidates, which may limit our potential revenue opportunities.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Many foreign countries have compulsory licensing laws under which a patent owner must grant licenses to third parties, in certain circumstances. For example, compulsory licensing, or the threat of compulsory licensing, of life-saving products and expensive products is becoming increasingly popular in developing countries, either through direct legislation or international initiatives. Compulsory licenses could be extended to include some of our product candidates, if they receive marketing approval, which may limit our potential revenue opportunities. Consequently, we may not be able to prevent third parties from practicing our inventions in certain countries outside the United States and Europe. Competitors may also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where such patent rights exist, we cannot ensure that we will be able to initiate or maintain similar efforts in all jurisdictions in which we may wish to market our products. Accordingly, our efforts to protect our intellectual property rights in such countries may be inadequate.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some countries limit the enforceability of patents against government agencies or government contractors. In these countries, the patent owner may be limited to monetary relief and may be unable to enjoin infringement if a government is the infringer, which could materially diminish the value of the patent.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If we are unable to protect the confidentiality of our trade secrets, our business and competitive position would be harmed.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to the protection afforded by patents, we rely on trade secret protection and confidentiality agreements to protect proprietary know-how that is either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parties who have access to them, such as our employees, CROs,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Enforcing a claim that a party illegally disclosed or misappropriated a trade secret is difficult, expensive and time-consuming, and the outcome is unpredictable. In addition, some courts inside and outside the United States are less willing or unwilling to protect trade secrets. Misappropriation or unauthorized disclosure of our trade secrets or other confidential proprietary information could cause us to lose trade secret protection, impair our competitive position and have a material adverse effect on our business. Additionally, if the steps taken to maintain our trade secrets or other confidential proprietary information are deemed inadequate, we may have insufficient recourse against third parties for misappropriating the trade secret or other confidential proprietary information.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93</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may be subject to claims that our employees, consultants or independent contractors have wrongfully used or disclosed confidential information of third parties, that our employees have wrongfully used or disclosed alleged trade secrets of their former employers, or asserting ownership of what we regard as our own intellectual property.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have employed, and may in the future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such individuals’ former employers or other third parties. Litigation may be necessary to defend against these claims. If we fail in defending any such claims, in addition to paying monetary damages, we may lose valuable intellectual property rights or personnel, or our ability to hire personnel, which, in any case of the foregoing, could adversely impact our business. Even if we are successful in defending against such claims, litigation could result in substantial costs and be a distraction to management and other employees.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Although it is our policy to require all of our employees and consultants to assign their inventions to us, to the extent that employees or consultants use intellectual property owned by others in their work for us, disputes may arise as to the rights in related or resulting know-how and inventions. We may also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proprietary rights may not adequately protect our technologies and product candidates, and intellectual property rights do not necessarily address all potential threats to our competitive advantage.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others may be able to make products that are the same as or similar to our product candidates but that are not covered by the claims of our patents;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others, including inventors or developers of our patented technologies who may become involved with competitors, may independently develop similar technologies that function as alternatives or replacements for any of our technologies without infringing, misappropriating or otherwise violating our intellectual property rights;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might not have been the first to conceive and reduce to practice the inventions covered by our patents or patent applications; </w:t>
            </w:r>
          </w:p>
        </w:tc>
      </w:tr>
    </w:tbl>
    <w:tbl>
      <w:tblPr>
        <w:tblW w:w="9880" w:type="dxa"/>
        <w:jc w:val="left"/>
        <w:tblInd w:w="0" w:type="dxa"/>
        <w:tblCellMar>
          <w:top w:w="0" w:type="dxa"/>
          <w:left w:w="0" w:type="dxa"/>
          <w:bottom w:w="0" w:type="dxa"/>
          <w:right w:w="0" w:type="dxa"/>
        </w:tblCellMar>
      </w:tblPr>
      <w:tblGrid>
        <w:gridCol w:w="110"/>
        <w:gridCol w:w="97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77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might not have been the first to file patent applications covering certain of our inventions;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choose not to file a patent in order to maintain certain trade secrets or know-how, and a third party may subsequently file a patent covering such intellectual property; </w:t>
            </w:r>
          </w:p>
        </w:tc>
      </w:tr>
    </w:tbl>
    <w:tbl>
      <w:tblPr>
        <w:tblW w:w="7135" w:type="dxa"/>
        <w:jc w:val="left"/>
        <w:tblInd w:w="0" w:type="dxa"/>
        <w:tblCellMar>
          <w:top w:w="0" w:type="dxa"/>
          <w:left w:w="0" w:type="dxa"/>
          <w:bottom w:w="0" w:type="dxa"/>
          <w:right w:w="0" w:type="dxa"/>
        </w:tblCellMar>
      </w:tblPr>
      <w:tblGrid>
        <w:gridCol w:w="110"/>
        <w:gridCol w:w="702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2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pending patent applications might not result in issued patents;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94</w:t>
      </w:r>
    </w:p>
    <w:p>
      <w:pPr>
        <w:pStyle w:val="HorizontalLine"/>
        <w:rPr/>
      </w:pPr>
      <w:r>
        <w:rPr/>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7720" w:type="dxa"/>
        <w:jc w:val="left"/>
        <w:tblInd w:w="0" w:type="dxa"/>
        <w:tblCellMar>
          <w:top w:w="0" w:type="dxa"/>
          <w:left w:w="0" w:type="dxa"/>
          <w:bottom w:w="0" w:type="dxa"/>
          <w:right w:w="0" w:type="dxa"/>
        </w:tblCellMar>
      </w:tblPr>
      <w:tblGrid>
        <w:gridCol w:w="110"/>
        <w:gridCol w:w="761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61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there might be prior public disclosures that could invalidate our patents;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issued patents may not provide us with any commercially viable products or competitive advantage, or may be held invalid or unenforceable, as a result of legal challenges by our competitors or other third parties;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Supreme Court of the United States, other U.S. federal courts, Congress, the USPTO or similar foreign authorities may change the standards of patentability and any such changes could narrow or invalidate, or change the scope of, our patents;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patent terms may be inadequate to protect our competitive position on our product candidates for an adequate amount of time;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competitors or other third parties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ownership, validity or enforceability of our patents or patent applications may be challenged by third parties;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patents or pending or future applications of third parties, if issued, may have an adverse effect on our business.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Should any of these events occur, they could have a material adverse effect on our business, financial condition, results of operations, and prospects.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 xml:space="preserve">Risks Related to Employee Matters, Managing Growth and Other Risks Related to Our Business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will need to expand our organization, and we may experience difficulties in managing this growth, which could disrupt our operations.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expect to experience significant growth over time in the number of our employees and the scope of our operations, particularly in the areas of product candidate development, regulatory and clinical affairs and sales, marketing and distribution. To manage our growth activities,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As we expand our organization, we may have difficulty identifying, hiring and integrating new personnel. Future growth would impose significant additional responsibilities on our management, including: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need to identify, recruit, maintain, motivate and integrate additional employees, consultants and contractors;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managing our internal development efforts effectively, including the clinical and FDA review process for our product candidates, while complying with our contractual obligations to contractors and other third parties;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improving our operational, financial and management controls, reporting systems and procedures.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product revenues could be reduced, and we may not be able to implement our business strategy. Our future financial performance and our ability to commercialize our product candidates and compete effectively will depend, in part, on our ability to effectively manage any future growth.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95</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currently rely, and for the foreseeable future will continue to rely, in substantial part on certain independent organizations, advisors and consultants to provide certain services, including substantially all aspects of clinical trial conduct and execution,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high-quality personnel and consultants, the rate and success at which we can discover and develop product candidates and operate our business will be limited.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only have a limited number of employees to manage and operate our business.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of March 29, 2020, we had 39 full-time employees. Our focus on the development of AT-527 alone requires us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If we lose key management or scientific personnel, cannot recruit qualified employees, directors, officers or other significant personnel or experience increases in our compensation costs, our business may materially suffer.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highly dependent on our management and directors, including our Chief Executive Officer, Jean-Pierre Sommadossi, Ph.D., among others. Due to the specialized knowledge each of our officers and key employees possesses with respect to our product candidates and our operations, the loss of service of any of our officers or directors could delay or prevent the successful enrollment and completion of our clinical trials. We do not carry key person life insurance on any officers or directors. In general, the employment arrangements that we have with our executive officers do not prevent them from terminating their employment with us at any time.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our future success and growth will depend in part on the continued service of our directors, employees and management personnel and our ability to identify, hire and retain additional personnel. If we lose one or more of our executive officers or key employees, our ability to implement our business strategy successfully could be seriously harmed. Furthermore, replacing executive officers and key employees may be difficult or costly and may take an extended period of time because of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effectively incentivize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develop and commercialize product candidates will be limited.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96</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Many of our employees have become or will soon become vested in a substantial amount of our common stock or options to purchase our common stock.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entered into in connection with the IPO. Our future success also depends on our ability to continue to attract and retain additional executive officers and other key employees.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Unstable market and economic conditions may have serious adverse consequences on our business, financial condition and share price.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global economy, including credit and financial markets, has experienced extreme volatility and disruptions, including severely diminished liquidity and credit availability, declines in consumer confidence, declines in economic growth, increases in unemployment rates and uncertainty about economic stability. For example, the COVID-19 pandemic has resulted in widespread unemployment, an economic slowdown and extreme volatility in the capital markets. If the equity and credit markets deteriorate, it may make any necessary debt or equity financing more difficult to obtain in a timely manner or on favorable terms, more costly or more dilutive. In addition, there is a risk that one or more of our CROs, suppliers, CMOs or other third-party providers may not survive an economic downturn. As a result, our business, results of operations and price of our common stock may be adversely affected.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The United Kingdom’s withdrawal from the European Union may have a negative effect on global economic conditions, financial markets, and our business, which could reduce our share price.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Following a national referendum and enactment of legislation by the government of the U.K., the U.K. formally withdrew from the EU on January 31, 2020, commonly referred to as “Brexit” and, following the expiration of the Brexit transitional period on December 31, 2020, the U.K. now operates under a distinct regulatory regime and certain EU laws now only apply to the U.K. in respect of Northern Ireland (as laid out in the Protocol on Ireland and Northern Ireland, including but not limited to marketing authorizations). The Medicines and Healthcare products Regulatory Agency is now the U.K.’s standalone regulator. Although the U.K. and European Union have now reached an agreement on its future trading relationship (to be implemented in the EU-U.K. Trade and Cooperation Agreement from January 1, 2021 (“TCA”)), the agreement does not cover all regulatory areas regarding supply of medicinal product, which will likely be subject to future bilateral discussions going forward and could further change the relationship between the U.K. and the EU in this regard.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While agreement on the terms of the TCA has avoided a “no deal” Brexit scenario, and provides in principle for quota and tariff free trading of goods, it is nevertheless expected that the TCA will result in the creation of non-tariff barriers (such as increased shipping and regulatory costs and complexities) to the trade in goods between the UK and EU. Further, the TCA does not provide for the continued free movement of services between the UK and EU and also grants each of the U.K. and EU the ability, in certain circumstances, to unilaterally impose tariffs on one another. The TCA does provide for the mutual recognition of cGMP inspections of manufacturing facilities for medicinal products and cGMP documents issued. However, it is important to note that significant regulatory gaps still exist and the TCA does not contain wholesale mutual recognition of U.K. and EU pharmaceutical regulations and product standards between the parties, for example, in relation to batch testing and pharmacovigilance, which remain subject to further discussions.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In particular, it could also lead to a period of considerable uncertainty in relation to the U.K. financial and banking markets, as well as on the regulatory process in the United Kingdom and in Europe. As a result of this uncertainty, global financial markets could experience significant volatility, which could adversely affect the market price of our common stock. Asset valuations, currency exchange rates, and credit ratings may also be subject to increased market volatility. Lack of clarity about future U.K. laws and regulations as the United Kingdom determines which European Union rules and regulations to replace or replicate after withdrawal, including financial laws and regulations, tax and free trade agreements, intellectual property rights, data protection laws, supply chain logistics, environmental, health, and safety laws and regulations, immigration laws, and employment laws, could decrease foreign direct investment in the United Kingdom, increase costs, depress economic activity, and restrict our access to capital. If the United Kingdom and the European Union are unable to negotiate acceptable withdrawal terms or if other EU Member States pursue withdrawal, barrier-free access between the United Kingdom and other EU Member States or among the European Economic Area overall could be diminished or eliminated.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97</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may also face new regulatory costs and challenges that could have an adverse effect on our operations. Depending on the terms of Brexit, the United Kingdom could lose the benefits of global trade agreements negotiated by the European Union on behalf of its members, which may result in increased trade barriers that could make our doing business in Europe more difficult. In addition, currency exchange rates between the pound sterling, the euro and the U.S. dollar have already been, and may continue to be, affected by Brexit.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 xml:space="preserve">Risks Related to Our Common Stock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principal stockholders and management own a significant percentage of our shares of common stock and will be able to exert significant influence over matters subject to stockholder approval.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executive officers, directors, and 5% stockholders beneficially own at least 30% of our common stock as of March 29, 2021. Therefore, these stockholders will have the ability to influence us through this ownership position. These stockholders may be able to determine matters requiring stockholders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shares of common stock that you may feel are in your best interest as one of our stockholders.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A significant portion of our total outstanding shares are eligible to be sold into the market in the near future, which could cause the market price of our common stock to drop significantly, even if our business is doing well.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Sales of a substantial number of shares of our common stock in the public market, or the perception in the market that the holders of a large number of shares intend to sell shares, could reduce the market price of our common stock. We have 82,736,937 outstanding shares of common stock as of March 29, 2021. Shares other than those sold in our IPO are currently restricted as a result of securities laws or lock-up agreements (which may be waived, with or without notice, pursuant to the terms of such lock-up agreement), but will become eligible to be sold at various times beginning after the period ending 180 days after October 29, 2020, unless held by one of our affiliates, in which case the resale of those securities will be subject to volume limitations under Rule 144 of the Securities Act of 1933, as amended (“Rule 144”). Moreover, holders of an aggregate of 57,932,090 shares of our common stock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stockholders’ agreement between us and such holders. We also have registered all shares of common stock that we may issue under our equity compensation plans and these shares can be freely sold in the public market upon issuance, subject to volume limitations applicable to affiliates and the lock-up agreements.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are an “emerging growth company,” and the reduced disclosure requirements applicable to emerging growth companies may make our common stock less attractive to investors.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an “emerging growth company,” as defined in the JOBS Act, and may remain an emerging growth company until the earlier of (1) the last day of the fiscal year (a) following the fifth anniversary of the date of the closing of our IPO, (b) in which we have total annual gross revenue of at least $1.07 billion or (c) in which we are deemed to be a large accelerated filer, which requires the market value of our common shares that are held by non-affiliates to exceed $700 million as of the last business day of our most recently completed second fiscal quarter, and (2) the date on which we have issued more than $1.0 billion in non-convertible debt during the prior three-year period. For so long as we remain an emerging growth company, we are permitted and intend to rely on exemptions from certain disclosure requirements that are applicable to other public companies that are not emerging growth companies. These exemptions include: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not being required to comply with the auditor attestation requirements in the assessment of our internal control over financial reporting; </w:t>
            </w:r>
          </w:p>
        </w:tc>
      </w:tr>
    </w:tbl>
    <w:tbl>
      <w:tblPr>
        <w:tblW w:w="7690" w:type="dxa"/>
        <w:jc w:val="left"/>
        <w:tblInd w:w="0" w:type="dxa"/>
        <w:tblCellMar>
          <w:top w:w="0" w:type="dxa"/>
          <w:left w:w="0" w:type="dxa"/>
          <w:bottom w:w="0" w:type="dxa"/>
          <w:right w:w="0" w:type="dxa"/>
        </w:tblCellMar>
      </w:tblPr>
      <w:tblGrid>
        <w:gridCol w:w="110"/>
        <w:gridCol w:w="75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8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reduced disclosure obligations regarding executive compensation;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exemptions from the requirements of holding a nonbinding advisory vote on executive compensation and stockholder approval of any golden parachute payments not previously approved.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98</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If some investors find our common stock less attractive as a result, there may be a less active trading market for our common stock and our stock price may be reduced or more volatile.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Based on our current market capitalization we may become a large accelerated filer for the year ended December 31, 2021 in which case we would lose our status as an emerging growth company. The final determination won’t be known until June 30, 2021, the last day of our second fiscal quarter.</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If securities or industry analysts do not publish research or reports about our business, or if they issue an adverse or misleading opinion regarding our stock, our stock price and trading volume could decline, even if our business is doing well.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trading market for our common stock will be influenced by the research and reports that industry or securities analysts publish about us or our business. We currently have limited research coverage by securities and industry analysts.  If any of the analysts who cover us or may cover us downgrades our common stock or issues an adverse or misleading opinion regarding us, our business model, our intellectual property or our stock performance, or if our target preclinical studies or clinical trials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may also limit the price that investors are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 classified board of directors with three-year staggered terms, which may delay the ability of stockholders to change the membership of a majority of our board of directors;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no cumulative voting in the election of directors, which limits the ability of minority stockholders to elect director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exclusive right of our board of directors to elect a director to fill a vacancy created by the expansion of the board of directors or the resignation, death or removal of a director, which prevents stockholders from filling vacancies on our board of directors;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 </w:t>
            </w:r>
          </w:p>
        </w:tc>
      </w:tr>
    </w:tbl>
    <w:tbl>
      <w:tblPr>
        <w:tblW w:w="9985" w:type="dxa"/>
        <w:jc w:val="left"/>
        <w:tblInd w:w="0" w:type="dxa"/>
        <w:tblCellMar>
          <w:top w:w="0" w:type="dxa"/>
          <w:left w:w="0" w:type="dxa"/>
          <w:bottom w:w="0" w:type="dxa"/>
          <w:right w:w="0" w:type="dxa"/>
        </w:tblCellMar>
      </w:tblPr>
      <w:tblGrid>
        <w:gridCol w:w="110"/>
        <w:gridCol w:w="98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87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ability of our board of directors to alter our bylaws without obtaining stockholder approval;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required approval of the holders of at least two-thirds of the shares entitled to vote at an election of directors to adopt, amend or repeal our bylaws or repeal the provisions of our restated certificate of incorporation regarding the election and removal of directors;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 prohibition on stockholder action by written consent, which forces stockholder action to be taken at an annual or special meeting of our stockholders;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99</w:t>
      </w:r>
    </w:p>
    <w:p>
      <w:pPr>
        <w:pStyle w:val="HorizontalLine"/>
        <w:rPr/>
      </w:pPr>
      <w:r>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val="false"/>
                <w:caps w:val="false"/>
                <w:smallCaps w:val="false"/>
                <w:color w:val="000000"/>
              </w:rPr>
              <w:t>the requirement that a special meeting of stockholders may be called only by the chairman of the board of directors, the chief executive officer, the president</w:t>
            </w:r>
            <w:r>
              <w:rPr>
                <w:b w:val="false"/>
                <w:i w:val="false"/>
                <w:caps w:val="false"/>
                <w:smallCaps w:val="false"/>
                <w:color w:val="000000"/>
              </w:rPr>
              <w:t xml:space="preserve"> </w:t>
            </w:r>
            <w:r>
              <w:rPr>
                <w:rFonts w:ascii="Arial" w:hAnsi="Arial"/>
                <w:b w:val="false"/>
                <w:i w:val="false"/>
                <w:caps w:val="false"/>
                <w:smallCaps w:val="false"/>
                <w:color w:val="000000"/>
              </w:rPr>
              <w:t xml:space="preserve">or the board of directors, which may delay the ability of our stockholders to force consideration of a proposal or to take action, including the removal of directors;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restated certificate of incorporation designates specific courts as the exclusive forum for certain litigation that may be initiated by our stockholders, which could limit our stockholders’ ability to obtain a favorable judicial forum for disputes with us.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other than suits brought to enforce any liability or duty created by the Exchange Act or any other claim for which the federal courts have exclusive jurisdiction and any action that the Court of Chancery of the State of Delaware has dismissed for lack of subject matter jurisdiction, which may be brought in another state or federal court sitting in the State of Delaware. Our restated certificate of incorporation also specifies that unless we consent in writing to the selection of an alternate forum, the federal district courts of the United States shall be the exclusive forum for the resolution of any complaint asserting a cause of action arising under the Securities Act of 1933. Any person or entity purchasing or otherwise acquiring any interest in shares of our capital stock shall be deemed to have notice of and to have consented to the provisions of our restated certificate of incorporation described above.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believe this provision benefits us by providing increased consistency in the application of Delaware law by chancellors particularly experienced in resolving corporate disputes or federal judges experienced in resolving Securities Act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General Risk Factors</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Raising additional capital may cause additional dilution to our stockholders, restrict our operations, require us to relinquish rights to our technologies or product candidates, and could cause our share price to fall.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Until such time, if ever, as we can generate substantial revenue from product sales, we may finance our cash needs through a combination of equity offerings, debt financings, marketing and distribution arrangements and other collaborations, strategic alliances and licensing arrangements. In addition, we may seek additional capital due to favorable market conditions or strategic considerations, even if we believe that we have sufficient funds for our current or future operating plans.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100</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operations, our ability to take specific actions, such as incurring additional debt, making capital expenditures, declaring dividends, redeeming our stock, making certain investments and engaging in certain merger, consolidation or asset sale transactions, among other restrictions. 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Weakening patent laws and enforcement by courts and other authorities in the United States and other jurisdictions may impact our ability to protect our patents.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and other bodies in other countries, the laws and regulations governing patents could change in unpredictable ways that would weaken our ability to obtain new patents or to enforce and defend our existing patents and patents that we might obtain in the future.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EPO, or patent litigation and other proceedings in a foreign court. If so, uncertainties resulting from the initiation and continuation of such proceedings could have a material adverse effect on our ability to compete in the marketplace. The cost of foreign adversarial proceedings can also be substantial, and in many foreign jurisdictions, the losing party must pay the attorney fees of the winning party.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may engage in acquisitions or strategic partnerships that could disrupt our business, cause dilution to our stockholders, reduce our financial resources, cause or to incur debt or assume contingent liabilities, and subject us to other risks.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and we may never realize the anticipated benefits of such acquisitions or partnerships.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and cash equivalents available for operations and other uses. We cannot predict the number, timing or size of future acquisitions or partnerships or the effect that any such transactions might have on our operating results.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101</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or the third parties upon whom we depend may be adversely affected by natural disasters or pandemics and our business continuity and disaster recovery plans may not adequately protect us from a serious disaster.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Natural disasters or pandemics, other than or in addition to COVID-19, could severely disrupt our operations and have a material adverse effect on our business, results of operations, financial condition and prospects. If a natural disaster, power outage, pandemic, such as the COVID-19 pandemic,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Litigation against us could be costly and time-consuming to defend and could result in additional liabilities.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may from time to time be subject to legal proceedings and claims that arise in the ordinary course of business or otherwise, such as claims brought by our customers or third parties in connection with commercial disputes and employment claims made by our current or former employees. Claims may also be asserted by or on behalf of a variety of other parties, including government agencies, patients or vendors of our customers, or stockholders.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and resulting in a reduction in the trading price of our stock.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The market price of our common stock has been volatile and may fluctuate substantially.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stock price has been and is likely to remain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a profit. The market price for our common stock may be influenced by many factors, including: </w:t>
      </w:r>
    </w:p>
    <w:tbl>
      <w:tblPr>
        <w:tblW w:w="5710" w:type="dxa"/>
        <w:jc w:val="left"/>
        <w:tblInd w:w="0" w:type="dxa"/>
        <w:tblCellMar>
          <w:top w:w="0" w:type="dxa"/>
          <w:left w:w="0" w:type="dxa"/>
          <w:bottom w:w="0" w:type="dxa"/>
          <w:right w:w="0" w:type="dxa"/>
        </w:tblCellMar>
      </w:tblPr>
      <w:tblGrid>
        <w:gridCol w:w="110"/>
        <w:gridCol w:w="560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60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success of competitive products or technologies; </w:t>
            </w:r>
          </w:p>
        </w:tc>
      </w:tr>
    </w:tbl>
    <w:tbl>
      <w:tblPr>
        <w:tblW w:w="7870" w:type="dxa"/>
        <w:jc w:val="left"/>
        <w:tblInd w:w="0" w:type="dxa"/>
        <w:tblCellMar>
          <w:top w:w="0" w:type="dxa"/>
          <w:left w:w="0" w:type="dxa"/>
          <w:bottom w:w="0" w:type="dxa"/>
          <w:right w:w="0" w:type="dxa"/>
        </w:tblCellMar>
      </w:tblPr>
      <w:tblGrid>
        <w:gridCol w:w="110"/>
        <w:gridCol w:w="77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6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actual or expected changes in our growth rate relative to our competitors;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results of our ongoing, planned or any future preclinical studies, clinical trials or clinical development of our product candidates or those of our competitors; </w:t>
            </w:r>
          </w:p>
        </w:tc>
      </w:tr>
    </w:tbl>
    <w:tbl>
      <w:tblPr>
        <w:tblW w:w="8890" w:type="dxa"/>
        <w:jc w:val="left"/>
        <w:tblInd w:w="0" w:type="dxa"/>
        <w:tblCellMar>
          <w:top w:w="0" w:type="dxa"/>
          <w:left w:w="0" w:type="dxa"/>
          <w:bottom w:w="0" w:type="dxa"/>
          <w:right w:w="0" w:type="dxa"/>
        </w:tblCellMar>
      </w:tblPr>
      <w:tblGrid>
        <w:gridCol w:w="110"/>
        <w:gridCol w:w="87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78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unanticipated serious safety concerns related to the use of our product candidates; </w:t>
            </w:r>
          </w:p>
        </w:tc>
      </w:tr>
    </w:tbl>
    <w:tbl>
      <w:tblPr>
        <w:tblW w:w="7030" w:type="dxa"/>
        <w:jc w:val="left"/>
        <w:tblInd w:w="0" w:type="dxa"/>
        <w:tblCellMar>
          <w:top w:w="0" w:type="dxa"/>
          <w:left w:w="0" w:type="dxa"/>
          <w:bottom w:w="0" w:type="dxa"/>
          <w:right w:w="0" w:type="dxa"/>
        </w:tblCellMar>
      </w:tblPr>
      <w:tblGrid>
        <w:gridCol w:w="110"/>
        <w:gridCol w:w="692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2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developments related to our existing or any future collaborations; </w:t>
            </w:r>
          </w:p>
        </w:tc>
      </w:tr>
    </w:tbl>
    <w:tbl>
      <w:tblPr>
        <w:tblW w:w="7870" w:type="dxa"/>
        <w:jc w:val="left"/>
        <w:tblInd w:w="0" w:type="dxa"/>
        <w:tblCellMar>
          <w:top w:w="0" w:type="dxa"/>
          <w:left w:w="0" w:type="dxa"/>
          <w:bottom w:w="0" w:type="dxa"/>
          <w:right w:w="0" w:type="dxa"/>
        </w:tblCellMar>
      </w:tblPr>
      <w:tblGrid>
        <w:gridCol w:w="110"/>
        <w:gridCol w:w="77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6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developments concerning our manufacturers or our manufacturing plans;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inability to obtain adequate product supply for any approved product or inability to do so at acceptable prices;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regulatory actions with respect to our product candidates or our competitors’ products and product candidates; </w:t>
            </w:r>
          </w:p>
        </w:tc>
      </w:tr>
    </w:tbl>
    <w:tbl>
      <w:tblPr>
        <w:tblW w:w="7975" w:type="dxa"/>
        <w:jc w:val="left"/>
        <w:tblInd w:w="0" w:type="dxa"/>
        <w:tblCellMar>
          <w:top w:w="0" w:type="dxa"/>
          <w:left w:w="0" w:type="dxa"/>
          <w:bottom w:w="0" w:type="dxa"/>
          <w:right w:w="0" w:type="dxa"/>
        </w:tblCellMar>
      </w:tblPr>
      <w:tblGrid>
        <w:gridCol w:w="110"/>
        <w:gridCol w:w="786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86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regulatory or legal developments in the United States and other countries;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development of third-party product candidates that may address our markets and make our product candidates less attractive;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102</w:t>
      </w:r>
    </w:p>
    <w:p>
      <w:pPr>
        <w:pStyle w:val="HorizontalLine"/>
        <w:rPr/>
      </w:pPr>
      <w:r>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val="false"/>
                <w:caps w:val="false"/>
                <w:smallCaps w:val="false"/>
                <w:color w:val="000000"/>
              </w:rPr>
              <w:t>changes in physician, hospital or healthcare provider practices that may make our product candidates less useful;</w:t>
            </w:r>
            <w:r>
              <w:rPr>
                <w:b w:val="false"/>
                <w:i w:val="false"/>
                <w:caps w:val="false"/>
                <w:smallCaps w:val="false"/>
                <w:color w:val="000000"/>
              </w:rPr>
              <w:t xml:space="preserv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decision to initiate a clinical trial, not to initiate a clinical trial or to terminate an existing clinical trial; </w:t>
            </w:r>
          </w:p>
        </w:tc>
      </w:tr>
    </w:tbl>
    <w:tbl>
      <w:tblPr>
        <w:tblW w:w="5665" w:type="dxa"/>
        <w:jc w:val="left"/>
        <w:tblInd w:w="0" w:type="dxa"/>
        <w:tblCellMar>
          <w:top w:w="0" w:type="dxa"/>
          <w:left w:w="0" w:type="dxa"/>
          <w:bottom w:w="0" w:type="dxa"/>
          <w:right w:w="0" w:type="dxa"/>
        </w:tblCellMar>
      </w:tblPr>
      <w:tblGrid>
        <w:gridCol w:w="110"/>
        <w:gridCol w:w="55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55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failure to commercialize our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announcements by us, our partners or our competitors of significant acquisitions, strategic partnerships, joint ventures, collaborations or capital commitments;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developments or disputes concerning patent applications, issued patents or other intellectual property or proprietary rights; </w:t>
            </w:r>
          </w:p>
        </w:tc>
      </w:tr>
    </w:tbl>
    <w:tbl>
      <w:tblPr>
        <w:tblW w:w="7705" w:type="dxa"/>
        <w:jc w:val="left"/>
        <w:tblInd w:w="0" w:type="dxa"/>
        <w:tblCellMar>
          <w:top w:w="0" w:type="dxa"/>
          <w:left w:w="0" w:type="dxa"/>
          <w:bottom w:w="0" w:type="dxa"/>
          <w:right w:w="0" w:type="dxa"/>
        </w:tblCellMar>
      </w:tblPr>
      <w:tblGrid>
        <w:gridCol w:w="110"/>
        <w:gridCol w:w="75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recruitment or departure of key scientific or management personnel;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level of expenses related to any of our product candidates or clinical development programs;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failure to meet or exceed financial estimates and projections of the investment community or that we provide to the public; </w:t>
            </w:r>
          </w:p>
        </w:tc>
      </w:tr>
    </w:tbl>
    <w:tbl>
      <w:tblPr>
        <w:tblW w:w="3670" w:type="dxa"/>
        <w:jc w:val="left"/>
        <w:tblInd w:w="0" w:type="dxa"/>
        <w:tblCellMar>
          <w:top w:w="0" w:type="dxa"/>
          <w:left w:w="0" w:type="dxa"/>
          <w:bottom w:w="0" w:type="dxa"/>
          <w:right w:w="0" w:type="dxa"/>
        </w:tblCellMar>
      </w:tblPr>
      <w:tblGrid>
        <w:gridCol w:w="110"/>
        <w:gridCol w:w="35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56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in accounting practices; </w:t>
            </w:r>
          </w:p>
        </w:tc>
      </w:tr>
    </w:tbl>
    <w:tbl>
      <w:tblPr>
        <w:tblW w:w="4465" w:type="dxa"/>
        <w:jc w:val="left"/>
        <w:tblInd w:w="0" w:type="dxa"/>
        <w:tblCellMar>
          <w:top w:w="0" w:type="dxa"/>
          <w:left w:w="0" w:type="dxa"/>
          <w:bottom w:w="0" w:type="dxa"/>
          <w:right w:w="0" w:type="dxa"/>
        </w:tblCellMar>
      </w:tblPr>
      <w:tblGrid>
        <w:gridCol w:w="110"/>
        <w:gridCol w:w="43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35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trading volume of our common stock; </w:t>
            </w:r>
          </w:p>
        </w:tc>
      </w:tr>
    </w:tbl>
    <w:tbl>
      <w:tblPr>
        <w:tblW w:w="4390" w:type="dxa"/>
        <w:jc w:val="left"/>
        <w:tblInd w:w="0" w:type="dxa"/>
        <w:tblCellMar>
          <w:top w:w="0" w:type="dxa"/>
          <w:left w:w="0" w:type="dxa"/>
          <w:bottom w:w="0" w:type="dxa"/>
          <w:right w:w="0" w:type="dxa"/>
        </w:tblCellMar>
      </w:tblPr>
      <w:tblGrid>
        <w:gridCol w:w="110"/>
        <w:gridCol w:w="42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28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cash and cash equivalents position; </w:t>
            </w:r>
          </w:p>
        </w:tc>
      </w:tr>
    </w:tbl>
    <w:tbl>
      <w:tblPr>
        <w:tblW w:w="4780" w:type="dxa"/>
        <w:jc w:val="left"/>
        <w:tblInd w:w="0" w:type="dxa"/>
        <w:tblCellMar>
          <w:top w:w="0" w:type="dxa"/>
          <w:left w:w="0" w:type="dxa"/>
          <w:bottom w:w="0" w:type="dxa"/>
          <w:right w:w="0" w:type="dxa"/>
        </w:tblCellMar>
      </w:tblPr>
      <w:tblGrid>
        <w:gridCol w:w="110"/>
        <w:gridCol w:w="46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67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effectively manage our growth; </w:t>
            </w:r>
          </w:p>
        </w:tc>
      </w:tr>
    </w:tbl>
    <w:tbl>
      <w:tblPr>
        <w:tblW w:w="7090" w:type="dxa"/>
        <w:jc w:val="left"/>
        <w:tblInd w:w="0" w:type="dxa"/>
        <w:tblCellMar>
          <w:top w:w="0" w:type="dxa"/>
          <w:left w:w="0" w:type="dxa"/>
          <w:bottom w:w="0" w:type="dxa"/>
          <w:right w:w="0" w:type="dxa"/>
        </w:tblCellMar>
      </w:tblPr>
      <w:tblGrid>
        <w:gridCol w:w="110"/>
        <w:gridCol w:w="69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8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sales of our common stock by us or our stockholders in the future;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publication of research reports about us or our industry, or positive or negative recommendations or withdrawal of research coverage by securities analysts; </w:t>
            </w:r>
          </w:p>
        </w:tc>
      </w:tr>
    </w:tbl>
    <w:tbl>
      <w:tblPr>
        <w:tblW w:w="4255" w:type="dxa"/>
        <w:jc w:val="left"/>
        <w:tblInd w:w="0" w:type="dxa"/>
        <w:tblCellMar>
          <w:top w:w="0" w:type="dxa"/>
          <w:left w:w="0" w:type="dxa"/>
          <w:bottom w:w="0" w:type="dxa"/>
          <w:right w:w="0" w:type="dxa"/>
        </w:tblCellMar>
      </w:tblPr>
      <w:tblGrid>
        <w:gridCol w:w="110"/>
        <w:gridCol w:w="41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14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ineffectiveness of our internal controls; </w:t>
            </w:r>
          </w:p>
        </w:tc>
      </w:tr>
    </w:tbl>
    <w:tbl>
      <w:tblPr>
        <w:tblW w:w="8020" w:type="dxa"/>
        <w:jc w:val="left"/>
        <w:tblInd w:w="0" w:type="dxa"/>
        <w:tblCellMar>
          <w:top w:w="0" w:type="dxa"/>
          <w:left w:w="0" w:type="dxa"/>
          <w:bottom w:w="0" w:type="dxa"/>
          <w:right w:w="0" w:type="dxa"/>
        </w:tblCellMar>
      </w:tblPr>
      <w:tblGrid>
        <w:gridCol w:w="110"/>
        <w:gridCol w:w="791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91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significant lawsuits, including intellectual property or stockholder litigation;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results of our efforts to discover, develop, acquire or in-license additional product candidates or products;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actual or expected changes in estimates as to financial results, development timelines or recommendations by securities analysts;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actual or anticipated variations in our financial results or those of companies that are perceived to be similar to us; </w:t>
            </w:r>
          </w:p>
        </w:tc>
      </w:tr>
    </w:tbl>
    <w:tbl>
      <w:tblPr>
        <w:tblW w:w="6130" w:type="dxa"/>
        <w:jc w:val="left"/>
        <w:tblInd w:w="0" w:type="dxa"/>
        <w:tblCellMar>
          <w:top w:w="0" w:type="dxa"/>
          <w:left w:w="0" w:type="dxa"/>
          <w:bottom w:w="0" w:type="dxa"/>
          <w:right w:w="0" w:type="dxa"/>
        </w:tblCellMar>
      </w:tblPr>
      <w:tblGrid>
        <w:gridCol w:w="110"/>
        <w:gridCol w:w="602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02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in the structure of healthcare payment systems; </w:t>
            </w:r>
          </w:p>
        </w:tc>
      </w:tr>
    </w:tbl>
    <w:tbl>
      <w:tblPr>
        <w:tblW w:w="7315" w:type="dxa"/>
        <w:jc w:val="left"/>
        <w:tblInd w:w="0" w:type="dxa"/>
        <w:tblCellMar>
          <w:top w:w="0" w:type="dxa"/>
          <w:left w:w="0" w:type="dxa"/>
          <w:bottom w:w="0" w:type="dxa"/>
          <w:right w:w="0" w:type="dxa"/>
        </w:tblCellMar>
      </w:tblPr>
      <w:tblGrid>
        <w:gridCol w:w="110"/>
        <w:gridCol w:w="72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20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market conditions in the pharmaceutical and biotechnology sectors; </w:t>
            </w:r>
          </w:p>
        </w:tc>
      </w:tr>
    </w:tbl>
    <w:tbl>
      <w:tblPr>
        <w:tblW w:w="5980" w:type="dxa"/>
        <w:jc w:val="left"/>
        <w:tblInd w:w="0" w:type="dxa"/>
        <w:tblCellMar>
          <w:top w:w="0" w:type="dxa"/>
          <w:left w:w="0" w:type="dxa"/>
          <w:bottom w:w="0" w:type="dxa"/>
          <w:right w:w="0" w:type="dxa"/>
        </w:tblCellMar>
      </w:tblPr>
      <w:tblGrid>
        <w:gridCol w:w="110"/>
        <w:gridCol w:w="58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87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general economic, industry and market conditions; and </w:t>
            </w:r>
          </w:p>
        </w:tc>
      </w:tr>
    </w:tbl>
    <w:tbl>
      <w:tblPr>
        <w:tblW w:w="6115" w:type="dxa"/>
        <w:jc w:val="left"/>
        <w:tblInd w:w="0" w:type="dxa"/>
        <w:tblCellMar>
          <w:top w:w="0" w:type="dxa"/>
          <w:left w:w="0" w:type="dxa"/>
          <w:bottom w:w="0" w:type="dxa"/>
          <w:right w:w="0" w:type="dxa"/>
        </w:tblCellMar>
      </w:tblPr>
      <w:tblGrid>
        <w:gridCol w:w="110"/>
        <w:gridCol w:w="60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00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other factors described in this “Risk Factors” section.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addition, the stock market in general, and The Nasdaq Global Select Market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shares,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103</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have incurred and will continue to incur increased costs as a result of operating as a public company, and our management has been and will continue to be required to devote substantial time to new compliance initiatives and corporate governance practices.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a public company, and particularly after we are no longer an emerging growth company, we will incur significant legal, accounting and other expenses that we did not incur before we became a public company in October 2020.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are devoting a substantial amount of time to these compliance initiatives. Moreover, these rules and regulations have and will continue to increase our legal and financial compliance costs and will make some activities more time-consuming and costly. For example, these rules and regulations have made it more difficult and more expensive for us to obtain director and officer liability insurance, which in turn could make it more difficult for us to attract and retain qualified members of our board of directors.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Pursuant to Section 404 of the Sarbanes-Oxley Act of 2002 (“Section 404”), in our second annual report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We may discover significant deficiencies or material weaknesses in our internal control over financial reporting,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it could result in an adverse reaction in the financial markets due to a loss of confidence in the reliability of our financial statements.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not currently required to comply with the rules of the SEC implementing Section 404 and, therefore, we are not required to make a formal assessment of the effectiveness of our internal control over financial reporting for that purpose.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104</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independent registered public accounting firm will not be required to attest to the effectiveness of our internal control over financial reporting pursuant to Section 404 until we are no longer an emerging growth company. At such time, our independent registered public accounting firm may issue a report that is adverse in the event material weaknesses have been identified in our internal control over financial reporting.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To comply with the requirements of being a public company, we have undertaken and will need to undertake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In addition,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As a result, the market price of our common stock could be materially adversely affected.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Our disclosure controls and procedures may not prevent or detect all errors or acts of fraud.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Because we do not anticipate paying any cash dividends on our common stock in the foreseeable future, capital appreciation, if any, is likely to be your sole source of gain.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As a result, capital appreciation, if any, of our common stock is likely to be your sole source of gain on an investment in our common stock for the foreseeable future. </w:t>
      </w:r>
    </w:p>
    <w:p>
      <w:pPr>
        <w:pStyle w:val="TextBody"/>
        <w:spacing w:before="120" w:after="0"/>
        <w:rPr>
          <w:rFonts w:ascii="Arial" w:hAnsi="Arial"/>
          <w:b/>
          <w:i/>
          <w:caps w:val="false"/>
          <w:smallCaps w:val="false"/>
          <w:sz w:val="20"/>
        </w:rPr>
      </w:pPr>
      <w:r>
        <w:rPr>
          <w:rFonts w:ascii="Arial" w:hAnsi="Arial"/>
          <w:b/>
          <w:i/>
          <w:caps w:val="false"/>
          <w:smallCaps w:val="false"/>
          <w:sz w:val="20"/>
        </w:rPr>
        <w:t xml:space="preserve">We could be subject to securities class action litigation.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spacing w:before="240" w:after="0"/>
        <w:jc w:val="center"/>
        <w:rPr>
          <w:rFonts w:ascii="Arial" w:hAnsi="Arial"/>
          <w:b w:val="false"/>
          <w:i w:val="false"/>
          <w:caps w:val="false"/>
          <w:smallCaps w:val="false"/>
          <w:sz w:val="20"/>
        </w:rPr>
      </w:pPr>
      <w:bookmarkStart w:id="20" w:name="_AEIOULastRenderedPageBreakAEIOU6"/>
      <w:bookmarkEnd w:id="20"/>
      <w:r>
        <w:rPr>
          <w:rFonts w:ascii="Arial" w:hAnsi="Arial"/>
          <w:b w:val="false"/>
          <w:i w:val="false"/>
          <w:caps w:val="false"/>
          <w:smallCaps w:val="false"/>
          <w:sz w:val="20"/>
        </w:rPr>
        <w:t>105</w:t>
      </w:r>
    </w:p>
    <w:p>
      <w:pPr>
        <w:pStyle w:val="HorizontalLine"/>
        <w:rPr/>
      </w:pPr>
      <w:r>
        <w:rPr/>
      </w:r>
    </w:p>
    <w:p>
      <w:pPr>
        <w:pStyle w:val="TextBody"/>
        <w:spacing w:before="0" w:after="0"/>
        <w:rPr>
          <w:rFonts w:ascii="Arial" w:hAnsi="Arial"/>
          <w:b/>
          <w:i w:val="false"/>
          <w:caps w:val="false"/>
          <w:smallCaps w:val="false"/>
          <w:sz w:val="20"/>
        </w:rPr>
      </w:pPr>
      <w:bookmarkStart w:id="21" w:name="ITEM_1B_UNRESOLVED_STAFF_COMMENTS"/>
      <w:bookmarkEnd w:id="21"/>
      <w:r>
        <w:rPr>
          <w:rFonts w:ascii="Arial" w:hAnsi="Arial"/>
          <w:b/>
          <w:i w:val="false"/>
          <w:caps w:val="false"/>
          <w:smallCaps w:val="false"/>
          <w:sz w:val="20"/>
        </w:rPr>
        <w:t xml:space="preserve">Item 1B. Unresolved Staff Comments.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Not applicable. </w:t>
      </w:r>
    </w:p>
    <w:p>
      <w:pPr>
        <w:pStyle w:val="TextBody"/>
        <w:spacing w:before="120" w:after="120"/>
        <w:rPr>
          <w:rFonts w:ascii="Arial" w:hAnsi="Arial"/>
          <w:b/>
          <w:i w:val="false"/>
          <w:caps w:val="false"/>
          <w:smallCaps w:val="false"/>
          <w:sz w:val="20"/>
        </w:rPr>
      </w:pPr>
      <w:bookmarkStart w:id="22" w:name="ITEM_2_PROPERTIES"/>
      <w:bookmarkEnd w:id="22"/>
      <w:r>
        <w:rPr>
          <w:rFonts w:ascii="Arial" w:hAnsi="Arial"/>
          <w:b/>
          <w:i w:val="false"/>
          <w:caps w:val="false"/>
          <w:smallCaps w:val="false"/>
          <w:sz w:val="20"/>
        </w:rPr>
        <w:t xml:space="preserve">Item 2. Properties. </w:t>
      </w:r>
    </w:p>
    <w:p>
      <w:pPr>
        <w:pStyle w:val="TextBody"/>
        <w:spacing w:before="120" w:after="12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Our principal office is located at 125 Summer Street, Boston, Massachusetts, where we lease 5,634 square feet of office space. We lease this space under a lease agreement, as amended, that terminates on July 31, 2022. We believe that our facilities are sufficient to meet our current needs and that suitable additional space will be available as and when needed.</w:t>
      </w:r>
    </w:p>
    <w:p>
      <w:pPr>
        <w:pStyle w:val="TextBody"/>
        <w:spacing w:before="120" w:after="0"/>
        <w:rPr>
          <w:rFonts w:ascii="Arial" w:hAnsi="Arial"/>
          <w:b/>
          <w:i w:val="false"/>
          <w:caps w:val="false"/>
          <w:smallCaps w:val="false"/>
          <w:sz w:val="20"/>
        </w:rPr>
      </w:pPr>
      <w:bookmarkStart w:id="23" w:name="ITEM_3_LEGAL_PROCEEDINGS"/>
      <w:bookmarkEnd w:id="23"/>
      <w:r>
        <w:rPr>
          <w:rFonts w:ascii="Arial" w:hAnsi="Arial"/>
          <w:b/>
          <w:i w:val="false"/>
          <w:caps w:val="false"/>
          <w:smallCaps w:val="false"/>
          <w:sz w:val="20"/>
        </w:rPr>
        <w:t xml:space="preserve">Item 3. Legal Proceedings.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are not subject to any material legal proceedings.</w:t>
      </w:r>
    </w:p>
    <w:p>
      <w:pPr>
        <w:pStyle w:val="TextBody"/>
        <w:spacing w:before="120" w:after="0"/>
        <w:rPr>
          <w:rFonts w:ascii="Arial" w:hAnsi="Arial"/>
          <w:b/>
          <w:i w:val="false"/>
          <w:caps w:val="false"/>
          <w:smallCaps w:val="false"/>
          <w:sz w:val="20"/>
        </w:rPr>
      </w:pPr>
      <w:bookmarkStart w:id="24" w:name="ITEM_4_MINE_SAFETY_DISCLOSURES"/>
      <w:bookmarkEnd w:id="24"/>
      <w:r>
        <w:rPr>
          <w:rFonts w:ascii="Arial" w:hAnsi="Arial"/>
          <w:b/>
          <w:i w:val="false"/>
          <w:caps w:val="false"/>
          <w:smallCaps w:val="false"/>
          <w:sz w:val="20"/>
        </w:rPr>
        <w:t>Item 4. Mine Safety Disclosures.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Not applicable.</w:t>
      </w:r>
    </w:p>
    <w:p>
      <w:pPr>
        <w:pStyle w:val="TextBody"/>
        <w:spacing w:before="240" w:after="0"/>
        <w:jc w:val="center"/>
        <w:rPr>
          <w:rFonts w:ascii="Arial" w:hAnsi="Arial"/>
          <w:b w:val="false"/>
          <w:i w:val="false"/>
          <w:caps w:val="false"/>
          <w:smallCaps w:val="false"/>
          <w:sz w:val="20"/>
        </w:rPr>
      </w:pPr>
      <w:bookmarkStart w:id="25" w:name="_AEIOULastRenderedPageBreakAEIOU7"/>
      <w:bookmarkEnd w:id="25"/>
      <w:r>
        <w:rPr>
          <w:rFonts w:ascii="Arial" w:hAnsi="Arial"/>
          <w:b w:val="false"/>
          <w:i w:val="false"/>
          <w:caps w:val="false"/>
          <w:smallCaps w:val="false"/>
          <w:sz w:val="20"/>
        </w:rPr>
        <w:t>106</w:t>
      </w:r>
    </w:p>
    <w:p>
      <w:pPr>
        <w:pStyle w:val="HorizontalLine"/>
        <w:rPr/>
      </w:pPr>
      <w:r>
        <w:rPr/>
      </w:r>
    </w:p>
    <w:p>
      <w:pPr>
        <w:pStyle w:val="TextBody"/>
        <w:spacing w:before="0" w:after="0"/>
        <w:ind w:left="720" w:right="0" w:hanging="0"/>
        <w:jc w:val="center"/>
        <w:rPr>
          <w:rFonts w:ascii="Arial" w:hAnsi="Arial"/>
          <w:b/>
          <w:i w:val="false"/>
          <w:caps w:val="false"/>
          <w:smallCaps w:val="false"/>
          <w:sz w:val="20"/>
        </w:rPr>
      </w:pPr>
      <w:bookmarkStart w:id="26" w:name="Part_II"/>
      <w:bookmarkEnd w:id="26"/>
      <w:r>
        <w:rPr>
          <w:rFonts w:ascii="Arial" w:hAnsi="Arial"/>
          <w:b/>
          <w:i w:val="false"/>
          <w:caps w:val="false"/>
          <w:smallCaps w:val="false"/>
          <w:sz w:val="20"/>
        </w:rPr>
        <w:t>PART II</w:t>
      </w:r>
    </w:p>
    <w:p>
      <w:pPr>
        <w:pStyle w:val="TextBody"/>
        <w:spacing w:before="240" w:after="0"/>
        <w:rPr>
          <w:rFonts w:ascii="Arial" w:hAnsi="Arial"/>
          <w:b/>
          <w:i w:val="false"/>
          <w:caps w:val="false"/>
          <w:smallCaps w:val="false"/>
          <w:sz w:val="20"/>
        </w:rPr>
      </w:pPr>
      <w:bookmarkStart w:id="27" w:name="ITEM_5_MARKET_FOR_REGISTRANTS_COMMON_EQU"/>
      <w:bookmarkEnd w:id="27"/>
      <w:r>
        <w:rPr>
          <w:rFonts w:ascii="Arial" w:hAnsi="Arial"/>
          <w:b/>
          <w:i w:val="false"/>
          <w:caps w:val="false"/>
          <w:smallCaps w:val="false"/>
          <w:sz w:val="20"/>
        </w:rPr>
        <w:t xml:space="preserve">Item 5. Market for Registrant’s Common Equity, Related Stockholder Matters and Issuer Purchases of Equity Securities.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Certain Information Regarding the Trading of Our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Our common stock trades under the symbol “AVIR” on the </w:t>
      </w:r>
      <w:r>
        <w:rPr>
          <w:rFonts w:ascii="Arial" w:hAnsi="Arial"/>
          <w:b w:val="false"/>
          <w:i w:val="false"/>
          <w:caps w:val="false"/>
          <w:smallCaps w:val="false"/>
          <w:color w:val="000000"/>
          <w:sz w:val="20"/>
          <w:highlight w:val="white"/>
        </w:rPr>
        <w:t>Nasdaq Global Select Market and has been publicly traded since October 30, 2020. Prior to that there was no public market for our common stock.</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Holders of Our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of March 29, 2021, there were approximately 144 holders of record of shares of our common stock. This number does not include beneficial owners whose shares are held by the nominees in the street name.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Dividends</w:t>
      </w:r>
    </w:p>
    <w:p>
      <w:pPr>
        <w:pStyle w:val="TextBody"/>
        <w:shd w:fill="FFFFFF" w:val="clear"/>
        <w:spacing w:before="120" w:after="0"/>
        <w:rPr>
          <w:rFonts w:ascii="Arial" w:hAnsi="Arial"/>
          <w:b w:val="false"/>
          <w:i w:val="false"/>
          <w:caps w:val="false"/>
          <w:smallCaps w:val="false"/>
          <w:sz w:val="20"/>
        </w:rPr>
      </w:pPr>
      <w:r>
        <w:rPr>
          <w:rFonts w:ascii="Arial" w:hAnsi="Arial"/>
          <w:b w:val="false"/>
          <w:i w:val="false"/>
          <w:caps w:val="false"/>
          <w:smallCaps w:val="false"/>
          <w:sz w:val="20"/>
        </w:rPr>
        <w:t>We have never declared or paid any cash dividends on our common stock. We currently intend to retain all available funds and any future earnings to fund the development and expansion of our business, and therefore do not anticipate paying cash dividends in the foreseeable future. Any future determination to pay dividends will be at the discretion of our board of directors and will depend on our financial condition, results of operations, capital requirements, business prospects, contractual arrangements, any limitations on payment of dividends present in any future debt agreements and other factors that our board of directors may deem relevant, and will be subject to the restrictions contained in any future financing instruments.</w:t>
      </w:r>
    </w:p>
    <w:p>
      <w:pPr>
        <w:pStyle w:val="TextBody"/>
        <w:shd w:fill="FFFFFF" w:val="clear"/>
        <w:spacing w:before="120" w:after="0"/>
        <w:rPr>
          <w:rFonts w:ascii="Arial" w:hAnsi="Arial"/>
          <w:b/>
          <w:i w:val="false"/>
          <w:caps w:val="false"/>
          <w:smallCaps w:val="false"/>
          <w:color w:val="000000"/>
          <w:sz w:val="20"/>
        </w:rPr>
      </w:pPr>
      <w:r>
        <w:rPr>
          <w:rFonts w:ascii="Arial" w:hAnsi="Arial"/>
          <w:b/>
          <w:i w:val="false"/>
          <w:caps w:val="false"/>
          <w:smallCaps w:val="false"/>
          <w:color w:val="000000"/>
          <w:sz w:val="20"/>
        </w:rPr>
        <w:t>Use of Proceeds</w:t>
      </w:r>
    </w:p>
    <w:p>
      <w:pPr>
        <w:pStyle w:val="TextBody"/>
        <w:shd w:fill="FFFFFF" w:val="clear"/>
        <w:spacing w:before="120" w:after="0"/>
        <w:rPr>
          <w:rFonts w:ascii="Arial" w:hAnsi="Arial"/>
          <w:b w:val="false"/>
          <w:i w:val="false"/>
          <w:caps w:val="false"/>
          <w:smallCaps w:val="false"/>
          <w:color w:val="000000"/>
          <w:sz w:val="20"/>
        </w:rPr>
      </w:pPr>
      <w:bookmarkStart w:id="28" w:name="_Hlk66900376"/>
      <w:bookmarkEnd w:id="28"/>
      <w:r>
        <w:rPr>
          <w:rFonts w:ascii="Arial" w:hAnsi="Arial"/>
          <w:b w:val="false"/>
          <w:i w:val="false"/>
          <w:caps w:val="false"/>
          <w:smallCaps w:val="false"/>
          <w:color w:val="000000"/>
          <w:sz w:val="20"/>
        </w:rPr>
        <w:t xml:space="preserve">On November 3, 2020, we completed the initial public offering (“IPO”) of our common stock pursuant to which we issued and sold 14,375,000 shares of our common stock at a price to the public of $24.00 per share.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All shares issued and sold in the initial public offering were registered under the Securities Act pursuant to a Registration Statement on Form S-1 (File No.333-249404), as amended (the “Registration Statement”), declared effective by the SEC on October 29, 2020.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received net proceeds of approximately $317.6 million after deducting underwriting discounts and commissions and offering expenses.</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net proceeds from our IPO have been invested primarily in money market accounts.  There has been no material change in the expected use of the net proceeds from our initial public offering as described in our Prospectus filed pursuant to Rule 424(b)(4) under the Securities Act with the SEC on October 29, 2020.</w:t>
      </w:r>
    </w:p>
    <w:p>
      <w:pPr>
        <w:pStyle w:val="TextBody"/>
        <w:shd w:fill="FFFFFF" w:val="clear"/>
        <w:spacing w:before="120" w:after="0"/>
        <w:rPr>
          <w:rFonts w:ascii="Arial" w:hAnsi="Arial"/>
          <w:b/>
          <w:i w:val="false"/>
          <w:caps w:val="false"/>
          <w:smallCaps w:val="false"/>
          <w:sz w:val="20"/>
        </w:rPr>
      </w:pPr>
      <w:r>
        <w:rPr>
          <w:rFonts w:ascii="Arial" w:hAnsi="Arial"/>
          <w:b/>
          <w:i w:val="false"/>
          <w:caps w:val="false"/>
          <w:smallCaps w:val="false"/>
          <w:sz w:val="20"/>
        </w:rPr>
        <w:t>Stock Performance Graph</w:t>
      </w:r>
    </w:p>
    <w:p>
      <w:pPr>
        <w:pStyle w:val="TextBody"/>
        <w:shd w:fill="FFFFFF" w:val="clear"/>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performance graph and related information is furnished and shall not be deemed to be “soliciting material” or to be “filed” with the SEC for purposes of Section 18 of the Exchange Act, nor shall such information be deemed incorporated by reference into any filings under the Exchange Act or the Securities Act, except to the extent that we specifically incorporate it by reference into such filing.</w:t>
      </w:r>
    </w:p>
    <w:p>
      <w:pPr>
        <w:pStyle w:val="TextBody"/>
        <w:shd w:fill="FFFFFF" w:val="clear"/>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performance graph compares the performance of our common stock to the S&amp;P 500 Index and to the Nasdaq Biotechnology Index from October 30, 2020 (the first date that shares of our common stock were publicly traded) through December 31, 2020. The comparison assumes $100 was invested in our common stock and in each of the foregoing indices after the market closed on October 30, 2020, and it assumes reinvestment of dividends, if any. The stock price performance included in this graph is not necessarily indicative of, nor is it intended to forecast, future stock price performance.</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107</w:t>
      </w:r>
    </w:p>
    <w:p>
      <w:pPr>
        <w:pStyle w:val="HorizontalLine"/>
        <w:rPr/>
      </w:pPr>
      <w:r>
        <w:rPr/>
      </w:r>
    </w:p>
    <w:p>
      <w:pPr>
        <w:pStyle w:val="TextBody"/>
        <w:shd w:fill="FFFFFF" w:val="clear"/>
        <w:spacing w:before="0" w:after="0"/>
        <w:rPr/>
      </w:pPr>
      <w:r>
        <w:rPr/>
        <w:t> </w:t>
      </w:r>
    </w:p>
    <w:p>
      <w:pPr>
        <w:pStyle w:val="TextBody"/>
        <w:shd w:fill="FFFFFF" w:val="clear"/>
        <w:spacing w:before="120" w:after="0"/>
        <w:jc w:val="center"/>
        <w:rPr>
          <w:caps w:val="false"/>
          <w:smallCaps w:val="false"/>
          <w:color w:val="000000"/>
        </w:rPr>
      </w:pPr>
      <w:r>
        <w:rPr>
          <w:caps w:val="false"/>
          <w:smallCaps w:val="false"/>
          <w:color w:val="000000"/>
        </w:rPr>
        <w:drawing>
          <wp:inline distT="0" distB="0" distL="0" distR="0">
            <wp:extent cx="5029200" cy="28289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029200" cy="2828925"/>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i w:val="false"/>
          <w:caps w:val="false"/>
          <w:smallCaps w:val="false"/>
          <w:sz w:val="20"/>
        </w:rPr>
      </w:pPr>
      <w:bookmarkStart w:id="29" w:name="ITEM_6_SELECTED_FINANCIAL_DATA"/>
      <w:bookmarkEnd w:id="29"/>
      <w:r>
        <w:rPr>
          <w:rFonts w:ascii="Arial" w:hAnsi="Arial"/>
          <w:b/>
          <w:i w:val="false"/>
          <w:caps w:val="false"/>
          <w:smallCaps w:val="false"/>
          <w:sz w:val="20"/>
        </w:rPr>
        <w:t>Item 6. Reserved</w:t>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20"/>
        </w:rPr>
      </w:pPr>
      <w:bookmarkStart w:id="30" w:name="ITEM_7_MANAGEMENTS_DISCUSSION_ANALYSIS_F"/>
      <w:bookmarkEnd w:id="30"/>
      <w:r>
        <w:rPr>
          <w:rFonts w:ascii="Arial" w:hAnsi="Arial"/>
          <w:b/>
          <w:i w:val="false"/>
          <w:caps w:val="false"/>
          <w:smallCaps w:val="false"/>
          <w:sz w:val="20"/>
        </w:rPr>
        <w:t xml:space="preserve">Item 7. Management’s Discussion and Analysis of Financial Condition and Results of Operations. </w:t>
      </w:r>
    </w:p>
    <w:p>
      <w:pPr>
        <w:pStyle w:val="TextBody"/>
        <w:spacing w:before="0" w:after="0"/>
        <w:rPr/>
      </w:pPr>
      <w:r>
        <w:rPr/>
        <w:t> </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The following discussion and analysis of our financial condition and results of operations should be read in conjunction with our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in Part I, Item 1A, “Risk Factors” and elsewhere in this Annual Report on Form 10-K. See “Special Note Regarding Forward-Looking Statements.”</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Overview</w:t>
      </w:r>
    </w:p>
    <w:p>
      <w:pPr>
        <w:pStyle w:val="TextBody"/>
        <w:spacing w:before="120" w:after="0"/>
        <w:rPr>
          <w:rFonts w:ascii="Arial" w:hAnsi="Arial"/>
          <w:b w:val="false"/>
          <w:i w:val="false"/>
          <w:caps w:val="false"/>
          <w:smallCaps w:val="false"/>
          <w:sz w:val="20"/>
        </w:rPr>
      </w:pPr>
      <w:bookmarkStart w:id="31" w:name="_Hlk67410336"/>
      <w:bookmarkEnd w:id="31"/>
      <w:r>
        <w:rPr>
          <w:rFonts w:ascii="Arial" w:hAnsi="Arial"/>
          <w:b w:val="false"/>
          <w:i w:val="false"/>
          <w:caps w:val="false"/>
          <w:smallCaps w:val="false"/>
          <w:sz w:val="20"/>
        </w:rPr>
        <w:t xml:space="preserve">We are a clinical stage biopharmaceutical company focused on discovering, developing and commercializing antiviral therapeutics to improve the lives of patients suffering from life threatening viral infections. Our current focus is on the development of product candidates to treat COVID-19, dengue, chronic hepatitis C infection (“HCV”), and respiratory syncytial virus (“RSV”). Leveraging our deep understanding of antiviral drug development, nucleos(t)ide chemistry, biochemistry and virology, we have built a proprietary purine nucleotide prodrug platform to develop novel treatments for life threatening diseases caused by single stranded ribonucleic acid (“ssRNA”) viral infections.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October 2020, we entered into a License Agreement (the “Roche License Agreement”) with F. Hoffmann-LaRoche Ltd. and Genentech, Inc. (together, “Roche”) under which we granted an exclusive license for certain development and commercialization rights related to AT-527 outside of the United States (other than for certain HCV uses) to Roche. Pursuant to the Roche License Agreement, we will rely on Roche to manufacture the commercial supply of AT-527 for the treatment of COVID-19. As part of the consideration, Roche agreed to pay us an upfront payment of $350.0 million which was received in November 2020.</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On November 3, 2020, we completed the initial public offering of our common stock (the “IPO”).  In connection with the IPO, we issued 14,375,000 shares of common stock at $24.00 per share for net proceeds of $317.6 million after deducting underwriting discounts and commissions and offering expenses.  Upon closing of the IPO, all then-outstanding shares of our former convertible preferred stock converted into 57,932,090 shares of common stock.</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108</w:t>
      </w:r>
    </w:p>
    <w:p>
      <w:pPr>
        <w:pStyle w:val="HorizontalLine"/>
        <w:rPr/>
      </w:pPr>
      <w:r>
        <w:rPr/>
      </w:r>
    </w:p>
    <w:p>
      <w:pPr>
        <w:pStyle w:val="TextBody"/>
        <w:spacing w:before="120" w:after="0"/>
        <w:rPr>
          <w:rFonts w:ascii="Arial" w:hAnsi="Arial"/>
          <w:b/>
          <w:i/>
          <w:caps w:val="false"/>
          <w:smallCaps w:val="false"/>
          <w:color w:val="000000"/>
          <w:sz w:val="20"/>
        </w:rPr>
      </w:pPr>
      <w:r>
        <w:rPr>
          <w:rFonts w:ascii="Arial" w:hAnsi="Arial"/>
          <w:b/>
          <w:i/>
          <w:caps w:val="false"/>
          <w:smallCaps w:val="false"/>
          <w:color w:val="000000"/>
          <w:sz w:val="20"/>
        </w:rPr>
        <w:t>AT-527 for the Treatment of COVID-19</w:t>
      </w:r>
    </w:p>
    <w:p>
      <w:pPr>
        <w:pStyle w:val="TextBody"/>
        <w:spacing w:lineRule="auto" w:line="288"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product candidate for the treatment of patients with COVID-19 is AT-527, an orally administered, novel antiviral agent. We, together with our collaborator Roche, anticipate initiating a Phase 3 clinical trial to study AT-527 in adult patients with mild or moderate COVID-19 in the outpatient setting (MORNINGSKY) in the second quarter of 2021. Currently, we are evaluating AT-527 for the treatment of patients with mild or moderate COVID-19 in two Phase 2 clinical trials.  The first trial is a randomized, double-blind, placebo-controlled Phase 2 clinical trial in approximately 190 adult patients with moderate COVID-19 and one or more risk factors for poor outcomes in a hospitalized setting.  We dosed our first patient in September 2020 and expect to report interim virology data from this clinical trial in the second quarter of 2021. The second trial, which is being conducted in collaboration with Roche, is a randomized, double-blind, placebo-controlled Phase 2 clinical trial in up to 220 adult patients with mild or moderate COVID-19 in an outpatient setting (MOONSONG). The first patient in this trial was dosed in February 2021. We expect to report interim virology data from this trial in the second quarter of 2021. In addition, several Phase 1 clinical trials in healthy volunteers are planned in addition to the one currently being conducted and the one recently completed for which positive results have been announced.</w:t>
      </w:r>
    </w:p>
    <w:p>
      <w:pPr>
        <w:pStyle w:val="TextBody"/>
        <w:spacing w:before="120" w:after="0"/>
        <w:rPr>
          <w:rFonts w:ascii="Arial" w:hAnsi="Arial"/>
          <w:b/>
          <w:i/>
          <w:caps w:val="false"/>
          <w:smallCaps w:val="false"/>
          <w:color w:val="000000"/>
          <w:sz w:val="20"/>
        </w:rPr>
      </w:pPr>
      <w:r>
        <w:rPr>
          <w:rFonts w:ascii="Arial" w:hAnsi="Arial"/>
          <w:b/>
          <w:i/>
          <w:caps w:val="false"/>
          <w:smallCaps w:val="false"/>
          <w:color w:val="000000"/>
          <w:sz w:val="20"/>
        </w:rPr>
        <w:t>AT-752 for the Treatment of Dengue</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are developing AT-752, an oral, purine nucleoside prodrug product candidate for the treatment of dengue.  AT-752 has shown potent activity against all serotypes tested in preclinical studies. We have initiated a randomized, double-blind, placebo-controlled Phase 1a trial to evaluate the safety and pharmacokinetics (“PK”) of several different dosages of AT-752 in 50-60 healthy adult subjects. Following the completion of the Phase 1a trial, we expect to initiate in the second half of 2021 a Phase 1b trial of AT-752 in 60-80 adult subjects with dengue virus infection to evaluate antiviral activity, safety and PK. As part of the Roche License Agreement, we agreed that we would not commercialize AT-752 outside the United States unless we enter into a separate agreement with Roche to do so.</w:t>
      </w:r>
    </w:p>
    <w:p>
      <w:pPr>
        <w:pStyle w:val="TextBody"/>
        <w:spacing w:before="120" w:after="0"/>
        <w:rPr>
          <w:rFonts w:ascii="Arial" w:hAnsi="Arial"/>
          <w:b/>
          <w:i/>
          <w:caps w:val="false"/>
          <w:smallCaps w:val="false"/>
          <w:color w:val="000000"/>
          <w:sz w:val="20"/>
        </w:rPr>
      </w:pPr>
      <w:r>
        <w:rPr>
          <w:rFonts w:ascii="Arial" w:hAnsi="Arial"/>
          <w:b/>
          <w:i/>
          <w:caps w:val="false"/>
          <w:smallCaps w:val="false"/>
          <w:color w:val="000000"/>
          <w:sz w:val="20"/>
        </w:rPr>
        <w:t>AT-787 for the Treatment of Hepatitis C</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HCV is a blood-borne, positive sense, ssRNA virus, primarily infecting cells of the liver. HCV is a leading cause of chronic liver disease and liver transplants and spreads via blood transfusion, hemodialysis and needle sticks. We are developing AT-787 for the treatment of chronic HCV infection, including patients with decompensated cirrhosis. AT-787 combines AT-527 with a second generation NS5A inhibitor, AT-777, into a single, oral, pan-genotypic fixed-dose combination therapy. Despite recent advances in treatment, there remains a large underserved HCV patient population which continues to grow. Based on our preclinical and clinical data to date, we believe that AT-787, if approved, could offer potential benefits over currently available treatments, including to shorten treatment duration in non-cirrhotic and compensated cirrhosis HCV in all genotypes and to eliminate the need for ribavirin in patients with decompensated cirrhosis. We temporarily paused our development program for AT-787 in HCV infected patients at the outset of the COVID-19 pandemic in March 2020. Currently we expect to restart this program in the second half of 2021, starting with our Phase 1/2a clinical trial, which is designed to evaluate the safety and PK of different dosages of AT-777 in healthy adults and evaluate the combination of AT-527 and AT-777. </w:t>
      </w:r>
    </w:p>
    <w:p>
      <w:pPr>
        <w:pStyle w:val="TextBody"/>
        <w:spacing w:before="120" w:after="0"/>
        <w:rPr>
          <w:rFonts w:ascii="Arial" w:hAnsi="Arial"/>
          <w:b/>
          <w:i/>
          <w:caps w:val="false"/>
          <w:smallCaps w:val="false"/>
          <w:color w:val="000000"/>
          <w:sz w:val="20"/>
        </w:rPr>
      </w:pPr>
      <w:r>
        <w:rPr>
          <w:rFonts w:ascii="Arial" w:hAnsi="Arial"/>
          <w:b/>
          <w:i/>
          <w:caps w:val="false"/>
          <w:smallCaps w:val="false"/>
          <w:color w:val="000000"/>
          <w:sz w:val="20"/>
        </w:rPr>
        <w:t>AT-889 and Other Candidates for the Treatment of RSV</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RSV is a seasonal respiratory virus that can be serious for infants, older adults, and the immuno-compromised population. We are evaluating AT-889, a second generation nucleoside pyrimidine prodrug and other compounds for the treatment of RSV. We believe AT-889 or one of our other candidates for RSV has the potential to inhibit both initiation of viral replication, as well as viral transcription. We anticipate nominating our product candidate and initiating the IND-enabling studies in the second half of 2021. We believe that the product candidate we develop, if successful, could be the first therapy in over 30 years to be approved specifically for the treatment of RSV.</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109</w:t>
      </w:r>
    </w:p>
    <w:p>
      <w:pPr>
        <w:pStyle w:val="HorizontalLine"/>
        <w:rPr/>
      </w:pPr>
      <w:r>
        <w:rPr/>
      </w:r>
    </w:p>
    <w:p>
      <w:pPr>
        <w:pStyle w:val="TextBody"/>
        <w:spacing w:before="120" w:after="0"/>
        <w:rPr>
          <w:rFonts w:ascii="Arial" w:hAnsi="Arial"/>
          <w:b/>
          <w:i/>
          <w:caps w:val="false"/>
          <w:smallCaps w:val="false"/>
          <w:color w:val="000000"/>
          <w:sz w:val="20"/>
        </w:rPr>
      </w:pPr>
      <w:r>
        <w:rPr>
          <w:rFonts w:ascii="Arial" w:hAnsi="Arial"/>
          <w:b/>
          <w:i/>
          <w:caps w:val="false"/>
          <w:smallCaps w:val="false"/>
          <w:color w:val="000000"/>
          <w:sz w:val="20"/>
        </w:rPr>
        <w:t>Financial Operations Overview</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Since our formation in July 2012, we have devoted substantially all of our resources to developing our product candidates. We have incurred significant operating losses to date. Our net loss was $10.9 million, $14.0 million and $9.1 million for the years ended December 31, 2020, 2019 and 2018, respectively. As of December 31, 2020, we had an accumulated deficit of $65.2 million.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we expect to incur additional costs associated with operating as a public company.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do not have any product candidates approved for sale and have not generated any product revenue since inception. We have funded our operations primarily from the sale and issuance of convertible preferred stock, proceeds from our initial public offering and proceeds from the Roche License Agreement. As of December 31, 2020, we had cash and cash equivalents of $850.1 million. We believe that our available cash and cash equivalents will be sufficient to fund our planned operations through at least 2023.</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plan to continue to use third-party service providers, including contract research organizations (“CROs”) and contract manufacturing organizations (“CMOs”), to carry out our preclinical and clinical development and to manufacture and supply the materials to be used during the development and commercialization of our product candidates.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expect to continue to incur significantly higher expenses over the next several years. We anticipate that our expenses will increase significantly in connection with our ongoing activities, as we:</w:t>
      </w:r>
    </w:p>
    <w:tbl>
      <w:tblPr>
        <w:tblW w:w="7660" w:type="dxa"/>
        <w:jc w:val="left"/>
        <w:tblInd w:w="0" w:type="dxa"/>
        <w:tblCellMar>
          <w:top w:w="0" w:type="dxa"/>
          <w:left w:w="0" w:type="dxa"/>
          <w:bottom w:w="0" w:type="dxa"/>
          <w:right w:w="0" w:type="dxa"/>
        </w:tblCellMar>
      </w:tblPr>
      <w:tblGrid>
        <w:gridCol w:w="110"/>
        <w:gridCol w:w="75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5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continue clinical development of AT-527 for the treatment of COVID-19;</w:t>
            </w:r>
          </w:p>
        </w:tc>
      </w:tr>
    </w:tbl>
    <w:tbl>
      <w:tblPr>
        <w:tblW w:w="7360" w:type="dxa"/>
        <w:jc w:val="left"/>
        <w:tblInd w:w="0" w:type="dxa"/>
        <w:tblCellMar>
          <w:top w:w="0" w:type="dxa"/>
          <w:left w:w="0" w:type="dxa"/>
          <w:bottom w:w="0" w:type="dxa"/>
          <w:right w:w="0" w:type="dxa"/>
        </w:tblCellMar>
      </w:tblPr>
      <w:tblGrid>
        <w:gridCol w:w="110"/>
        <w:gridCol w:w="72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25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continue clinical development of AT-752 for the treatment of dengue;</w:t>
            </w:r>
          </w:p>
        </w:tc>
      </w:tr>
    </w:tbl>
    <w:tbl>
      <w:tblPr>
        <w:tblW w:w="7150" w:type="dxa"/>
        <w:jc w:val="left"/>
        <w:tblInd w:w="0" w:type="dxa"/>
        <w:tblCellMar>
          <w:top w:w="0" w:type="dxa"/>
          <w:left w:w="0" w:type="dxa"/>
          <w:bottom w:w="0" w:type="dxa"/>
          <w:right w:w="0" w:type="dxa"/>
        </w:tblCellMar>
      </w:tblPr>
      <w:tblGrid>
        <w:gridCol w:w="110"/>
        <w:gridCol w:w="70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4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re-initiate clinical development of AT-787 for the treatment of HCV;</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continue IND-enabling activities and commence clinical development activities for product candidates for the treatment of RSV;</w:t>
            </w:r>
          </w:p>
        </w:tc>
      </w:tr>
    </w:tbl>
    <w:tbl>
      <w:tblPr>
        <w:tblW w:w="7645" w:type="dxa"/>
        <w:jc w:val="left"/>
        <w:tblInd w:w="0" w:type="dxa"/>
        <w:tblCellMar>
          <w:top w:w="0" w:type="dxa"/>
          <w:left w:w="0" w:type="dxa"/>
          <w:bottom w:w="0" w:type="dxa"/>
          <w:right w:w="0" w:type="dxa"/>
        </w:tblCellMar>
      </w:tblPr>
      <w:tblGrid>
        <w:gridCol w:w="110"/>
        <w:gridCol w:w="753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3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maintain, expand, protect and enforce our intellectual property portfolio;</w:t>
            </w:r>
          </w:p>
        </w:tc>
      </w:tr>
    </w:tbl>
    <w:tbl>
      <w:tblPr>
        <w:tblW w:w="8725" w:type="dxa"/>
        <w:jc w:val="left"/>
        <w:tblInd w:w="0" w:type="dxa"/>
        <w:tblCellMar>
          <w:top w:w="0" w:type="dxa"/>
          <w:left w:w="0" w:type="dxa"/>
          <w:bottom w:w="0" w:type="dxa"/>
          <w:right w:w="0" w:type="dxa"/>
        </w:tblCellMar>
      </w:tblPr>
      <w:tblGrid>
        <w:gridCol w:w="110"/>
        <w:gridCol w:w="86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61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hire additional research, development and general and administrative personnel; </w:t>
            </w:r>
          </w:p>
        </w:tc>
      </w:tr>
    </w:tbl>
    <w:tbl>
      <w:tblPr>
        <w:tblW w:w="4885" w:type="dxa"/>
        <w:jc w:val="left"/>
        <w:tblInd w:w="0" w:type="dxa"/>
        <w:tblCellMar>
          <w:top w:w="0" w:type="dxa"/>
          <w:left w:w="0" w:type="dxa"/>
          <w:bottom w:w="0" w:type="dxa"/>
          <w:right w:w="0" w:type="dxa"/>
        </w:tblCellMar>
      </w:tblPr>
      <w:tblGrid>
        <w:gridCol w:w="110"/>
        <w:gridCol w:w="47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77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establish commercialization capabilities; and</w:t>
            </w:r>
          </w:p>
        </w:tc>
      </w:tr>
    </w:tbl>
    <w:tbl>
      <w:tblPr>
        <w:tblW w:w="7465" w:type="dxa"/>
        <w:jc w:val="left"/>
        <w:tblInd w:w="0" w:type="dxa"/>
        <w:tblCellMar>
          <w:top w:w="0" w:type="dxa"/>
          <w:left w:w="0" w:type="dxa"/>
          <w:bottom w:w="0" w:type="dxa"/>
          <w:right w:w="0" w:type="dxa"/>
        </w:tblCellMar>
      </w:tblPr>
      <w:tblGrid>
        <w:gridCol w:w="110"/>
        <w:gridCol w:w="73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35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incur additional costs associated with operating as a public company.</w:t>
            </w:r>
          </w:p>
        </w:tc>
      </w:tr>
    </w:tbl>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Components of Results of Operations</w:t>
      </w:r>
    </w:p>
    <w:p>
      <w:pPr>
        <w:pStyle w:val="TextBody"/>
        <w:spacing w:before="120" w:after="0"/>
        <w:rPr>
          <w:rFonts w:ascii="Arial" w:hAnsi="Arial"/>
          <w:b/>
          <w:i/>
          <w:caps w:val="false"/>
          <w:smallCaps w:val="false"/>
          <w:sz w:val="20"/>
        </w:rPr>
      </w:pPr>
      <w:r>
        <w:rPr>
          <w:rFonts w:ascii="Arial" w:hAnsi="Arial"/>
          <w:b/>
          <w:i/>
          <w:caps w:val="false"/>
          <w:smallCaps w:val="false"/>
          <w:sz w:val="20"/>
        </w:rPr>
        <w:t>Revenue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To date, we have not generated any revenue from product sales.  Our revenue has been collaboration revenue solely derived from the Roche License Agreement, which became effective in October 2020. If our development efforts for our product candidates are successful and result in commercialization, we may generate additional revenue in the future from a combination of product sales or payments from collaboration or license agreements that we may enter into with third parties.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110</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Operating Expenses</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Research and Development Expenses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Substantially all of our research and development expenses consist of expenses incurred in connection with the development of our product candidates. These expenses include fees paid to third parties to conduct certain research and development activities on our behalf, consulting costs, certain payroll and personnel-related expenses, including salaries and bonuses, employee benefit costs and stock-based compensation expenses for our research and product development employees and allocated overhead, including rent, equipment, depreciation, information technology costs and utilities attributable to research and development personnel. We expense both internal and external research and development expenses as they are incurred. In circumstances where amounts have been paid in advance or in excess of costs incurred, we record a prepaid expense, which is expensed as services are performed or goods are delivered.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 significant portion of our research and development costs have been external costs, which we track by therapeutic area. Our internal research and development costs are primarily personnel-related costs, facility costs, including depreciation and lab consumables. We have not historically tracked our internal research and development expenses by therapeutic area as they are deployed across multiple programs. The following table summarizes our external research and development expenses by indication and internal research and development expenses:</w:t>
      </w:r>
    </w:p>
    <w:p>
      <w:pPr>
        <w:pStyle w:val="TextBody"/>
        <w:spacing w:before="0" w:after="0"/>
        <w:rPr/>
      </w:pPr>
      <w:r>
        <w:rPr/>
        <w:t> </w:t>
      </w:r>
    </w:p>
    <w:tbl>
      <w:tblPr>
        <w:tblW w:w="6352" w:type="dxa"/>
        <w:jc w:val="center"/>
        <w:tblInd w:w="0" w:type="dxa"/>
        <w:tblCellMar>
          <w:top w:w="0" w:type="dxa"/>
          <w:left w:w="0" w:type="dxa"/>
          <w:bottom w:w="28" w:type="dxa"/>
          <w:right w:w="0" w:type="dxa"/>
        </w:tblCellMar>
      </w:tblPr>
      <w:tblGrid>
        <w:gridCol w:w="3710"/>
        <w:gridCol w:w="60"/>
        <w:gridCol w:w="135"/>
        <w:gridCol w:w="657"/>
        <w:gridCol w:w="65"/>
        <w:gridCol w:w="65"/>
        <w:gridCol w:w="135"/>
        <w:gridCol w:w="657"/>
        <w:gridCol w:w="65"/>
        <w:gridCol w:w="65"/>
        <w:gridCol w:w="135"/>
        <w:gridCol w:w="543"/>
        <w:gridCol w:w="60"/>
      </w:tblGrid>
      <w:tr>
        <w:trPr/>
        <w:tc>
          <w:tcPr>
            <w:tcW w:w="37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22" w:type="dxa"/>
            <w:gridSpan w:val="10"/>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Years Ended December 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9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22"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COVID-19 external costs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23,043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Dengue external costs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2,167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768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HCV external costs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1,831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5,837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2,979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RSV external costs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1,127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1,790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Internal research and development costs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9,855</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2,186</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3"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1,609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research and development expenses</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38,023</w:t>
            </w:r>
          </w:p>
        </w:tc>
        <w:tc>
          <w:tcPr>
            <w:tcW w:w="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10,170</w:t>
            </w:r>
          </w:p>
        </w:tc>
        <w:tc>
          <w:tcPr>
            <w:tcW w:w="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6,675</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We are focusing substantially all of our resources on the development of our product candidates, particularly AT-527. We expect our research and development expenses to increase substantially for at least the next few years, as we seek to initiate additional clinical trials for our product candidates, complete our clinical programs, pursue regulatory approval of our product candidates and prepare for the possible commercialization of these product candidates. Predicting the timing or cost to complete our clinical programs or validation of our commercial manufacturing and supply processes is difficult and delays may occur because of many factors, including factors outside of our control. For example, if the U.S. Food and Drug Administration (“FDA”) or other regulatory authorities were to require us to conduct clinical trials beyond those that we currently anticipate, we could be required to expend significant additional financial resources and time on the completion of clinical development. Furthermore, we are unable to predict when or if our product candidates will receive regulatory approval with any certainty.</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General and Administrative Expenses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General and administrative expenses consist principally of payroll and personnel expenses, including salaries and bonuses, benefits and stock-based compensation expenses, professional fees for legal, consulting, accounting and tax services, allocated overhead, including rent, equipment, depreciation, information technology costs and utilities, and other general operating expenses not otherwise classified as research and development expenses.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anticipate that our general and administrative expenses will increase as a result of increased personnel costs, expanded infrastructure and higher consulting, legal and accounting services costs associated with complying with Nasdaq and SEC requirements, investor relations costs and director and officer insurance premiums associated with being a public company.</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111</w:t>
      </w:r>
    </w:p>
    <w:p>
      <w:pPr>
        <w:pStyle w:val="HorizontalLine"/>
        <w:rPr/>
      </w:pPr>
      <w:r>
        <w:rPr/>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Interest Income and Other, Net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Interest income and other, net, consists primarily of interest income earned on our cash and cash equivalents.</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Results of Operations</w:t>
      </w:r>
    </w:p>
    <w:p>
      <w:pPr>
        <w:pStyle w:val="TextBody"/>
        <w:spacing w:before="120" w:after="0"/>
        <w:rPr>
          <w:rFonts w:ascii="Arial" w:hAnsi="Arial"/>
          <w:b/>
          <w:i/>
          <w:caps w:val="false"/>
          <w:smallCaps w:val="false"/>
          <w:sz w:val="20"/>
        </w:rPr>
      </w:pPr>
      <w:r>
        <w:rPr>
          <w:rFonts w:ascii="Arial" w:hAnsi="Arial"/>
          <w:b/>
          <w:i/>
          <w:caps w:val="false"/>
          <w:smallCaps w:val="false"/>
          <w:sz w:val="20"/>
        </w:rPr>
        <w:t>Comparison of the Years Ended December 31, 2020 and 2019</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table summarizes our results of operations for the periods indicated:</w:t>
      </w:r>
    </w:p>
    <w:p>
      <w:pPr>
        <w:pStyle w:val="TextBody"/>
        <w:spacing w:before="0" w:after="0"/>
        <w:rPr/>
      </w:pPr>
      <w:r>
        <w:rPr/>
        <w:t> </w:t>
      </w:r>
    </w:p>
    <w:tbl>
      <w:tblPr>
        <w:tblW w:w="5757" w:type="dxa"/>
        <w:jc w:val="center"/>
        <w:tblInd w:w="0" w:type="dxa"/>
        <w:tblCellMar>
          <w:top w:w="0" w:type="dxa"/>
          <w:left w:w="0" w:type="dxa"/>
          <w:bottom w:w="28" w:type="dxa"/>
          <w:right w:w="0" w:type="dxa"/>
        </w:tblCellMar>
      </w:tblPr>
      <w:tblGrid>
        <w:gridCol w:w="2630"/>
        <w:gridCol w:w="60"/>
        <w:gridCol w:w="154"/>
        <w:gridCol w:w="819"/>
        <w:gridCol w:w="98"/>
        <w:gridCol w:w="73"/>
        <w:gridCol w:w="154"/>
        <w:gridCol w:w="819"/>
        <w:gridCol w:w="80"/>
        <w:gridCol w:w="60"/>
        <w:gridCol w:w="125"/>
        <w:gridCol w:w="605"/>
        <w:gridCol w:w="80"/>
      </w:tblGrid>
      <w:tr>
        <w:trPr/>
        <w:tc>
          <w:tcPr>
            <w:tcW w:w="26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17" w:type="dxa"/>
            <w:gridSpan w:val="6"/>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16"/>
              </w:rPr>
            </w:pPr>
            <w:r>
              <w:rPr>
                <w:rFonts w:ascii="Arial" w:hAnsi="Arial"/>
                <w:b/>
                <w:i w:val="false"/>
                <w:caps w:val="false"/>
                <w:smallCaps w:val="false"/>
                <w:color w:val="000000"/>
                <w:sz w:val="16"/>
              </w:rPr>
              <w:t>Years Ended December 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16"/>
              </w:rPr>
            </w:pPr>
            <w:r>
              <w:rPr>
                <w:rFonts w:ascii="Arial" w:hAnsi="Arial"/>
                <w:b/>
                <w:i w:val="false"/>
                <w:caps w:val="false"/>
                <w:smallCaps w:val="false"/>
                <w:color w:val="000000"/>
                <w:sz w:val="16"/>
              </w:rPr>
              <w:t>2020</w:t>
            </w:r>
          </w:p>
        </w:tc>
        <w:tc>
          <w:tcPr>
            <w:tcW w:w="9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16"/>
              </w:rPr>
            </w:pPr>
            <w:r>
              <w:rPr>
                <w:rFonts w:ascii="Arial" w:hAnsi="Arial"/>
                <w:b/>
                <w:i w:val="false"/>
                <w:caps w:val="false"/>
                <w:smallCaps w:val="false"/>
                <w:color w:val="000000"/>
                <w:sz w:val="16"/>
              </w:rPr>
              <w:t>2019</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16"/>
              </w:rPr>
            </w:pPr>
            <w:r>
              <w:rPr>
                <w:rFonts w:ascii="Arial" w:hAnsi="Arial"/>
                <w:b/>
                <w:i w:val="false"/>
                <w:caps w:val="false"/>
                <w:smallCaps w:val="false"/>
                <w:color w:val="000000"/>
                <w:sz w:val="16"/>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7"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thousands)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Collaboration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1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48,633</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1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48,633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38,023</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10,170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27,853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21,640</w:t>
            </w:r>
          </w:p>
        </w:tc>
        <w:tc>
          <w:tcPr>
            <w:tcW w:w="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4,438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17,202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from operations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(11,030</w:t>
            </w:r>
          </w:p>
        </w:tc>
        <w:tc>
          <w:tcPr>
            <w:tcW w:w="98"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(14,608</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3,578</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income and other,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w:t>
            </w:r>
          </w:p>
        </w:tc>
        <w:tc>
          <w:tcPr>
            <w:tcW w:w="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(491</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630"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1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1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3,087</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 xml:space="preserve">Revenue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Collaboration revenue for the year ended December 31, 2020 was derived from the Roche License Agreement that was executed in October 2020. See Note 3 to our audited consolidated financial statements included elsewhere in this Annual Report on Form 10-K for a description of the accounting treatment of the Roche License Agreement.</w:t>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Research and Development Expenses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 expenses increased by $27.8 million from $10.2 million for the year ended December 31, 2019 to $38.0 million for the year ended December 31, 2020. The increase in research and development expenses was primarily due to a $20.2 million increase in external expenses incurred related to CRO and CMO services in connection with the advancement of product candidates for the treatment of COVID-19 and dengue, partially offset by a decrease in external spend related to our HCV and RSV programs and an increase of $6.5 million in internal spend primarily due to an increase in personnel-related expenses, including salaries and bonuses, benefits and stock-based compensation expense of $3.3 million for our research and product development employees and consulting fees, and $1.1 million in other research and development expenses. Research and development expenses include a reduction of $7.9 million representing Roche’s share of certain expenses incurred that are subject to ASC 808 as discussed in Note 3 to our audited consolidated financial statements. The Company also recorded research and development expense of $2.1 million relating to its share of costs incurred by Roche.</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General and Administrative Expenses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 expenses increased by $17.2 million from $4.4 million for the year ended December 31, 2019 to $21.6 million for the year ended December 31, 2020. The increase in general and administrative expenses was primarily due to the expansion of our organization and reflected an increase of $5.8 million in payroll and personnel-related expenses, including salaries, benefits and stock-based compensation expense of $3.5 million; professional fees of $10.0 million including $7.0 million paid in connection with Roche License Agreement; and an increase in other general and administrative expenses of $1.4 million.</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Interest Income and Other, Net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Interest income and other, net, decreased by $0.5 million for the year ended December 31, 2020 compared to the year ended December 31, 2019, primarily due to lower interest rates.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112</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Comparison of the Years Ended December 31, 2019 and 2018</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table summarizes our results of operations for the periods indicated:</w:t>
      </w:r>
    </w:p>
    <w:p>
      <w:pPr>
        <w:pStyle w:val="TextBody"/>
        <w:spacing w:before="0" w:after="0"/>
        <w:rPr/>
      </w:pPr>
      <w:r>
        <w:rPr/>
        <w:t> </w:t>
      </w:r>
    </w:p>
    <w:tbl>
      <w:tblPr>
        <w:tblW w:w="6157" w:type="dxa"/>
        <w:jc w:val="center"/>
        <w:tblInd w:w="0" w:type="dxa"/>
        <w:tblCellMar>
          <w:top w:w="0" w:type="dxa"/>
          <w:left w:w="0" w:type="dxa"/>
          <w:bottom w:w="28" w:type="dxa"/>
          <w:right w:w="0" w:type="dxa"/>
        </w:tblCellMar>
      </w:tblPr>
      <w:tblGrid>
        <w:gridCol w:w="2630"/>
        <w:gridCol w:w="60"/>
        <w:gridCol w:w="195"/>
        <w:gridCol w:w="1039"/>
        <w:gridCol w:w="125"/>
        <w:gridCol w:w="93"/>
        <w:gridCol w:w="195"/>
        <w:gridCol w:w="875"/>
        <w:gridCol w:w="80"/>
        <w:gridCol w:w="60"/>
        <w:gridCol w:w="132"/>
        <w:gridCol w:w="593"/>
        <w:gridCol w:w="80"/>
      </w:tblGrid>
      <w:tr>
        <w:trPr/>
        <w:tc>
          <w:tcPr>
            <w:tcW w:w="26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22" w:type="dxa"/>
            <w:gridSpan w:val="6"/>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Years Ended December 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gridSpan w:val="2"/>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87"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(in thousands)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3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10,170</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6,675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3,495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4,438</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2,802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1,636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from operations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(14,608</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(9,477</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(5,131</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630"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income and other,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574</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(9,064</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(4,970</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Research and Development Expenses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Research and development expenses increased by $3.5 million from $6.7 million for the year ended December 31, 2018 to $10.2 million for the year ended December 31, 2019. The increase in research and development expenses was primarily due to the advancement of preclinical, manufacturing and clinical expense of $2.9 million related to product candidates for the treatment of HCV and an increase of $0.5 million in consulting, payroll and personnel-related expenses, including salaries and bonuses, benefits and stock-based compensation expense.</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General and Administrative Expenses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General and administrative expenses increased by $1.6 million from $2.8 million for the year ended December 31, 2018 to $4.4 million for the year ended December 31, 2019. The increase in general and administrative expenses was primarily due to the expansion of our organization and reflected an increase of $0.5 million in payroll and personnel-related expenses, including salaries, benefits and stock-based compensation expense; and an increase in other general and administrative expenses, including legal and accounting of $1.1 million.</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Interest Income and Other, Net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Interest income and other, net increased by $0.2 million for year ended December 31, 2019 from the year ended December 31, 2018 due higher average cash and cash equivalent balances during the year.</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Liquidity and Capital Resources</w:t>
      </w:r>
    </w:p>
    <w:p>
      <w:pPr>
        <w:pStyle w:val="TextBody"/>
        <w:spacing w:before="120" w:after="0"/>
        <w:rPr>
          <w:rFonts w:ascii="Arial" w:hAnsi="Arial"/>
          <w:b/>
          <w:i/>
          <w:caps w:val="false"/>
          <w:smallCaps w:val="false"/>
          <w:sz w:val="20"/>
        </w:rPr>
      </w:pPr>
      <w:r>
        <w:rPr>
          <w:rFonts w:ascii="Arial" w:hAnsi="Arial"/>
          <w:b/>
          <w:i/>
          <w:caps w:val="false"/>
          <w:smallCaps w:val="false"/>
          <w:sz w:val="20"/>
        </w:rPr>
        <w:t>Sources of Liquidity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From our formation in 2012 through December 31, 2020, we funded our operations with an aggregate of $285.6 million in gross cash proceeds from the sale of convertible preferred stock, $317.6 million from our IPO and $350.0 million from the Roche License Agreement. As of December 31, 2020, we had cash and cash equivalents of $850.1 million.  We believe that our available cash and cash equivalents will be sufficient to fund our planned operations through at least 2023.</w:t>
      </w:r>
    </w:p>
    <w:p>
      <w:pPr>
        <w:pStyle w:val="TextBody"/>
        <w:spacing w:before="0" w:after="0"/>
        <w:rPr/>
      </w:pPr>
      <w:r>
        <w:rPr/>
        <w:t> </w:t>
      </w:r>
    </w:p>
    <w:p>
      <w:pPr>
        <w:pStyle w:val="TextBody"/>
        <w:spacing w:before="120" w:after="0"/>
        <w:rPr>
          <w:rFonts w:ascii="Arial" w:hAnsi="Arial"/>
          <w:b/>
          <w:i/>
          <w:caps w:val="false"/>
          <w:smallCaps w:val="false"/>
          <w:sz w:val="20"/>
        </w:rPr>
      </w:pPr>
      <w:r>
        <w:rPr>
          <w:rFonts w:ascii="Arial" w:hAnsi="Arial"/>
          <w:b/>
          <w:i/>
          <w:caps w:val="false"/>
          <w:smallCaps w:val="false"/>
          <w:sz w:val="20"/>
        </w:rPr>
        <w:t>Future Funding Requirements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To date, we have not generated any product revenue. We do not expect to generate any product revenue unless and until we obtain regulatory approval of and commercialize any of our product candidates and we do not know when, or if, this will occur. We expect to continue to incur increased expenditures for the foreseeable future, and we expect our expenses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incur additional general and administrative costs as we continue to operate as a public company.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113</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will continue to require additional capital to develop our product candidates and fund operations for the foreseeable future. We may seek to raise capital through public or private equity or debt financings, collaborative or other arrangements with corporate sources, or through other sources of financing. We anticipate that we may need to raise substantial additional capital, the requirements for which will depend on many factors, including: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scope, timing, rate of progress and costs of our drug discovery efforts, preclinical development activities, laboratory testing and clinical trials for our product candidates; </w:t>
            </w:r>
          </w:p>
        </w:tc>
      </w:tr>
    </w:tbl>
    <w:tbl>
      <w:tblPr>
        <w:tblW w:w="6955" w:type="dxa"/>
        <w:jc w:val="left"/>
        <w:tblInd w:w="0" w:type="dxa"/>
        <w:tblCellMar>
          <w:top w:w="0" w:type="dxa"/>
          <w:left w:w="0" w:type="dxa"/>
          <w:bottom w:w="0" w:type="dxa"/>
          <w:right w:w="0" w:type="dxa"/>
        </w:tblCellMar>
      </w:tblPr>
      <w:tblGrid>
        <w:gridCol w:w="110"/>
        <w:gridCol w:w="68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84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number and scope of clinical programs we decide to pursue;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 timing and outcome of preparing for and undergoing regulatory review of our product candidates; </w:t>
            </w:r>
          </w:p>
        </w:tc>
      </w:tr>
    </w:tbl>
    <w:tbl>
      <w:tblPr>
        <w:tblW w:w="8380" w:type="dxa"/>
        <w:jc w:val="left"/>
        <w:tblInd w:w="0" w:type="dxa"/>
        <w:tblCellMar>
          <w:top w:w="0" w:type="dxa"/>
          <w:left w:w="0" w:type="dxa"/>
          <w:bottom w:w="0" w:type="dxa"/>
          <w:right w:w="0" w:type="dxa"/>
        </w:tblCellMar>
      </w:tblPr>
      <w:tblGrid>
        <w:gridCol w:w="110"/>
        <w:gridCol w:w="82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7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scope and costs of development and commercial manufacturing activities;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 and timing associated with commercializing our product candidates, if they receive marketing approval; </w:t>
            </w:r>
          </w:p>
        </w:tc>
      </w:tr>
    </w:tbl>
    <w:tbl>
      <w:tblPr>
        <w:tblW w:w="9400" w:type="dxa"/>
        <w:jc w:val="left"/>
        <w:tblInd w:w="0" w:type="dxa"/>
        <w:tblCellMar>
          <w:top w:w="0" w:type="dxa"/>
          <w:left w:w="0" w:type="dxa"/>
          <w:bottom w:w="0" w:type="dxa"/>
          <w:right w:w="0" w:type="dxa"/>
        </w:tblCellMar>
      </w:tblPr>
      <w:tblGrid>
        <w:gridCol w:w="110"/>
        <w:gridCol w:w="92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29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extent to which we acquire or in-license other product candidates and technologies;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costs of preparing, filing and prosecuting patent applications, maintaining and enforcing our intellectual property rights and defending intellectual property-related claims;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maintain the collaboration with Roche and to establish and maintain other collaborations on favorable terms, if at all;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efforts to enhance operational systems and our ability to attract, hire and retain qualified personnel, including personnel to support the development of our product candidates and, ultimately, the sale of our products, following regulatory approval; </w:t>
            </w:r>
          </w:p>
        </w:tc>
      </w:tr>
    </w:tbl>
    <w:tbl>
      <w:tblPr>
        <w:tblW w:w="8140" w:type="dxa"/>
        <w:jc w:val="left"/>
        <w:tblInd w:w="0" w:type="dxa"/>
        <w:tblCellMar>
          <w:top w:w="0" w:type="dxa"/>
          <w:left w:w="0" w:type="dxa"/>
          <w:bottom w:w="0" w:type="dxa"/>
          <w:right w:w="0" w:type="dxa"/>
        </w:tblCellMar>
      </w:tblPr>
      <w:tblGrid>
        <w:gridCol w:w="110"/>
        <w:gridCol w:w="803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03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implementation of operational, financial and management systems; and </w:t>
            </w:r>
          </w:p>
        </w:tc>
      </w:tr>
    </w:tbl>
    <w:tbl>
      <w:tblPr>
        <w:tblW w:w="5500" w:type="dxa"/>
        <w:jc w:val="left"/>
        <w:tblInd w:w="0" w:type="dxa"/>
        <w:tblCellMar>
          <w:top w:w="0" w:type="dxa"/>
          <w:left w:w="0" w:type="dxa"/>
          <w:bottom w:w="0" w:type="dxa"/>
          <w:right w:w="0" w:type="dxa"/>
        </w:tblCellMar>
      </w:tblPr>
      <w:tblGrid>
        <w:gridCol w:w="110"/>
        <w:gridCol w:w="53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39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costs associated with being a public company.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others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See Part I, Item 1A,“Risk Factors” for additional risks associated with our substantial capital requirements.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114</w:t>
      </w:r>
    </w:p>
    <w:p>
      <w:pPr>
        <w:pStyle w:val="HorizontalLine"/>
        <w:rPr/>
      </w:pPr>
      <w:r>
        <w:rPr/>
      </w:r>
    </w:p>
    <w:p>
      <w:pPr>
        <w:pStyle w:val="TextBody"/>
        <w:spacing w:before="120" w:after="0"/>
        <w:rPr>
          <w:rFonts w:ascii="Arial" w:hAnsi="Arial"/>
          <w:b/>
          <w:i/>
          <w:caps w:val="false"/>
          <w:smallCaps w:val="false"/>
          <w:sz w:val="20"/>
        </w:rPr>
      </w:pPr>
      <w:r>
        <w:rPr>
          <w:rFonts w:ascii="Arial" w:hAnsi="Arial"/>
          <w:b/>
          <w:i/>
          <w:caps w:val="false"/>
          <w:smallCaps w:val="false"/>
          <w:sz w:val="20"/>
        </w:rPr>
        <w:t>Summary Statement of Cash Flows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table sets forth the primary sources and uses of cash, cash equivalents, and restricted cash for each of the periods presented below:</w:t>
      </w:r>
    </w:p>
    <w:p>
      <w:pPr>
        <w:pStyle w:val="TextBody"/>
        <w:spacing w:before="0" w:after="0"/>
        <w:rPr/>
      </w:pPr>
      <w:r>
        <w:rPr/>
        <w:t> </w:t>
      </w:r>
    </w:p>
    <w:tbl>
      <w:tblPr>
        <w:tblW w:w="7520" w:type="dxa"/>
        <w:jc w:val="center"/>
        <w:tblInd w:w="0" w:type="dxa"/>
        <w:tblCellMar>
          <w:top w:w="0" w:type="dxa"/>
          <w:left w:w="0" w:type="dxa"/>
          <w:bottom w:w="28" w:type="dxa"/>
          <w:right w:w="0" w:type="dxa"/>
        </w:tblCellMar>
      </w:tblPr>
      <w:tblGrid>
        <w:gridCol w:w="4745"/>
        <w:gridCol w:w="60"/>
        <w:gridCol w:w="125"/>
        <w:gridCol w:w="710"/>
        <w:gridCol w:w="80"/>
        <w:gridCol w:w="60"/>
        <w:gridCol w:w="125"/>
        <w:gridCol w:w="665"/>
        <w:gridCol w:w="80"/>
        <w:gridCol w:w="60"/>
        <w:gridCol w:w="125"/>
        <w:gridCol w:w="605"/>
        <w:gridCol w:w="80"/>
      </w:tblGrid>
      <w:tr>
        <w:trPr/>
        <w:tc>
          <w:tcPr>
            <w:tcW w:w="47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635" w:type="dxa"/>
            <w:gridSpan w:val="10"/>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Years Ended December 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635"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(in thousands)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provided by (used in) operating activities</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296,734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(12,829</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(7,908</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4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used in investing activities</w:t>
            </w:r>
          </w:p>
        </w:tc>
        <w:tc>
          <w:tcPr>
            <w:tcW w:w="6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4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provided by financing activities</w:t>
            </w:r>
          </w:p>
        </w:tc>
        <w:tc>
          <w:tcPr>
            <w:tcW w:w="60" w:type="dxa"/>
            <w:tcBorders>
              <w:bottom w:val="single" w:sz="6" w:space="0" w:color="000000"/>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531,748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27,483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increase (decrease) in cash, cash equivalents and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restricted cash</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828,456</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(12,831</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19,563</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Cash Flows from Operating Activities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Net cash provided by operating activities was $296.7 million for the year ended December 31, 2020. Cash provided by operating activities was primarily due to an increase in deferred revenue of $301.4 million related to the Roche License Agreement, an increase in accounts payable and accrued expenses of $11.9 million and stock based compensation of $7.5 million, partly offset by the use of funds in our operations to develop our product candidates, resulting in a net loss of $10.9 million. Additional uses of cash during the period included an increase in prepaid expenses and other current assets $7.3 million and unbilled accounts receivable of $5.8 million. The net increase in deferred revenue of $301.4 was the result of the $350.0 million upfront payment offset by revenue recognized of $48.6 million.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Net cash used in operating activities was $12.8 million for the year ended December 31, 2019. Cash used in operating activities was primarily due to the use of funds in our operations to develop our product candidates resulting in a net loss of $14.0 million, offset by stock based compensation of $0.6 million and increases in accounts payable and accrued expenses of $0.6 million.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Net cash used in operating activities was $7.9 million for the year ended December 31, 2018. Cash used in operating activities was primarily due to the use of funds in our operations to develop our product candidates resulting in a net loss of $9.1 million, offset by stock based compensation of $0.4 million and increases and accrued expenses of $0.7 million.</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Cash Flows from Investing Activities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used in investing activities consisted of purchases of property and equipment for the years ended December 31, 2020, 2019 and 2018.</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Cash Flows from Financing Activities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Net cash provided by financing activities was $531.8 million for the year ended December 31, 2020, which consisted primarily of $106.6 million of net proceeds from the sale of Series D convertible preferred stock, $107.5 million of net proceeds from the sale of Series D-1 convertible preferred stock and $317.6 million of net proceeds from the initial public offering.</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used in financing activities during the year ended December 31, 2019 was less than $0.1 million and consisted of payments of deferred financing costs.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Net cash provided by financing activities was $27.5 million for the year ended December 31, 2018, which consisted primarily of $27.4 million of net proceeds from the sale of Series C convertible preferred stock.</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115</w:t>
      </w:r>
    </w:p>
    <w:p>
      <w:pPr>
        <w:pStyle w:val="HorizontalLine"/>
        <w:rPr/>
      </w:pPr>
      <w:r>
        <w:rPr/>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Contractual Obligations and Commitments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lease our office space under a non-cancelable operating lease in Boston, Massachusetts, that expires in July 2022. The following table summarizes our contractual obligations as of December 31, 2020:</w:t>
      </w:r>
    </w:p>
    <w:p>
      <w:pPr>
        <w:pStyle w:val="TextBody"/>
        <w:spacing w:before="0" w:after="0"/>
        <w:rPr/>
      </w:pPr>
      <w:r>
        <w:rPr/>
        <w:t> </w:t>
      </w:r>
    </w:p>
    <w:tbl>
      <w:tblPr>
        <w:tblW w:w="6687" w:type="dxa"/>
        <w:jc w:val="center"/>
        <w:tblInd w:w="0" w:type="dxa"/>
        <w:tblCellMar>
          <w:top w:w="0" w:type="dxa"/>
          <w:left w:w="0" w:type="dxa"/>
          <w:bottom w:w="28" w:type="dxa"/>
          <w:right w:w="0" w:type="dxa"/>
        </w:tblCellMar>
      </w:tblPr>
      <w:tblGrid>
        <w:gridCol w:w="2375"/>
        <w:gridCol w:w="60"/>
        <w:gridCol w:w="250"/>
        <w:gridCol w:w="670"/>
        <w:gridCol w:w="60"/>
        <w:gridCol w:w="60"/>
        <w:gridCol w:w="183"/>
        <w:gridCol w:w="496"/>
        <w:gridCol w:w="60"/>
        <w:gridCol w:w="60"/>
        <w:gridCol w:w="220"/>
        <w:gridCol w:w="459"/>
        <w:gridCol w:w="60"/>
        <w:gridCol w:w="60"/>
        <w:gridCol w:w="308"/>
        <w:gridCol w:w="641"/>
        <w:gridCol w:w="60"/>
        <w:gridCol w:w="60"/>
        <w:gridCol w:w="131"/>
        <w:gridCol w:w="354"/>
        <w:gridCol w:w="60"/>
      </w:tblGrid>
      <w:tr>
        <w:trPr/>
        <w:tc>
          <w:tcPr>
            <w:tcW w:w="237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92" w:type="dxa"/>
            <w:gridSpan w:val="18"/>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Payments Due by Period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Less than</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1 year</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1 to</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3 years</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3 to</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5 years</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More than</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5 years</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Total</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92" w:type="dxa"/>
            <w:gridSpan w:val="18"/>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lease obligations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70" w:type="dxa"/>
            <w:tcBorders>
              <w:bottom w:val="doub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bottom w:val="doub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8"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41"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bottom w:val="doub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540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We enter into contracts in the normal course of business with third-party contract organizations for preclinical and clinical studies and testing, manufacture and supply of our preclinical materials and other services and products used for operating purposes. These contracts do not contain any minimum purchase commitments and generally provide for termination following a certain period after notice, and therefore we believe that our non-cancelable obligations under these agreements are not material. Payments due upon cancelation consist only of payments for services provided and expenses incurred up to the date of cancelation.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table above also does not include potential milestone and success fees that we may be required to pay under agreements we have entered into with certain consultants. We have an agreement with a consultant that requires payment of a success fee calculated as a percentage of certain product sales, subject to a cumulative maximum payout of $5.0 million. This success payment is contingent upon the occurrence of future events and the timing and likelihood of such payment is neither probable nor estimable.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Critical Accounting Policies and Estimates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Our financial statements have been prepared in accordance with U.S. generally accepted accounting principles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The effects of material revisions in estimates, if any, will be reflected in the consolidated financial statements prospectively from the date of change in estimates.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Our critical accounting policies are those policies that require the most significant judgements and estimates in the preparation of the financial statements. Management has determined that our most critical accounting policies are those relating to revenue recognition, accrued research and development expenses and stock based compensation.</w:t>
      </w:r>
    </w:p>
    <w:p>
      <w:pPr>
        <w:pStyle w:val="TextBody"/>
        <w:spacing w:before="0" w:after="0"/>
        <w:rPr/>
      </w:pPr>
      <w:r>
        <w:rPr/>
        <w:t> </w:t>
      </w:r>
    </w:p>
    <w:p>
      <w:pPr>
        <w:pStyle w:val="TextBody"/>
        <w:shd w:fill="FFFFFF" w:val="clear"/>
        <w:spacing w:before="0" w:after="0"/>
        <w:rPr>
          <w:rFonts w:ascii="Arial" w:hAnsi="Arial"/>
          <w:b/>
          <w:i/>
          <w:caps w:val="false"/>
          <w:smallCaps w:val="false"/>
          <w:color w:val="000000"/>
          <w:sz w:val="20"/>
        </w:rPr>
      </w:pPr>
      <w:r>
        <w:rPr>
          <w:rFonts w:ascii="Arial" w:hAnsi="Arial"/>
          <w:b/>
          <w:i/>
          <w:caps w:val="false"/>
          <w:smallCaps w:val="false"/>
          <w:color w:val="000000"/>
          <w:sz w:val="20"/>
        </w:rPr>
        <w:t>Revenue Recognition</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As of December 31, 2020, all of our revenue to date had been collaboration revenue generated from our license agreement with Roche.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analyze our collaboration arrangements to assess whether they are within the scope of Accounting Standards Codification ASC Topic 808, </w:t>
      </w:r>
      <w:r>
        <w:rPr>
          <w:rFonts w:ascii="Arial" w:hAnsi="Arial"/>
          <w:b w:val="false"/>
          <w:i/>
          <w:caps w:val="false"/>
          <w:smallCaps w:val="false"/>
          <w:color w:val="000000"/>
          <w:sz w:val="20"/>
        </w:rPr>
        <w:t>Collaborative Arrangements (“</w:t>
      </w:r>
      <w:r>
        <w:rPr>
          <w:rFonts w:ascii="Arial" w:hAnsi="Arial"/>
          <w:b w:val="false"/>
          <w:i w:val="false"/>
          <w:caps w:val="false"/>
          <w:smallCaps w:val="false"/>
          <w:color w:val="000000"/>
          <w:sz w:val="20"/>
        </w:rPr>
        <w:t xml:space="preserve">ASC 808”), to determine whether such arrangements involve joint operating activities performed by parties that are both active participants in the activities and exposed to significant risks and rewards that are dependent on the commercial success of such activities. If we conclude that some or all aspects of the arrangement are within the scope of ASC 808 and do not represent a transaction with a customer, we recognize our allocation of the shared costs incurred with respect to the jointly conducted activities as a component of the related expense in the period incurred. If we conclude that some or all aspects of the arrangement represent a transaction with a customer, we account for those aspects of the arrangement within the scope of ASC 606, </w:t>
      </w:r>
      <w:r>
        <w:rPr>
          <w:rFonts w:ascii="Arial" w:hAnsi="Arial"/>
          <w:b w:val="false"/>
          <w:i/>
          <w:caps w:val="false"/>
          <w:smallCaps w:val="false"/>
          <w:color w:val="000000"/>
          <w:sz w:val="20"/>
        </w:rPr>
        <w:t>Revenue from Contracts with Customers</w:t>
      </w:r>
      <w:r>
        <w:rPr>
          <w:rFonts w:ascii="Arial" w:hAnsi="Arial"/>
          <w:b w:val="false"/>
          <w:i w:val="false"/>
          <w:caps w:val="false"/>
          <w:smallCaps w:val="false"/>
          <w:color w:val="000000"/>
          <w:sz w:val="20"/>
        </w:rPr>
        <w:t xml:space="preserve"> (“ASC 606”).</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116</w:t>
      </w:r>
    </w:p>
    <w:p>
      <w:pPr>
        <w:pStyle w:val="HorizontalLine"/>
        <w:rPr/>
      </w:pPr>
      <w:r>
        <w:rPr/>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 determine the appropriate amount of revenue to be recognized for arrangements that we determine are within the scope of ASC 606, we perform the following steps: (i) identify the contract(s) with the customer; (ii) identify the performance obligations in the contract; (iii) determine the transaction price; (iv) allocate the transaction price to the performance obligations in the contract; and (v) recognize revenue when (or as) each performance obligation is satisfied. ASC 606 requires significant judgment and estimates and results in changes to, but not limited to: (i) the determination of the transaction price, including estimates of variable consideration, (ii) the allocation of the transaction price, including the determination of estimated selling price, and (iii) the pattern of recognition, including the application of proportional performance as a measure of progress on service-related promises and application of point-in-time recognition for supply-related promises.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transaction price is generally comprised of an upfront payment due at contract inception and variable consideration in the form of payments for our services and materials and milestone payments due upon the achievement of specified events. Other payments we could be entitled to include tiered royalties earned when customers recognize net sales of licensed products. We consider the existence of any significant financing component within our arrangements and have determined that a significant financing component does not exist in our arrangements as substantive business purposes exist to support the payment structure other than to provide a significant benefit of financing. We measure the transaction price based on the amount of consideration to which we expect to be entitled in exchange for transferring the promised goods and/or services to the customer. We utilize either the expected value method or the most likely amount method to estimate the amount of variable consideration, depending on which method is expected to better predict the amount of consideration to which we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With respect to arrangements that include payments for a development or regulatory milestone payment, we evaluate whether the associated event is considered probable of achievement and estimate the amount to be included in the transaction price using the most likely amount method. Milestone payments that are not within our control or the licensee, such as those dependent upon receipt of regulatory approval, are not considered to be probable of achievement until the triggering event occurs. At the end of each reporting period, we re-evaluate the probability of achievement of each milestone and any related constraint, and if necessary, adjust our estimate of the overall transaction price. Any such adjustments are recorded on a cumulative catch-up basis, which would affect revenue and net loss in the period of adjustment. For arrangements that include sales-based royalties, including milestone payments based upon the achievement of a certain level of product sales, wherein the license is deemed to be the sole or predominant item to which the payments relate, we recognize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generally allocate the transaction price to each performance obligation based on a relative standalone selling price basis. We develop assumptions that require judgment to determine the standalone selling price for each performance obligation in consideration of applicable market conditions and relevant entity-specific factors, including factors that were contemplated in negotiating the agreement with the customer and estimated research and development costs. However, in certain instances, we allocate variable consideration entirely to one or more performance obligation if the terms of the variable consideration relate to the satisfaction of the respective performance obligation and the amount allocated is consistent with the amount we would expect to receive for the satisfaction of the respective performance obligation.</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We recognize revenue based on the amount of the transaction price that is allocated to each respective performance obligation when or as the performance obligation is satisfied by transferring a promised good or service to the customer. For performance obligations that are satisfied at a point in time, we recognize revenue when control of the goods and/or services is transferred to the customer. For performance obligations that are satisfied over time, we recognize revenue by measuring the progress toward complete satisfaction of the performance obligation using a single method of measuring progress which depicts the performance in transferring control of the associated goods and/or services to the customer. We generally use input methods to measure the progress toward the complete satisfaction of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117</w:t>
      </w:r>
    </w:p>
    <w:p>
      <w:pPr>
        <w:pStyle w:val="HorizontalLine"/>
        <w:rPr/>
      </w:pPr>
      <w:r>
        <w:rPr/>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performance obligations satisfied over time. With respect to arrangements containing a license to our intellectual property that is determined to be distinct from the other performance obligations identified in the arrangement, we recognize revenue from amounts allocated to the license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Significant management judgment is required in determining the level of effort and costs required under an arrangement and the period over which we are expected to complete our performance obligations under an arrangement. We evaluate the measure of progress each reporting period and, if necessary, adjust the measure of performance and related revenue recognition. Any such adjustments are recorded on a cumulative catch-up basis, which would affect revenue and net loss in the period of adjustment.</w:t>
      </w:r>
    </w:p>
    <w:p>
      <w:pPr>
        <w:pStyle w:val="TextBody"/>
        <w:spacing w:before="120" w:after="0"/>
        <w:rPr>
          <w:rFonts w:ascii="Arial" w:hAnsi="Arial"/>
          <w:b w:val="false"/>
          <w:i/>
          <w:caps w:val="false"/>
          <w:smallCaps w:val="false"/>
          <w:color w:val="000000"/>
          <w:sz w:val="20"/>
        </w:rPr>
      </w:pPr>
      <w:r>
        <w:rPr>
          <w:rFonts w:ascii="Arial" w:hAnsi="Arial"/>
          <w:b w:val="false"/>
          <w:i/>
          <w:caps w:val="false"/>
          <w:smallCaps w:val="false"/>
          <w:color w:val="000000"/>
          <w:sz w:val="20"/>
        </w:rPr>
        <w:t>Contract costs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recognize as an asset the incremental costs of obtaining a contract with a customer if the costs are expected to be recovered. We have elected a practical expedient wherein we recognize the incremental costs of obtaining a contract as an expense when incurred if, at inception, the expected amortization period of the asset that we otherwise would have recognized is one year or less. In connection with the Roche License Agreement, we incurred an incremental cost of $7.0 million, which was included in general and administrative costs in the statement of operations and comprehensive loss for the year ended December 31, 2020 included elsewhere in this Annual Report on Form 10-K.  </w:t>
      </w:r>
    </w:p>
    <w:p>
      <w:pPr>
        <w:pStyle w:val="TextBody"/>
        <w:spacing w:before="120" w:after="0"/>
        <w:rPr>
          <w:rFonts w:ascii="Arial" w:hAnsi="Arial"/>
          <w:b/>
          <w:i/>
          <w:caps w:val="false"/>
          <w:smallCaps w:val="false"/>
          <w:sz w:val="20"/>
        </w:rPr>
      </w:pPr>
      <w:r>
        <w:rPr>
          <w:rFonts w:ascii="Arial" w:hAnsi="Arial"/>
          <w:b/>
          <w:i/>
          <w:caps w:val="false"/>
          <w:smallCaps w:val="false"/>
          <w:sz w:val="20"/>
        </w:rPr>
        <w:t>Accrued Research and Development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have entered into various agreements with CMOs and CROs. Our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liabilities on the balance sheet. If the actual timing of the performance of services or the level of effort varies from the original estimates, we will adjust the accrual accordingly. Payments made to CMOs and CROs under these arrangements in advance of the performance of the related services are recorded as prepaid expenses and other current assets until the services are rendered.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pStyle w:val="TextBody"/>
        <w:spacing w:before="120" w:after="0"/>
        <w:rPr>
          <w:rFonts w:ascii="Arial" w:hAnsi="Arial"/>
          <w:b/>
          <w:i/>
          <w:caps w:val="false"/>
          <w:smallCaps w:val="false"/>
          <w:sz w:val="20"/>
        </w:rPr>
      </w:pPr>
      <w:r>
        <w:rPr>
          <w:rFonts w:ascii="Arial" w:hAnsi="Arial"/>
          <w:b/>
          <w:i/>
          <w:caps w:val="false"/>
          <w:smallCaps w:val="false"/>
          <w:sz w:val="20"/>
        </w:rPr>
        <w:t>Stock-Based Compensation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use a fair value-based method to account for all stock-based compensation arrangements with employees and non-employees, including stock options and stock awards. The fair value of the option granted is recognized on a straight-line basis over the period during which an optionee is required to provide services in exchange for the option award, known as the requisite service period, which usually is the vesting period. In determining fair value of the stock options granted, we use the Black–Scholes model, which requires the input of subjective assumptions. These assumptions include: estimating the fair market value of the common stock, estimating the length of time employees will retain their vested stock options before exercising them (expected term), the estimated volatility of our common stock price over the expected term (expected volatility), risk-free interest rate and expected dividends. See Note 10 to our audited consolidated financial statements included elsewhere in this Annual Report on Form 10-K for information concerning certain of the specific assumptions we used in applying the Black-Scholes option pricing model to determine the estimated fair value of our stock options granted during the years ended December 31, 2020, 2019 and 2018, respectively. Estimating the fair value of our common stock involves significant judgement and the use of estimates.</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Estimating the Fair Value of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are required to estimate the fair value of the common stock underlying our share-based awards when performing the fair value calculations using the Black-Scholes option pricing model. Prior to our IPO, the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118</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fair value of the common stock underlying our stock options has been determined on each grant date by our board of directors, with input from management, considering the most recently available third-party valuation of our common shares. All options to purchase shares of our common stock are intended to be granted with an exercise price per share no less than the estimated fair value per share of our common stock underlying those options on the date of grant, based on the information known to us on the date of grant.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the absence of a public trading market for our common stock prior to our IPO, on each grant date, we developed an estimate of the fair value of our common stock based on valuations from an independent third-party valuation firm using information known to us on the date of grant, a review of any recent events and their potential impact on the estimated fair value per share of the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third-party valuations of our common stock were determined in accordance with the guidelines outlined in the American Institute of Certified Public Accountants Practice Aid, Valuation of Privately-Held-Company Equity Securities Issued as Compensation (the “Practice Aid”).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assumptions used to determine the estimated fair value of our common stock are based on numerous objective and subjective factors, combined with management judgment, including: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external market conditions affecting the pharmaceutical and biotechnology industry and trends within the industry;</w:t>
            </w:r>
          </w:p>
        </w:tc>
      </w:tr>
    </w:tbl>
    <w:tbl>
      <w:tblPr>
        <w:tblW w:w="5260" w:type="dxa"/>
        <w:jc w:val="left"/>
        <w:tblInd w:w="0" w:type="dxa"/>
        <w:tblCellMar>
          <w:top w:w="0" w:type="dxa"/>
          <w:left w:w="0" w:type="dxa"/>
          <w:bottom w:w="0" w:type="dxa"/>
          <w:right w:w="0" w:type="dxa"/>
        </w:tblCellMar>
      </w:tblPr>
      <w:tblGrid>
        <w:gridCol w:w="110"/>
        <w:gridCol w:w="51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5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our stage of development and business strategy;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rights, preferences and privileges of our redeemable convertible preferred stock relative to those of our common stock;</w:t>
            </w:r>
          </w:p>
        </w:tc>
      </w:tr>
    </w:tbl>
    <w:tbl>
      <w:tblPr>
        <w:tblW w:w="8695" w:type="dxa"/>
        <w:jc w:val="left"/>
        <w:tblInd w:w="0" w:type="dxa"/>
        <w:tblCellMar>
          <w:top w:w="0" w:type="dxa"/>
          <w:left w:w="0" w:type="dxa"/>
          <w:bottom w:w="0" w:type="dxa"/>
          <w:right w:w="0" w:type="dxa"/>
        </w:tblCellMar>
      </w:tblPr>
      <w:tblGrid>
        <w:gridCol w:w="110"/>
        <w:gridCol w:w="85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58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prices at which we sold shares of our redeemable convertible preferred stock;</w:t>
            </w:r>
          </w:p>
        </w:tc>
      </w:tr>
    </w:tbl>
    <w:tbl>
      <w:tblPr>
        <w:tblW w:w="10180" w:type="dxa"/>
        <w:jc w:val="left"/>
        <w:tblInd w:w="0" w:type="dxa"/>
        <w:tblCellMar>
          <w:top w:w="0" w:type="dxa"/>
          <w:left w:w="0" w:type="dxa"/>
          <w:bottom w:w="0" w:type="dxa"/>
          <w:right w:w="0" w:type="dxa"/>
        </w:tblCellMar>
      </w:tblPr>
      <w:tblGrid>
        <w:gridCol w:w="110"/>
        <w:gridCol w:w="100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7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our financial condition and operating results, including our levels of available capital resources;</w:t>
            </w:r>
          </w:p>
        </w:tc>
      </w:tr>
    </w:tbl>
    <w:tbl>
      <w:tblPr>
        <w:tblW w:w="5770" w:type="dxa"/>
        <w:jc w:val="left"/>
        <w:tblInd w:w="0" w:type="dxa"/>
        <w:tblCellMar>
          <w:top w:w="0" w:type="dxa"/>
          <w:left w:w="0" w:type="dxa"/>
          <w:bottom w:w="0" w:type="dxa"/>
          <w:right w:w="0" w:type="dxa"/>
        </w:tblCellMar>
      </w:tblPr>
      <w:tblGrid>
        <w:gridCol w:w="110"/>
        <w:gridCol w:w="56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66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progress of our research and development efforts;</w:t>
            </w:r>
          </w:p>
        </w:tc>
      </w:tr>
    </w:tbl>
    <w:tbl>
      <w:tblPr>
        <w:tblW w:w="7450" w:type="dxa"/>
        <w:jc w:val="left"/>
        <w:tblInd w:w="0" w:type="dxa"/>
        <w:tblCellMar>
          <w:top w:w="0" w:type="dxa"/>
          <w:left w:w="0" w:type="dxa"/>
          <w:bottom w:w="0" w:type="dxa"/>
          <w:right w:w="0" w:type="dxa"/>
        </w:tblCellMar>
      </w:tblPr>
      <w:tblGrid>
        <w:gridCol w:w="110"/>
        <w:gridCol w:w="73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34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equity market conditions affecting comparable public companies; and</w:t>
            </w:r>
          </w:p>
        </w:tc>
      </w:tr>
    </w:tbl>
    <w:tbl>
      <w:tblPr>
        <w:tblW w:w="8725" w:type="dxa"/>
        <w:jc w:val="left"/>
        <w:tblInd w:w="0" w:type="dxa"/>
        <w:tblCellMar>
          <w:top w:w="0" w:type="dxa"/>
          <w:left w:w="0" w:type="dxa"/>
          <w:bottom w:w="0" w:type="dxa"/>
          <w:right w:w="0" w:type="dxa"/>
        </w:tblCellMar>
      </w:tblPr>
      <w:tblGrid>
        <w:gridCol w:w="110"/>
        <w:gridCol w:w="86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61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general U.S. market conditions and the lack of marketability of our common stock.</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caps w:val="false"/>
                <w:smallCaps w:val="false"/>
                <w:color w:val="000000"/>
              </w:rPr>
              <w:t>Option Pricing Method</w:t>
            </w:r>
            <w:r>
              <w:rPr>
                <w:rFonts w:ascii="Arial" w:hAnsi="Arial"/>
                <w:b w:val="false"/>
                <w:i w:val="false"/>
                <w:caps w:val="false"/>
                <w:smallCaps w:val="false"/>
                <w:color w:val="000000"/>
              </w:rPr>
              <w:t>. Under the option pricing method, or OPM, shares are valued by creating a series of call options with exercise prices based on the liquidation preferences and conversion terms of each equity class. The estimated fair values of the preferred and common stock are inferred by analyzing these options.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caps w:val="false"/>
                <w:smallCaps w:val="false"/>
                <w:color w:val="000000"/>
              </w:rPr>
              <w:t>Probability-Weighted Expected Return Method.</w:t>
            </w:r>
            <w:r>
              <w:rPr>
                <w:b w:val="false"/>
                <w:i w:val="false"/>
                <w:caps w:val="false"/>
                <w:smallCaps w:val="false"/>
                <w:color w:val="000000"/>
              </w:rPr>
              <w:t xml:space="preserve"> </w:t>
            </w:r>
            <w:r>
              <w:rPr>
                <w:rFonts w:ascii="Arial" w:hAnsi="Arial"/>
                <w:b w:val="false"/>
                <w:i w:val="false"/>
                <w:caps w:val="false"/>
                <w:smallCaps w:val="false"/>
                <w:color w:val="000000"/>
              </w:rPr>
              <w:t>The probability-weighted expected return method, or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Based on our early stage of development and other relevant factors, we determined that OPM method as well as a hybrid approach of the OPM and the PWERM methods were the most appropriate methods for allocating our enterprise value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Upon the completion of our initial public offering, the fair value of our common stock is based on the daily closing quoted market price of our common stock.</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119</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also account for any modifications to share based payments in accordance with ASC 718.</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Off-Balance Sheet Arrangements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Since our inception, we have not engaged in any off-balance sheet arrangements, as defined in the rules and regulations of the SEC.</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Indemnification Agreements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 We believe the estimated fair value of these indemnification agreements in excess of applicable insurance coverage is minimal.</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JOBS Act Accounting Election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Jumpstart Our Business Startups Act of 2012 (the “JOBS Act”) permits an “emerging growth company” such as us to take advantage of an extended transition period to comply with new or revised accounting standards applicable to public companies. We have elected to avail ourselves of this exemption from new or revised accounting standards, and, therefore, will not be subject to the same new or revised accounting standards as public companies that are not emerging growth companies. We intend to rely on other exemptions provided by the JOBS Act, including without limitation, not being required to comply with the auditor attestation requirements of Section 404(b) of the Sarbanes-Oxley Act.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will remain an emerging growth company until the earliest to occur of: (1) the last day of our first fiscal year in which we have total annual revenues of more than $1.07 billion;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Based on our current market capitalization we may become a large accelerated filer for the year ended December 31, 2021 which would result in us losing emerging growth company status. The final determination won’t be known until June 30, 2021, the last day of our second fiscal quarter.</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Recently Issued Accounting Pronouncements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See the section titled “Summary of Significant Accounting Policies—Recently Issued Accounting Pronouncements” in Note 2 to our consolidated financial statements included elsewhere in this Annual Report for additional information.</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120</w:t>
      </w:r>
    </w:p>
    <w:p>
      <w:pPr>
        <w:pStyle w:val="HorizontalLine"/>
        <w:rPr/>
      </w:pPr>
      <w:r>
        <w:rPr/>
      </w:r>
    </w:p>
    <w:p>
      <w:pPr>
        <w:pStyle w:val="TextBody"/>
        <w:spacing w:before="120" w:after="0"/>
        <w:rPr>
          <w:rFonts w:ascii="Arial" w:hAnsi="Arial"/>
          <w:b/>
          <w:i w:val="false"/>
          <w:caps w:val="false"/>
          <w:smallCaps w:val="false"/>
          <w:sz w:val="20"/>
        </w:rPr>
      </w:pPr>
      <w:bookmarkStart w:id="32" w:name="ITEM_7A_QUANTITATIVE_QUALITATIVE_DISCLOS"/>
      <w:bookmarkStart w:id="33" w:name="Item7A"/>
      <w:bookmarkEnd w:id="32"/>
      <w:bookmarkEnd w:id="33"/>
      <w:r>
        <w:rPr>
          <w:rFonts w:ascii="Arial" w:hAnsi="Arial"/>
          <w:b/>
          <w:i w:val="false"/>
          <w:caps w:val="false"/>
          <w:smallCaps w:val="false"/>
          <w:sz w:val="20"/>
        </w:rPr>
        <w:t xml:space="preserve">Item 7A. Quantitative and Qualitative Disclosures About Market Risk. </w:t>
      </w:r>
    </w:p>
    <w:p>
      <w:pPr>
        <w:pStyle w:val="TextBody"/>
        <w:spacing w:before="120" w:after="0"/>
        <w:rPr>
          <w:rFonts w:ascii="Arial" w:hAnsi="Arial"/>
          <w:b/>
          <w:i/>
          <w:caps w:val="false"/>
          <w:smallCaps w:val="false"/>
          <w:sz w:val="20"/>
        </w:rPr>
      </w:pPr>
      <w:r>
        <w:rPr>
          <w:rFonts w:ascii="Arial" w:hAnsi="Arial"/>
          <w:b/>
          <w:i/>
          <w:caps w:val="false"/>
          <w:smallCaps w:val="false"/>
          <w:sz w:val="20"/>
        </w:rPr>
        <w:t>Interest Rate Sensitivity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market risk inherent in our financial instruments and in our financial position represents the potential loss arising from adverse changes in interest rates or exchange rates. As of December 31, 2020, we had cash and cash equivalents of $850.1 million, consisting of interest-bearing money market funds for which the fair value would be affected by changes in the general level of U.S. interest rates. However, due to the short-term maturities and the low-risk profile of our cash equivalents, an immediate 10% relative change in interest rates would not have a material effect on the fair value of our cash equivalents or on our future interest income.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do not believe that inflation, interest rate changes or foreign currency exchange rate fluctuations have had a significant impact on our results of operations for any periods presented herein.</w:t>
      </w:r>
    </w:p>
    <w:p>
      <w:pPr>
        <w:pStyle w:val="TextBody"/>
        <w:spacing w:before="120" w:after="0"/>
        <w:rPr>
          <w:rFonts w:ascii="Arial" w:hAnsi="Arial"/>
          <w:b/>
          <w:i w:val="false"/>
          <w:caps w:val="false"/>
          <w:smallCaps w:val="false"/>
          <w:sz w:val="20"/>
        </w:rPr>
      </w:pPr>
      <w:bookmarkStart w:id="34" w:name="ITEM_8_FINANCIAL_STATEMENTS_SUPPLEMENTAR"/>
      <w:bookmarkEnd w:id="34"/>
      <w:r>
        <w:rPr>
          <w:rFonts w:ascii="Arial" w:hAnsi="Arial"/>
          <w:b/>
          <w:i w:val="false"/>
          <w:caps w:val="false"/>
          <w:smallCaps w:val="false"/>
          <w:sz w:val="20"/>
        </w:rPr>
        <w:t xml:space="preserve">Item 8. Financial Statements and Supplementary Data. </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financial statements required to be filed pursuant to this Item 8 are appended to this Annual Report on Form 10-K. An index of those financial statements is found in Item 15 of this Annual Report on Form 10-K.</w:t>
      </w:r>
    </w:p>
    <w:p>
      <w:pPr>
        <w:pStyle w:val="TextBody"/>
        <w:spacing w:before="120" w:after="0"/>
        <w:rPr>
          <w:rFonts w:ascii="Arial" w:hAnsi="Arial"/>
          <w:b/>
          <w:i w:val="false"/>
          <w:caps w:val="false"/>
          <w:smallCaps w:val="false"/>
          <w:sz w:val="20"/>
        </w:rPr>
      </w:pPr>
      <w:bookmarkStart w:id="35" w:name="ITEM_9_CHANGES_IN_DISAGREEMENTS_WITH_ACC"/>
      <w:bookmarkEnd w:id="35"/>
      <w:r>
        <w:rPr>
          <w:rFonts w:ascii="Arial" w:hAnsi="Arial"/>
          <w:b/>
          <w:i w:val="false"/>
          <w:caps w:val="false"/>
          <w:smallCaps w:val="false"/>
          <w:sz w:val="20"/>
        </w:rPr>
        <w:t>Item 9. Changes in and Disagreements with</w:t>
      </w:r>
      <w:bookmarkStart w:id="36" w:name="ITEM_9_CHANGES_IN_DISAGREEMENTS_WITH_ACC"/>
      <w:bookmarkEnd w:id="36"/>
      <w:r>
        <w:rPr>
          <w:rFonts w:ascii="Arial" w:hAnsi="Arial"/>
          <w:b/>
          <w:i w:val="false"/>
          <w:caps w:val="false"/>
          <w:smallCaps w:val="false"/>
          <w:sz w:val="20"/>
        </w:rPr>
        <w:t xml:space="preserve"> Accountants on Accounting and Financial Disclosure.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None. </w:t>
      </w:r>
    </w:p>
    <w:p>
      <w:pPr>
        <w:pStyle w:val="TextBody"/>
        <w:spacing w:before="120" w:after="0"/>
        <w:rPr>
          <w:rFonts w:ascii="Arial" w:hAnsi="Arial"/>
          <w:b/>
          <w:i w:val="false"/>
          <w:caps w:val="false"/>
          <w:smallCaps w:val="false"/>
          <w:sz w:val="20"/>
        </w:rPr>
      </w:pPr>
      <w:bookmarkStart w:id="37" w:name="ITEM_9A_CONTROLS_PROCEDURES"/>
      <w:bookmarkEnd w:id="37"/>
      <w:r>
        <w:rPr>
          <w:rFonts w:ascii="Arial" w:hAnsi="Arial"/>
          <w:b/>
          <w:i w:val="false"/>
          <w:caps w:val="false"/>
          <w:smallCaps w:val="false"/>
          <w:sz w:val="20"/>
        </w:rPr>
        <w:t xml:space="preserve">Item 9A. Controls and Procedures. </w:t>
      </w:r>
    </w:p>
    <w:p>
      <w:pPr>
        <w:pStyle w:val="TextBody"/>
        <w:spacing w:before="120" w:after="0"/>
        <w:rPr>
          <w:rFonts w:ascii="Arial" w:hAnsi="Arial"/>
          <w:b/>
          <w:i w:val="false"/>
          <w:caps w:val="false"/>
          <w:smallCaps w:val="false"/>
          <w:color w:val="000000"/>
          <w:sz w:val="20"/>
        </w:rPr>
      </w:pPr>
      <w:r>
        <w:rPr>
          <w:rFonts w:ascii="Arial" w:hAnsi="Arial"/>
          <w:b/>
          <w:i w:val="false"/>
          <w:caps w:val="false"/>
          <w:smallCaps w:val="false"/>
          <w:color w:val="000000"/>
          <w:sz w:val="20"/>
        </w:rPr>
        <w:t>Management’s Evaluation of our Disclosure Controls and Procedures</w:t>
      </w:r>
    </w:p>
    <w:p>
      <w:pPr>
        <w:pStyle w:val="TextBody"/>
        <w:spacing w:before="0" w:after="0"/>
        <w:rPr/>
      </w:pPr>
      <w:r>
        <w:rPr/>
        <w:t> </w:t>
      </w:r>
    </w:p>
    <w:p>
      <w:pPr>
        <w:pStyle w:val="TextBody"/>
        <w:spacing w:before="0" w:after="0"/>
        <w:rPr>
          <w:rFonts w:ascii="Arial" w:hAnsi="Arial"/>
          <w:b/>
          <w:i w:val="false"/>
          <w:caps w:val="false"/>
          <w:smallCaps w:val="false"/>
          <w:color w:val="000000"/>
          <w:sz w:val="20"/>
        </w:rPr>
      </w:pPr>
      <w:r>
        <w:rPr>
          <w:rFonts w:ascii="Arial" w:hAnsi="Arial"/>
          <w:b/>
          <w:i w:val="false"/>
          <w:caps w:val="false"/>
          <w:smallCaps w:val="false"/>
          <w:color w:val="000000"/>
          <w:sz w:val="20"/>
        </w:rPr>
        <w:t>Limitations on Effectiveness of Controls and Procedures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before="0" w:after="0"/>
        <w:rPr/>
      </w:pPr>
      <w:r>
        <w:rPr/>
        <w:t> </w:t>
      </w:r>
    </w:p>
    <w:p>
      <w:pPr>
        <w:pStyle w:val="TextBody"/>
        <w:spacing w:before="0" w:after="0"/>
        <w:rPr>
          <w:rFonts w:ascii="Arial" w:hAnsi="Arial"/>
          <w:b/>
          <w:i w:val="false"/>
          <w:caps w:val="false"/>
          <w:smallCaps w:val="false"/>
          <w:color w:val="000000"/>
          <w:sz w:val="20"/>
        </w:rPr>
      </w:pPr>
      <w:r>
        <w:rPr>
          <w:rFonts w:ascii="Arial" w:hAnsi="Arial"/>
          <w:b/>
          <w:i w:val="false"/>
          <w:caps w:val="false"/>
          <w:smallCaps w:val="false"/>
          <w:color w:val="000000"/>
          <w:sz w:val="20"/>
        </w:rPr>
        <w:t>Evaluation of Disclosure Controls and Procedures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of December 31, 2020. Based upon such evaluation, our Chief Executive Officer and Chief Financial Officer have concluded that, as of December 31, 2020, our disclosure controls and procedures were effective at the reasonable assurance level.</w:t>
      </w:r>
    </w:p>
    <w:p>
      <w:pPr>
        <w:pStyle w:val="TextBody"/>
        <w:spacing w:before="120" w:after="0"/>
        <w:rPr>
          <w:rFonts w:ascii="Arial" w:hAnsi="Arial"/>
          <w:b/>
          <w:i w:val="false"/>
          <w:caps w:val="false"/>
          <w:smallCaps w:val="false"/>
          <w:color w:val="000000"/>
          <w:sz w:val="20"/>
        </w:rPr>
      </w:pPr>
      <w:r>
        <w:rPr>
          <w:rFonts w:ascii="Arial" w:hAnsi="Arial"/>
          <w:b/>
          <w:i w:val="false"/>
          <w:caps w:val="false"/>
          <w:smallCaps w:val="false"/>
          <w:color w:val="000000"/>
          <w:sz w:val="20"/>
        </w:rPr>
        <w:t>Management’s Annual Report on Internal Control over Financial Reporting</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such time as we are no longer an “emerging growth company” as defined in the JOBS Act.</w:t>
      </w:r>
    </w:p>
    <w:p>
      <w:pPr>
        <w:pStyle w:val="TextBody"/>
        <w:spacing w:before="120" w:after="0"/>
        <w:rPr>
          <w:rFonts w:ascii="Arial" w:hAnsi="Arial"/>
          <w:b/>
          <w:i w:val="false"/>
          <w:caps w:val="false"/>
          <w:smallCaps w:val="false"/>
          <w:color w:val="000000"/>
          <w:sz w:val="20"/>
        </w:rPr>
      </w:pPr>
      <w:r>
        <w:rPr>
          <w:rFonts w:ascii="Arial" w:hAnsi="Arial"/>
          <w:b/>
          <w:i w:val="false"/>
          <w:caps w:val="false"/>
          <w:smallCaps w:val="false"/>
          <w:color w:val="000000"/>
          <w:sz w:val="20"/>
        </w:rPr>
        <w:t>Changes in Internal Control over Financial Reporting</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There were no changes in our internal control over financial reporting (as defined in Rules 13a-15(f) and 15d-15(f) under the Exchange Act) during the quarter ended December 31, 2020 that have materially affected, or are reasonably likely to materially affect, our internal control over financial reporting.</w:t>
      </w:r>
    </w:p>
    <w:p>
      <w:pPr>
        <w:pStyle w:val="TextBody"/>
        <w:spacing w:before="120" w:after="0"/>
        <w:rPr>
          <w:rFonts w:ascii="Arial" w:hAnsi="Arial"/>
          <w:b/>
          <w:i w:val="false"/>
          <w:caps w:val="false"/>
          <w:smallCaps w:val="false"/>
          <w:sz w:val="20"/>
        </w:rPr>
      </w:pPr>
      <w:bookmarkStart w:id="38" w:name="ITEM_9B_OR_INFORMATION1"/>
      <w:bookmarkEnd w:id="38"/>
      <w:r>
        <w:rPr>
          <w:rFonts w:ascii="Arial" w:hAnsi="Arial"/>
          <w:b/>
          <w:i w:val="false"/>
          <w:caps w:val="false"/>
          <w:smallCaps w:val="false"/>
          <w:sz w:val="20"/>
        </w:rPr>
        <w:t>I</w:t>
      </w:r>
      <w:bookmarkStart w:id="39" w:name="ITEM_9B_OR_INFORMATION"/>
      <w:bookmarkEnd w:id="39"/>
      <w:r>
        <w:rPr>
          <w:rFonts w:ascii="Arial" w:hAnsi="Arial"/>
          <w:b/>
          <w:i w:val="false"/>
          <w:caps w:val="false"/>
          <w:smallCaps w:val="false"/>
          <w:sz w:val="20"/>
        </w:rPr>
        <w:t xml:space="preserve">tem 9B. Other Information.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None.</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121</w:t>
      </w:r>
    </w:p>
    <w:p>
      <w:pPr>
        <w:pStyle w:val="HorizontalLine"/>
        <w:rPr/>
      </w:pPr>
      <w:r>
        <w:rPr/>
      </w:r>
    </w:p>
    <w:p>
      <w:pPr>
        <w:pStyle w:val="TextBody"/>
        <w:spacing w:before="0" w:after="0"/>
        <w:jc w:val="center"/>
        <w:rPr>
          <w:rFonts w:ascii="Arial" w:hAnsi="Arial"/>
          <w:b/>
          <w:i w:val="false"/>
          <w:caps w:val="false"/>
          <w:smallCaps w:val="false"/>
          <w:sz w:val="20"/>
        </w:rPr>
      </w:pPr>
      <w:bookmarkStart w:id="40" w:name="Part_III"/>
      <w:bookmarkEnd w:id="40"/>
      <w:r>
        <w:rPr>
          <w:rFonts w:ascii="Arial" w:hAnsi="Arial"/>
          <w:b/>
          <w:i w:val="false"/>
          <w:caps w:val="false"/>
          <w:smallCaps w:val="false"/>
          <w:sz w:val="20"/>
        </w:rPr>
        <w:t xml:space="preserve">PART III </w:t>
      </w:r>
    </w:p>
    <w:p>
      <w:pPr>
        <w:pStyle w:val="TextBody"/>
        <w:spacing w:before="120" w:after="0"/>
        <w:rPr>
          <w:rFonts w:ascii="Arial" w:hAnsi="Arial"/>
          <w:b/>
          <w:i w:val="false"/>
          <w:caps w:val="false"/>
          <w:smallCaps w:val="false"/>
          <w:sz w:val="20"/>
        </w:rPr>
      </w:pPr>
      <w:bookmarkStart w:id="41" w:name="ITEM_10_DIRECTORS_EXECUTIVE_FICERS_CORPO"/>
      <w:bookmarkEnd w:id="41"/>
      <w:r>
        <w:rPr>
          <w:rFonts w:ascii="Arial" w:hAnsi="Arial"/>
          <w:b/>
          <w:i w:val="false"/>
          <w:caps w:val="false"/>
          <w:smallCaps w:val="false"/>
          <w:sz w:val="20"/>
        </w:rPr>
        <w:t xml:space="preserve">Item 10. Directors, Executive Officers and Corporate Governance. </w:t>
      </w:r>
    </w:p>
    <w:p>
      <w:pPr>
        <w:pStyle w:val="TextBody"/>
        <w:shd w:fill="FFFFFF" w:val="clear"/>
        <w:spacing w:before="120" w:after="0"/>
        <w:rPr>
          <w:rFonts w:ascii="Arial" w:hAnsi="Arial"/>
          <w:b/>
          <w:i w:val="false"/>
          <w:caps w:val="false"/>
          <w:smallCaps w:val="false"/>
          <w:color w:val="000000"/>
          <w:sz w:val="20"/>
        </w:rPr>
      </w:pPr>
      <w:r>
        <w:rPr>
          <w:rFonts w:ascii="Arial" w:hAnsi="Arial"/>
          <w:b/>
          <w:i w:val="false"/>
          <w:caps w:val="false"/>
          <w:smallCaps w:val="false"/>
          <w:color w:val="000000"/>
          <w:sz w:val="20"/>
        </w:rPr>
        <w:t>Code of Ethics</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board of directors has adopted a written Code of Business Conduct and Ethics applicable to all officers, directors and employees, including our principal executive officer, principal financial officer, principal accounting officer and controller, or persons performing similar functions. We have posted a current copy of our Code of Business Conduct and Ethics on our website at </w:t>
      </w:r>
      <w:r>
        <w:rPr>
          <w:rFonts w:ascii="Arial" w:hAnsi="Arial"/>
          <w:b w:val="false"/>
          <w:i w:val="false"/>
          <w:caps w:val="false"/>
          <w:smallCaps w:val="false"/>
          <w:color w:val="0563C1"/>
          <w:sz w:val="20"/>
          <w:u w:val="single"/>
        </w:rPr>
        <w:t>www.ateapharma.com</w:t>
      </w:r>
      <w:r>
        <w:rPr>
          <w:rFonts w:ascii="Arial" w:hAnsi="Arial"/>
          <w:b w:val="false"/>
          <w:i w:val="false"/>
          <w:caps w:val="false"/>
          <w:smallCaps w:val="false"/>
          <w:color w:val="000000"/>
          <w:sz w:val="20"/>
        </w:rPr>
        <w:t xml:space="preserve"> in the “Investors”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 The information contained on our website is not incorporated by reference into this Annual Report on Form 10-K.</w:t>
      </w:r>
    </w:p>
    <w:p>
      <w:pPr>
        <w:pStyle w:val="TextBody"/>
        <w:shd w:fill="FFFFFF" w:val="clear"/>
        <w:spacing w:before="120" w:after="0"/>
        <w:rPr>
          <w:rFonts w:ascii="Arial" w:hAnsi="Arial"/>
          <w:b/>
          <w:i w:val="false"/>
          <w:caps w:val="false"/>
          <w:smallCaps w:val="false"/>
          <w:color w:val="000000"/>
          <w:sz w:val="20"/>
        </w:rPr>
      </w:pPr>
      <w:r>
        <w:rPr>
          <w:rFonts w:ascii="Arial" w:hAnsi="Arial"/>
          <w:b/>
          <w:i w:val="false"/>
          <w:caps w:val="false"/>
          <w:smallCaps w:val="false"/>
          <w:color w:val="000000"/>
          <w:sz w:val="20"/>
        </w:rPr>
        <w:t>Executive Officers and Directors</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information concerning our executive offers and directors required by this Item 10 is contained under the caption “Executive Officers and Directors” at the end of Part I, Item I, Business, of this Annual Report on Form 10-K. The remainder of the information required to be disclosed by this Item 10 will be included in our definitive Proxy Statement for the 2021 Annual Meeting of Stockholders under the headings “Corporate Governance,” “Delinquent Section 16(a) Reports” (if applicable) and “Committees of the Board” and is incorporated herein by reference.</w:t>
      </w:r>
    </w:p>
    <w:p>
      <w:pPr>
        <w:pStyle w:val="TextBody"/>
        <w:spacing w:before="120" w:after="0"/>
        <w:rPr>
          <w:rFonts w:ascii="Arial" w:hAnsi="Arial"/>
          <w:b/>
          <w:i w:val="false"/>
          <w:caps w:val="false"/>
          <w:smallCaps w:val="false"/>
          <w:sz w:val="20"/>
        </w:rPr>
      </w:pPr>
      <w:bookmarkStart w:id="42" w:name="ITEM_11_EXECUTIVE_COMPENSATION"/>
      <w:bookmarkEnd w:id="42"/>
      <w:r>
        <w:rPr>
          <w:rFonts w:ascii="Arial" w:hAnsi="Arial"/>
          <w:b/>
          <w:i w:val="false"/>
          <w:caps w:val="false"/>
          <w:smallCaps w:val="false"/>
          <w:sz w:val="20"/>
        </w:rPr>
        <w:t xml:space="preserve">Item 11. Executive Compensation. </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information required by this Item 11 will be included in our definitive proxy statement to be filed with the SEC with respect to our 2021 Annual Meeting of Stockholders and is incorporated herein by reference.</w:t>
      </w:r>
    </w:p>
    <w:p>
      <w:pPr>
        <w:pStyle w:val="TextBody"/>
        <w:spacing w:before="120" w:after="0"/>
        <w:rPr>
          <w:rFonts w:ascii="Arial" w:hAnsi="Arial"/>
          <w:b/>
          <w:i w:val="false"/>
          <w:caps w:val="false"/>
          <w:smallCaps w:val="false"/>
          <w:sz w:val="20"/>
        </w:rPr>
      </w:pPr>
      <w:bookmarkStart w:id="43" w:name="ITEM_12_SECURITY_OWNERSHIP_CERTAIN_BENEF"/>
      <w:bookmarkEnd w:id="43"/>
      <w:r>
        <w:rPr>
          <w:rFonts w:ascii="Arial" w:hAnsi="Arial"/>
          <w:b/>
          <w:i w:val="false"/>
          <w:caps w:val="false"/>
          <w:smallCaps w:val="false"/>
          <w:sz w:val="20"/>
        </w:rPr>
        <w:t xml:space="preserve">Item 12. Security Ownership of Certain Beneficial Owners and Management and Related Stockholder Matters. </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information required by this Item 12 will be included in our definitive proxy statement to be filed with the SEC with respect to our 2021 Annual Meeting of Stockholders and is incorporated herein by reference.</w:t>
      </w:r>
    </w:p>
    <w:p>
      <w:pPr>
        <w:pStyle w:val="TextBody"/>
        <w:spacing w:before="120" w:after="0"/>
        <w:rPr>
          <w:rFonts w:ascii="Arial" w:hAnsi="Arial"/>
          <w:b/>
          <w:i w:val="false"/>
          <w:caps w:val="false"/>
          <w:smallCaps w:val="false"/>
          <w:sz w:val="20"/>
        </w:rPr>
      </w:pPr>
      <w:bookmarkStart w:id="44" w:name="ITEM_13_CERTAIN_RELATIONSHIPS_RELATED_TR"/>
      <w:bookmarkEnd w:id="44"/>
      <w:r>
        <w:rPr>
          <w:rFonts w:ascii="Arial" w:hAnsi="Arial"/>
          <w:b/>
          <w:i w:val="false"/>
          <w:caps w:val="false"/>
          <w:smallCaps w:val="false"/>
          <w:sz w:val="20"/>
        </w:rPr>
        <w:t xml:space="preserve">Item 13. Certain Relationships and Related Transactions, and Director Independence. </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information required by this Item 13 will be included in our definitive proxy statement to be filed with the SEC with respect to our 2021 Annual Meeting of Stockholders and is incorporated herein by reference.</w:t>
      </w:r>
    </w:p>
    <w:p>
      <w:pPr>
        <w:pStyle w:val="TextBody"/>
        <w:spacing w:before="120" w:after="0"/>
        <w:rPr>
          <w:rFonts w:ascii="Arial" w:hAnsi="Arial"/>
          <w:b/>
          <w:i w:val="false"/>
          <w:caps w:val="false"/>
          <w:smallCaps w:val="false"/>
          <w:sz w:val="20"/>
        </w:rPr>
      </w:pPr>
      <w:bookmarkStart w:id="45" w:name="ITEM_14_PRINCIPAL_ACCOUNTING_FEES_SERVIC"/>
      <w:bookmarkEnd w:id="45"/>
      <w:r>
        <w:rPr>
          <w:rFonts w:ascii="Arial" w:hAnsi="Arial"/>
          <w:b/>
          <w:i w:val="false"/>
          <w:caps w:val="false"/>
          <w:smallCaps w:val="false"/>
          <w:sz w:val="20"/>
        </w:rPr>
        <w:t xml:space="preserve">Item 14. Principal Accountant Fees and Services. </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information required by this Item 14 will be included in our definitive proxy statement to be filed with the SEC with respect to our 2021 Annual Meeting of Stockholders and is incorporated herein by reference.</w:t>
      </w:r>
    </w:p>
    <w:p>
      <w:pPr>
        <w:pStyle w:val="TextBody"/>
        <w:spacing w:before="240" w:after="0"/>
        <w:jc w:val="center"/>
        <w:rPr>
          <w:rFonts w:ascii="Arial" w:hAnsi="Arial"/>
          <w:b w:val="false"/>
          <w:i w:val="false"/>
          <w:caps w:val="false"/>
          <w:smallCaps w:val="false"/>
          <w:sz w:val="20"/>
        </w:rPr>
      </w:pPr>
      <w:bookmarkStart w:id="46" w:name="_AEIOULastRenderedPageBreakAEIOU9"/>
      <w:bookmarkEnd w:id="46"/>
      <w:r>
        <w:rPr>
          <w:rFonts w:ascii="Arial" w:hAnsi="Arial"/>
          <w:b w:val="false"/>
          <w:i w:val="false"/>
          <w:caps w:val="false"/>
          <w:smallCaps w:val="false"/>
          <w:sz w:val="20"/>
        </w:rPr>
        <w:t>122</w:t>
      </w:r>
    </w:p>
    <w:p>
      <w:pPr>
        <w:pStyle w:val="HorizontalLine"/>
        <w:rPr/>
      </w:pPr>
      <w:r>
        <w:rPr/>
      </w:r>
    </w:p>
    <w:p>
      <w:pPr>
        <w:pStyle w:val="TextBody"/>
        <w:spacing w:before="0" w:after="0"/>
        <w:jc w:val="center"/>
        <w:rPr>
          <w:rFonts w:ascii="Arial" w:hAnsi="Arial"/>
          <w:b/>
          <w:i w:val="false"/>
          <w:caps w:val="false"/>
          <w:smallCaps w:val="false"/>
          <w:sz w:val="20"/>
        </w:rPr>
      </w:pPr>
      <w:bookmarkStart w:id="47" w:name="Part_IV"/>
      <w:bookmarkEnd w:id="47"/>
      <w:r>
        <w:rPr>
          <w:rFonts w:ascii="Arial" w:hAnsi="Arial"/>
          <w:b/>
          <w:i w:val="false"/>
          <w:caps w:val="false"/>
          <w:smallCaps w:val="false"/>
          <w:sz w:val="20"/>
        </w:rPr>
        <w:t xml:space="preserve">PART IV </w:t>
      </w:r>
    </w:p>
    <w:p>
      <w:pPr>
        <w:pStyle w:val="TextBody"/>
        <w:spacing w:before="240" w:after="0"/>
        <w:rPr>
          <w:rFonts w:ascii="Arial" w:hAnsi="Arial"/>
          <w:b/>
          <w:i w:val="false"/>
          <w:caps w:val="false"/>
          <w:smallCaps w:val="false"/>
          <w:sz w:val="20"/>
        </w:rPr>
      </w:pPr>
      <w:bookmarkStart w:id="48" w:name="ITEM_15_EXHIBITS_FINANCIAL_STATEMENT_SCH"/>
      <w:bookmarkEnd w:id="48"/>
      <w:r>
        <w:rPr>
          <w:rFonts w:ascii="Arial" w:hAnsi="Arial"/>
          <w:b/>
          <w:i w:val="false"/>
          <w:caps w:val="false"/>
          <w:smallCaps w:val="false"/>
          <w:sz w:val="20"/>
        </w:rPr>
        <w:t xml:space="preserve">Item 15. Exhibits, Financial Statement Schedules.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        Financial Statements</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following documents are included on pages F-1 through F-23 attached hereto and are filed as part of this Annual Report on Form 10-K.</w:t>
      </w:r>
    </w:p>
    <w:p>
      <w:pPr>
        <w:pStyle w:val="TextBody"/>
        <w:shd w:fill="FFFFFF" w:val="clear"/>
        <w:spacing w:before="0" w:after="0"/>
        <w:rPr/>
      </w:pPr>
      <w:r>
        <w:rPr/>
        <w:t> </w:t>
      </w:r>
    </w:p>
    <w:tbl>
      <w:tblPr>
        <w:tblW w:w="8230" w:type="dxa"/>
        <w:jc w:val="center"/>
        <w:tblInd w:w="0" w:type="dxa"/>
        <w:tblCellMar>
          <w:top w:w="0" w:type="dxa"/>
          <w:left w:w="0" w:type="dxa"/>
          <w:bottom w:w="0" w:type="dxa"/>
          <w:right w:w="0" w:type="dxa"/>
        </w:tblCellMar>
      </w:tblPr>
      <w:tblGrid>
        <w:gridCol w:w="7865"/>
        <w:gridCol w:w="60"/>
        <w:gridCol w:w="305"/>
      </w:tblGrid>
      <w:tr>
        <w:trPr/>
        <w:tc>
          <w:tcPr>
            <w:tcW w:w="7865" w:type="dxa"/>
            <w:tcBorders/>
            <w:shd w:fill="auto" w:val="clear"/>
          </w:tcPr>
          <w:p>
            <w:pPr>
              <w:pStyle w:val="TableContents"/>
              <w:spacing w:before="0" w:after="0"/>
              <w:ind w:left="0" w:right="0" w:hanging="0"/>
              <w:rPr/>
            </w:pPr>
            <w:hyperlink w:anchor="REPORT_INDEPENDENT_REGISTERED_PUBLIC_ACC">
              <w:r>
                <w:rPr>
                  <w:rStyle w:val="InternetLink"/>
                  <w:rFonts w:ascii="Arial" w:hAnsi="Arial"/>
                  <w:b w:val="false"/>
                  <w:i w:val="false"/>
                  <w:caps w:val="false"/>
                  <w:smallCaps w:val="false"/>
                  <w:sz w:val="20"/>
                  <w:u w:val="single"/>
                </w:rPr>
                <w:t>Report of Independent Registered Accounting Firm</w:t>
              </w:r>
            </w:hyperlink>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F-2</w:t>
            </w:r>
          </w:p>
        </w:tc>
      </w:tr>
      <w:tr>
        <w:trPr/>
        <w:tc>
          <w:tcPr>
            <w:tcW w:w="78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pPr>
            <w:r>
              <w:rPr/>
              <w:t> </w:t>
            </w:r>
          </w:p>
        </w:tc>
      </w:tr>
      <w:tr>
        <w:trPr/>
        <w:tc>
          <w:tcPr>
            <w:tcW w:w="7865" w:type="dxa"/>
            <w:tcBorders/>
            <w:shd w:fill="auto" w:val="clear"/>
          </w:tcPr>
          <w:p>
            <w:pPr>
              <w:pStyle w:val="TableContents"/>
              <w:spacing w:before="0" w:after="0"/>
              <w:ind w:left="0" w:right="0" w:hanging="0"/>
              <w:rPr/>
            </w:pPr>
            <w:hyperlink w:anchor="CONSOLIDATED_BALANCE_SHEETS">
              <w:r>
                <w:rPr>
                  <w:rStyle w:val="InternetLink"/>
                  <w:rFonts w:ascii="Arial" w:hAnsi="Arial"/>
                  <w:b w:val="false"/>
                  <w:i w:val="false"/>
                  <w:caps w:val="false"/>
                  <w:smallCaps w:val="false"/>
                  <w:sz w:val="20"/>
                  <w:u w:val="single"/>
                </w:rPr>
                <w:t>Consolidated Balance Sheets</w:t>
              </w:r>
            </w:hyperlink>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F-3</w:t>
            </w:r>
          </w:p>
        </w:tc>
      </w:tr>
      <w:tr>
        <w:trPr/>
        <w:tc>
          <w:tcPr>
            <w:tcW w:w="78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pPr>
            <w:r>
              <w:rPr/>
              <w:t> </w:t>
            </w:r>
          </w:p>
        </w:tc>
      </w:tr>
      <w:tr>
        <w:trPr/>
        <w:tc>
          <w:tcPr>
            <w:tcW w:w="7865" w:type="dxa"/>
            <w:tcBorders/>
            <w:shd w:fill="auto" w:val="clear"/>
          </w:tcPr>
          <w:p>
            <w:pPr>
              <w:pStyle w:val="TableContents"/>
              <w:spacing w:before="0" w:after="0"/>
              <w:ind w:left="0" w:right="0" w:hanging="0"/>
              <w:rPr/>
            </w:pPr>
            <w:hyperlink w:anchor="CONSOLIDATED_STATEMENTS_OPERATIONS_COMPR">
              <w:r>
                <w:rPr>
                  <w:rStyle w:val="InternetLink"/>
                  <w:rFonts w:ascii="Arial" w:hAnsi="Arial"/>
                  <w:b w:val="false"/>
                  <w:i w:val="false"/>
                  <w:caps w:val="false"/>
                  <w:smallCaps w:val="false"/>
                  <w:sz w:val="20"/>
                  <w:u w:val="single"/>
                </w:rPr>
                <w:t>Consolidated Statements of Operations and Comprehensive Loss</w:t>
              </w:r>
            </w:hyperlink>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F-4</w:t>
            </w:r>
          </w:p>
        </w:tc>
      </w:tr>
      <w:tr>
        <w:trPr/>
        <w:tc>
          <w:tcPr>
            <w:tcW w:w="78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pPr>
            <w:r>
              <w:rPr/>
              <w:t> </w:t>
            </w:r>
          </w:p>
        </w:tc>
      </w:tr>
      <w:tr>
        <w:trPr/>
        <w:tc>
          <w:tcPr>
            <w:tcW w:w="7865" w:type="dxa"/>
            <w:tcBorders/>
            <w:shd w:fill="auto" w:val="clear"/>
          </w:tcPr>
          <w:p>
            <w:pPr>
              <w:pStyle w:val="TableContents"/>
              <w:spacing w:before="0" w:after="0"/>
              <w:ind w:left="0" w:right="0" w:hanging="0"/>
              <w:rPr/>
            </w:pPr>
            <w:hyperlink w:anchor="CONSOLIDATED_STATEMENTS_CONVERTIBLE_PREF">
              <w:r>
                <w:rPr>
                  <w:rStyle w:val="InternetLink"/>
                  <w:rFonts w:ascii="Arial" w:hAnsi="Arial"/>
                  <w:b w:val="false"/>
                  <w:i w:val="false"/>
                  <w:caps w:val="false"/>
                  <w:smallCaps w:val="false"/>
                  <w:sz w:val="20"/>
                  <w:u w:val="single"/>
                </w:rPr>
                <w:t>Consolidated Statements of Convertible Preferred Stock and Stockholders’ Equity (Deficit)</w:t>
              </w:r>
            </w:hyperlink>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F-5</w:t>
            </w:r>
          </w:p>
        </w:tc>
      </w:tr>
      <w:tr>
        <w:trPr/>
        <w:tc>
          <w:tcPr>
            <w:tcW w:w="78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pPr>
            <w:r>
              <w:rPr/>
              <w:t> </w:t>
            </w:r>
          </w:p>
        </w:tc>
      </w:tr>
      <w:tr>
        <w:trPr/>
        <w:tc>
          <w:tcPr>
            <w:tcW w:w="7865" w:type="dxa"/>
            <w:tcBorders/>
            <w:shd w:fill="auto" w:val="clear"/>
          </w:tcPr>
          <w:p>
            <w:pPr>
              <w:pStyle w:val="TableContents"/>
              <w:spacing w:before="0" w:after="0"/>
              <w:ind w:left="0" w:right="0" w:hanging="0"/>
              <w:rPr/>
            </w:pPr>
            <w:hyperlink w:anchor="CONSOLIDATED_STATEMENTS_CASH_FLOWS">
              <w:r>
                <w:rPr>
                  <w:rStyle w:val="InternetLink"/>
                  <w:rFonts w:ascii="Arial" w:hAnsi="Arial"/>
                  <w:b w:val="false"/>
                  <w:i w:val="false"/>
                  <w:caps w:val="false"/>
                  <w:smallCaps w:val="false"/>
                  <w:sz w:val="20"/>
                  <w:u w:val="single"/>
                </w:rPr>
                <w:t>Consolidated Statements of Cash Flows</w:t>
              </w:r>
            </w:hyperlink>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F-6</w:t>
            </w:r>
          </w:p>
        </w:tc>
      </w:tr>
      <w:tr>
        <w:trPr/>
        <w:tc>
          <w:tcPr>
            <w:tcW w:w="78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pPr>
            <w:r>
              <w:rPr/>
              <w:t> </w:t>
            </w:r>
          </w:p>
        </w:tc>
      </w:tr>
      <w:tr>
        <w:trPr/>
        <w:tc>
          <w:tcPr>
            <w:tcW w:w="7865" w:type="dxa"/>
            <w:tcBorders/>
            <w:shd w:fill="auto" w:val="clear"/>
          </w:tcPr>
          <w:p>
            <w:pPr>
              <w:pStyle w:val="TableContents"/>
              <w:spacing w:before="0" w:after="0"/>
              <w:ind w:left="0" w:right="0" w:hanging="0"/>
              <w:rPr/>
            </w:pPr>
            <w:hyperlink w:anchor="Notes">
              <w:r>
                <w:rPr>
                  <w:rStyle w:val="InternetLink"/>
                  <w:rFonts w:ascii="Arial" w:hAnsi="Arial"/>
                  <w:b w:val="false"/>
                  <w:i w:val="false"/>
                  <w:caps w:val="false"/>
                  <w:smallCaps w:val="false"/>
                  <w:sz w:val="20"/>
                  <w:u w:val="single"/>
                </w:rPr>
                <w:t>Notes to Consolidated Financial Statements</w:t>
              </w:r>
            </w:hyperlink>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F-7</w:t>
            </w:r>
          </w:p>
        </w:tc>
      </w:tr>
    </w:tbl>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        Financial Statement Schedules</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Schedules have been omitted since they are either not required or not applicable or the information is otherwise included herein.</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        Exhibits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50"/>
        <w:gridCol w:w="60"/>
        <w:gridCol w:w="5779"/>
        <w:gridCol w:w="60"/>
        <w:gridCol w:w="475"/>
        <w:gridCol w:w="60"/>
        <w:gridCol w:w="825"/>
        <w:gridCol w:w="60"/>
        <w:gridCol w:w="575"/>
        <w:gridCol w:w="60"/>
        <w:gridCol w:w="709"/>
        <w:gridCol w:w="60"/>
        <w:gridCol w:w="832"/>
      </w:tblGrid>
      <w:tr>
        <w:trPr/>
        <w:tc>
          <w:tcPr>
            <w:tcW w:w="65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5779" w:type="dxa"/>
            <w:tcBorders/>
            <w:shd w:fill="auto" w:val="cle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2764" w:type="dxa"/>
            <w:gridSpan w:val="7"/>
            <w:tcBorders>
              <w:bottom w:val="single" w:sz="6" w:space="0" w:color="000000"/>
            </w:tcBorders>
            <w:shd w:fill="auto"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Incorporated by Reference</w:t>
            </w:r>
          </w:p>
        </w:tc>
        <w:tc>
          <w:tcPr>
            <w:tcW w:w="60" w:type="dxa"/>
            <w:tcBorders/>
            <w:shd w:fill="auto" w:val="clear"/>
            <w:vAlign w:val="bottom"/>
          </w:tcPr>
          <w:p>
            <w:pPr>
              <w:pStyle w:val="TableContents"/>
              <w:spacing w:before="0" w:after="0"/>
              <w:ind w:left="0" w:right="0" w:hanging="0"/>
              <w:jc w:val="center"/>
              <w:rPr/>
            </w:pPr>
            <w:r>
              <w:rPr/>
              <w:t> </w:t>
            </w:r>
          </w:p>
        </w:tc>
        <w:tc>
          <w:tcPr>
            <w:tcW w:w="832"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Filed/</w:t>
            </w:r>
          </w:p>
        </w:tc>
      </w:tr>
      <w:tr>
        <w:trPr/>
        <w:tc>
          <w:tcPr>
            <w:tcW w:w="650" w:type="dxa"/>
            <w:tcBorders>
              <w:bottom w:val="single" w:sz="6" w:space="0" w:color="000000"/>
            </w:tcBorders>
            <w:shd w:fill="auto" w:val="clear"/>
            <w:tcMar>
              <w:bottom w:w="28" w:type="dxa"/>
            </w:tcMar>
            <w:vAlign w:val="bottom"/>
          </w:tcPr>
          <w:p>
            <w:pPr>
              <w:pStyle w:val="TableContents"/>
              <w:spacing w:before="0" w:after="0"/>
              <w:ind w:left="0" w:right="0" w:hanging="0"/>
              <w:rPr>
                <w:rFonts w:ascii="Arial" w:hAnsi="Arial"/>
                <w:b/>
                <w:i w:val="false"/>
                <w:caps w:val="false"/>
                <w:smallCaps w:val="false"/>
                <w:sz w:val="16"/>
              </w:rPr>
            </w:pPr>
            <w:r>
              <w:rPr>
                <w:rFonts w:ascii="Arial" w:hAnsi="Arial"/>
                <w:b/>
                <w:i w:val="false"/>
                <w:caps w:val="false"/>
                <w:smallCaps w:val="false"/>
                <w:sz w:val="16"/>
              </w:rPr>
              <w:t>Exhibit</w:t>
            </w:r>
          </w:p>
          <w:p>
            <w:pPr>
              <w:pStyle w:val="TableContents"/>
              <w:spacing w:before="0" w:after="0"/>
              <w:ind w:left="0" w:right="0" w:hanging="0"/>
              <w:rPr>
                <w:rFonts w:ascii="Arial" w:hAnsi="Arial"/>
                <w:b/>
                <w:i w:val="false"/>
                <w:caps w:val="false"/>
                <w:smallCaps w:val="false"/>
                <w:sz w:val="16"/>
              </w:rPr>
            </w:pPr>
            <w:r>
              <w:rPr>
                <w:rFonts w:ascii="Arial" w:hAnsi="Arial"/>
                <w:b/>
                <w:i w:val="false"/>
                <w:caps w:val="false"/>
                <w:smallCaps w:val="false"/>
                <w:sz w:val="16"/>
              </w:rPr>
              <w:t>Number</w:t>
            </w:r>
          </w:p>
        </w:tc>
        <w:tc>
          <w:tcPr>
            <w:tcW w:w="60" w:type="dxa"/>
            <w:tcBorders/>
            <w:shd w:fill="auto" w:val="clear"/>
            <w:vAlign w:val="bottom"/>
          </w:tcPr>
          <w:p>
            <w:pPr>
              <w:pStyle w:val="TableContents"/>
              <w:spacing w:before="0" w:after="0"/>
              <w:ind w:left="0" w:right="0" w:hanging="0"/>
              <w:jc w:val="center"/>
              <w:rPr/>
            </w:pPr>
            <w:r>
              <w:rPr/>
              <w:t> </w:t>
            </w:r>
          </w:p>
        </w:tc>
        <w:tc>
          <w:tcPr>
            <w:tcW w:w="5779"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Exhibit Description</w:t>
            </w:r>
          </w:p>
        </w:tc>
        <w:tc>
          <w:tcPr>
            <w:tcW w:w="60" w:type="dxa"/>
            <w:tcBorders/>
            <w:shd w:fill="auto" w:val="clear"/>
            <w:vAlign w:val="bottom"/>
          </w:tcPr>
          <w:p>
            <w:pPr>
              <w:pStyle w:val="TableContents"/>
              <w:spacing w:before="0" w:after="0"/>
              <w:ind w:left="0" w:right="0" w:hanging="0"/>
              <w:jc w:val="center"/>
              <w:rPr/>
            </w:pPr>
            <w:r>
              <w:rPr/>
              <w:t> </w:t>
            </w:r>
          </w:p>
        </w:tc>
        <w:tc>
          <w:tcPr>
            <w:tcW w:w="47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Form</w:t>
            </w:r>
          </w:p>
        </w:tc>
        <w:tc>
          <w:tcPr>
            <w:tcW w:w="6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82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File No.</w:t>
            </w:r>
          </w:p>
        </w:tc>
        <w:tc>
          <w:tcPr>
            <w:tcW w:w="6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57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Exhibit</w:t>
            </w:r>
          </w:p>
        </w:tc>
        <w:tc>
          <w:tcPr>
            <w:tcW w:w="6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709"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Filing</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Date</w:t>
            </w:r>
          </w:p>
        </w:tc>
        <w:tc>
          <w:tcPr>
            <w:tcW w:w="60" w:type="dxa"/>
            <w:tcBorders/>
            <w:shd w:fill="auto" w:val="clear"/>
            <w:vAlign w:val="bottom"/>
          </w:tcPr>
          <w:p>
            <w:pPr>
              <w:pStyle w:val="TableContents"/>
              <w:spacing w:before="0" w:after="0"/>
              <w:ind w:left="0" w:right="0" w:hanging="0"/>
              <w:jc w:val="center"/>
              <w:rPr/>
            </w:pPr>
            <w:r>
              <w:rPr/>
              <w:t> </w:t>
            </w:r>
          </w:p>
        </w:tc>
        <w:tc>
          <w:tcPr>
            <w:tcW w:w="832"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Furnished</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Herewith</w:t>
            </w:r>
          </w:p>
        </w:tc>
      </w:tr>
      <w:tr>
        <w:trPr/>
        <w:tc>
          <w:tcPr>
            <w:tcW w:w="650"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0" w:type="dxa"/>
            <w:tcBorders/>
            <w:shd w:fill="auto" w:val="cle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20"/>
              </w:rPr>
              <w:t>3.1</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r:id="rId14">
              <w:r>
                <w:rPr>
                  <w:rStyle w:val="InternetLink"/>
                  <w:rFonts w:ascii="Arial" w:hAnsi="Arial"/>
                  <w:b w:val="false"/>
                  <w:i w:val="false"/>
                  <w:caps w:val="false"/>
                  <w:smallCaps w:val="false"/>
                  <w:sz w:val="20"/>
                  <w:u w:val="single"/>
                </w:rPr>
                <w:t>Restated Certificate of Incorporation.</w:t>
              </w:r>
            </w:hyperlink>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8-K</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001-39661</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3.1</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11/5/2020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0" w:type="dxa"/>
            <w:tcBorders/>
            <w:shd w:fill="auto" w:val="cle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20"/>
              </w:rPr>
              <w:t>3.2</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r:id="rId15">
              <w:r>
                <w:rPr>
                  <w:rStyle w:val="InternetLink"/>
                  <w:rFonts w:ascii="Arial" w:hAnsi="Arial"/>
                  <w:b w:val="false"/>
                  <w:i w:val="false"/>
                  <w:caps w:val="false"/>
                  <w:smallCaps w:val="false"/>
                  <w:sz w:val="20"/>
                  <w:u w:val="single"/>
                </w:rPr>
                <w:t>Amended and Restated Bylaws.</w:t>
              </w:r>
            </w:hyperlink>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8-K</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001-39661</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3.2</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11/5/2020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0" w:type="dxa"/>
            <w:tcBorders/>
            <w:shd w:fill="auto" w:val="cle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20"/>
              </w:rPr>
              <w:t>4.1</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r:id="rId16">
              <w:r>
                <w:rPr>
                  <w:rStyle w:val="InternetLink"/>
                </w:rPr>
                <w:t>Specimen Stock Certificate evidencing the shares of common stock</w:t>
              </w:r>
            </w:hyperlink>
            <w:r>
              <w:rPr>
                <w:rFonts w:ascii="Arial" w:hAnsi="Arial"/>
                <w:b w:val="false"/>
                <w:i w:val="false"/>
                <w:caps w:val="false"/>
                <w:smallCaps w:val="false"/>
                <w:color w:val="0563C1"/>
                <w:sz w:val="20"/>
                <w:u w:val="single"/>
              </w:rPr>
              <w:t xml:space="preserve"> </w:t>
            </w:r>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4.2</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10/9/2020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0" w:type="dxa"/>
            <w:tcBorders/>
            <w:shd w:fill="auto" w:val="cle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20"/>
              </w:rPr>
              <w:t>4.2</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w:anchor="avir-ex42_366.htm">
              <w:r>
                <w:rPr>
                  <w:rStyle w:val="InternetLink"/>
                  <w:rFonts w:ascii="Arial" w:hAnsi="Arial"/>
                  <w:b w:val="false"/>
                  <w:i w:val="false"/>
                  <w:caps w:val="false"/>
                  <w:smallCaps w:val="false"/>
                  <w:sz w:val="20"/>
                  <w:u w:val="single"/>
                </w:rPr>
                <w:t>Description of Capital Stock</w:t>
              </w:r>
            </w:hyperlink>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650" w:type="dxa"/>
            <w:tcBorders/>
            <w:shd w:fill="auto" w:val="cle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20"/>
              </w:rPr>
              <w:t>4.3</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r:id="rId17">
              <w:r>
                <w:rPr>
                  <w:rStyle w:val="InternetLink"/>
                  <w:rFonts w:ascii="Arial" w:hAnsi="Arial"/>
                  <w:b w:val="false"/>
                  <w:i w:val="false"/>
                  <w:caps w:val="false"/>
                  <w:smallCaps w:val="false"/>
                  <w:sz w:val="20"/>
                  <w:u w:val="single"/>
                </w:rPr>
                <w:t>Fourth Amended and Restated Stockholders Agreement, as amended</w:t>
              </w:r>
            </w:hyperlink>
            <w:r>
              <w:rPr>
                <w:rFonts w:ascii="Arial" w:hAnsi="Arial"/>
                <w:b w:val="false"/>
                <w:i w:val="false"/>
                <w:caps w:val="false"/>
                <w:smallCaps w:val="false"/>
                <w:sz w:val="20"/>
              </w:rPr>
              <w:t xml:space="preserve"> </w:t>
            </w:r>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4.1</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10/23/2020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0"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r:id="rId18">
              <w:r>
                <w:rPr>
                  <w:rStyle w:val="InternetLink"/>
                  <w:rFonts w:ascii="Arial" w:hAnsi="Arial"/>
                  <w:b w:val="false"/>
                  <w:i w:val="false"/>
                  <w:caps w:val="false"/>
                  <w:smallCaps w:val="false"/>
                  <w:color w:val="0563C1"/>
                  <w:sz w:val="20"/>
                  <w:u w:val="single"/>
                </w:rPr>
                <w:t>2020 Incentive Award Plan and form of agreements thereunder</w:t>
              </w:r>
            </w:hyperlink>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0"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10.2</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r:id="rId19">
              <w:r>
                <w:rPr>
                  <w:rStyle w:val="InternetLink"/>
                  <w:rFonts w:ascii="Arial" w:hAnsi="Arial"/>
                  <w:b w:val="false"/>
                  <w:i w:val="false"/>
                  <w:caps w:val="false"/>
                  <w:smallCaps w:val="false"/>
                  <w:color w:val="0563C1"/>
                  <w:sz w:val="20"/>
                  <w:u w:val="single"/>
                </w:rPr>
                <w:t>2020 Employee Stock Purchase Plan</w:t>
              </w:r>
            </w:hyperlink>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10.3</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0"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10.3</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r:id="rId20">
              <w:r>
                <w:rPr>
                  <w:rStyle w:val="InternetLink"/>
                  <w:rFonts w:ascii="Arial" w:hAnsi="Arial"/>
                  <w:b w:val="false"/>
                  <w:i w:val="false"/>
                  <w:caps w:val="false"/>
                  <w:smallCaps w:val="false"/>
                  <w:color w:val="0563C1"/>
                  <w:sz w:val="20"/>
                  <w:u w:val="single"/>
                </w:rPr>
                <w:t>Non-Employee Director Compensation Program</w:t>
              </w:r>
            </w:hyperlink>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10.4</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0"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10.4</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r:id="rId21">
              <w:r>
                <w:rPr>
                  <w:rStyle w:val="InternetLink"/>
                  <w:rFonts w:ascii="Arial" w:hAnsi="Arial"/>
                  <w:b w:val="false"/>
                  <w:i w:val="false"/>
                  <w:caps w:val="false"/>
                  <w:smallCaps w:val="false"/>
                  <w:color w:val="0563C1"/>
                  <w:sz w:val="20"/>
                  <w:u w:val="single"/>
                </w:rPr>
                <w:t>Form of Indemnification Agreement for Directors and Officers</w:t>
              </w:r>
            </w:hyperlink>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10.5</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0"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10.5</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r:id="rId22">
              <w:r>
                <w:rPr>
                  <w:rStyle w:val="InternetLink"/>
                  <w:rFonts w:ascii="Arial" w:hAnsi="Arial"/>
                  <w:b w:val="false"/>
                  <w:i w:val="false"/>
                  <w:caps w:val="false"/>
                  <w:smallCaps w:val="false"/>
                  <w:color w:val="0563C1"/>
                  <w:sz w:val="20"/>
                  <w:u w:val="single"/>
                </w:rPr>
                <w:t>License Agreement, dated as of October 21, 2020, among the Registrant, F. Hoffmann-La Roche Ltd and Genentech, Inc.</w:t>
              </w:r>
            </w:hyperlink>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10.8</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10/23/2020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0" w:type="dxa"/>
            <w:tcBorders/>
            <w:shd w:fill="auto" w:val="clear"/>
          </w:tcPr>
          <w:p>
            <w:pPr>
              <w:pStyle w:val="TableContents"/>
              <w:spacing w:before="0" w:after="0"/>
              <w:ind w:left="0" w:right="0" w:hanging="0"/>
              <w:rPr>
                <w:rFonts w:ascii="Arial" w:hAnsi="Arial"/>
                <w:b w:val="false"/>
                <w:i w:val="false"/>
                <w:caps w:val="false"/>
                <w:smallCaps w:val="false"/>
                <w:sz w:val="20"/>
              </w:rPr>
            </w:pPr>
            <w:bookmarkStart w:id="49" w:name="_Hlk67853801"/>
            <w:bookmarkEnd w:id="49"/>
            <w:r>
              <w:rPr>
                <w:rFonts w:ascii="Arial" w:hAnsi="Arial"/>
                <w:b w:val="false"/>
                <w:i w:val="false"/>
                <w:caps w:val="false"/>
                <w:smallCaps w:val="false"/>
                <w:sz w:val="20"/>
              </w:rPr>
              <w:t>10.6</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r:id="rId23">
              <w:r>
                <w:rPr>
                  <w:rStyle w:val="InternetLink"/>
                </w:rPr>
                <w:t>Employment Agreement between the Company and Jean-Pierre Sommadossi, Ph.D., dated October 25, 2020</w:t>
              </w:r>
            </w:hyperlink>
            <w:r>
              <w:rPr>
                <w:rFonts w:ascii="Arial" w:hAnsi="Arial"/>
                <w:b w:val="false"/>
                <w:i w:val="false"/>
                <w:caps w:val="false"/>
                <w:smallCaps w:val="false"/>
                <w:color w:val="0563C1"/>
                <w:sz w:val="20"/>
                <w:u w:val="single"/>
              </w:rPr>
              <w:t xml:space="preserve"> </w:t>
            </w:r>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10.9</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0"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10.7</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r:id="rId24">
              <w:r>
                <w:rPr>
                  <w:rStyle w:val="InternetLink"/>
                </w:rPr>
                <w:t>Employment Agreement between the Company and Andrea Corcoran, dated October 25, 2020</w:t>
              </w:r>
            </w:hyperlink>
            <w:r>
              <w:rPr>
                <w:rFonts w:ascii="Arial" w:hAnsi="Arial"/>
                <w:b w:val="false"/>
                <w:i w:val="false"/>
                <w:caps w:val="false"/>
                <w:smallCaps w:val="false"/>
                <w:color w:val="0563C1"/>
                <w:sz w:val="20"/>
                <w:u w:val="single"/>
              </w:rPr>
              <w:t xml:space="preserve"> </w:t>
            </w:r>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10.10</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0"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10.8</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w:anchor="avir-ex108_178.htm">
              <w:r>
                <w:rPr>
                  <w:rStyle w:val="InternetLink"/>
                  <w:rFonts w:ascii="Arial" w:hAnsi="Arial"/>
                  <w:b w:val="false"/>
                  <w:i w:val="false"/>
                  <w:caps w:val="false"/>
                  <w:smallCaps w:val="false"/>
                  <w:sz w:val="20"/>
                  <w:u w:val="single"/>
                </w:rPr>
                <w:t>Employment Agreement between the Company and Janet Hammond, MD, PhD, dated November 3, 2020</w:t>
              </w:r>
            </w:hyperlink>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650" w:type="dxa"/>
            <w:tcBorders/>
            <w:shd w:fill="auto" w:val="clear"/>
          </w:tcPr>
          <w:p>
            <w:pPr>
              <w:pStyle w:val="TableContents"/>
              <w:spacing w:before="0" w:after="0"/>
              <w:ind w:left="0" w:right="0" w:hanging="0"/>
              <w:rPr>
                <w:rFonts w:ascii="Arial" w:hAnsi="Arial"/>
                <w:b w:val="false"/>
                <w:i w:val="false"/>
                <w:caps w:val="false"/>
                <w:smallCaps w:val="false"/>
                <w:sz w:val="20"/>
              </w:rPr>
            </w:pPr>
            <w:bookmarkStart w:id="50" w:name="_Hlk66721042"/>
            <w:bookmarkEnd w:id="50"/>
            <w:r>
              <w:rPr>
                <w:rFonts w:ascii="Arial" w:hAnsi="Arial"/>
                <w:b w:val="false"/>
                <w:i w:val="false"/>
                <w:caps w:val="false"/>
                <w:smallCaps w:val="false"/>
                <w:sz w:val="20"/>
              </w:rPr>
              <w:t>10.9</w:t>
            </w:r>
          </w:p>
        </w:tc>
        <w:tc>
          <w:tcPr>
            <w:tcW w:w="60" w:type="dxa"/>
            <w:tcBorders/>
            <w:shd w:fill="auto" w:val="clear"/>
            <w:vAlign w:val="bottom"/>
          </w:tcPr>
          <w:p>
            <w:pPr>
              <w:pStyle w:val="TableContents"/>
              <w:spacing w:before="0" w:after="0"/>
              <w:ind w:left="0" w:right="0" w:hanging="0"/>
              <w:rPr/>
            </w:pPr>
            <w:r>
              <w:rPr/>
              <w:t> </w:t>
            </w:r>
          </w:p>
        </w:tc>
        <w:tc>
          <w:tcPr>
            <w:tcW w:w="5779" w:type="dxa"/>
            <w:tcBorders/>
            <w:shd w:fill="auto" w:val="clear"/>
          </w:tcPr>
          <w:p>
            <w:pPr>
              <w:pStyle w:val="TableContents"/>
              <w:spacing w:before="0" w:after="0"/>
              <w:ind w:left="0" w:right="0" w:hanging="0"/>
              <w:rPr/>
            </w:pPr>
            <w:hyperlink w:anchor="avir-ex109_177.htm">
              <w:r>
                <w:rPr>
                  <w:rStyle w:val="InternetLink"/>
                  <w:rFonts w:ascii="Arial" w:hAnsi="Arial"/>
                  <w:b w:val="false"/>
                  <w:i w:val="false"/>
                  <w:caps w:val="false"/>
                  <w:smallCaps w:val="false"/>
                  <w:sz w:val="20"/>
                  <w:u w:val="single"/>
                </w:rPr>
                <w:t>Employment Agreement between the Company and Arantxa Horga, MD, dated November 3, 2020</w:t>
              </w:r>
            </w:hyperlink>
          </w:p>
        </w:tc>
        <w:tc>
          <w:tcPr>
            <w:tcW w:w="60" w:type="dxa"/>
            <w:tcBorders/>
            <w:shd w:fill="auto" w:val="clear"/>
            <w:vAlign w:val="bottom"/>
          </w:tcPr>
          <w:p>
            <w:pPr>
              <w:pStyle w:val="TableContents"/>
              <w:spacing w:before="0" w:after="0"/>
              <w:ind w:left="0" w:right="0" w:hanging="0"/>
              <w:rPr/>
            </w:pPr>
            <w:r>
              <w:rPr/>
              <w:t> </w:t>
            </w:r>
          </w:p>
        </w:tc>
        <w:tc>
          <w:tcPr>
            <w:tcW w:w="4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0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123</w:t>
      </w:r>
    </w:p>
    <w:p>
      <w:pPr>
        <w:pStyle w:val="HorizontalLine"/>
        <w:rPr/>
      </w:pPr>
      <w:r>
        <w:rPr/>
      </w:r>
    </w:p>
    <w:tbl>
      <w:tblPr>
        <w:tblW w:w="10205" w:type="dxa"/>
        <w:jc w:val="left"/>
        <w:tblInd w:w="0" w:type="dxa"/>
        <w:tblCellMar>
          <w:top w:w="0" w:type="dxa"/>
          <w:left w:w="0" w:type="dxa"/>
          <w:bottom w:w="0" w:type="dxa"/>
          <w:right w:w="0" w:type="dxa"/>
        </w:tblCellMar>
      </w:tblPr>
      <w:tblGrid>
        <w:gridCol w:w="742"/>
        <w:gridCol w:w="60"/>
        <w:gridCol w:w="5546"/>
        <w:gridCol w:w="60"/>
        <w:gridCol w:w="486"/>
        <w:gridCol w:w="60"/>
        <w:gridCol w:w="881"/>
        <w:gridCol w:w="60"/>
        <w:gridCol w:w="575"/>
        <w:gridCol w:w="60"/>
        <w:gridCol w:w="784"/>
        <w:gridCol w:w="60"/>
        <w:gridCol w:w="831"/>
      </w:tblGrid>
      <w:tr>
        <w:trPr/>
        <w:tc>
          <w:tcPr>
            <w:tcW w:w="742"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5546" w:type="dxa"/>
            <w:tcBorders/>
            <w:shd w:fill="auto" w:val="cle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2906" w:type="dxa"/>
            <w:gridSpan w:val="7"/>
            <w:tcBorders>
              <w:bottom w:val="single" w:sz="6" w:space="0" w:color="000000"/>
            </w:tcBorders>
            <w:shd w:fill="auto"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Incorporated by Reference</w:t>
            </w:r>
          </w:p>
        </w:tc>
        <w:tc>
          <w:tcPr>
            <w:tcW w:w="60" w:type="dxa"/>
            <w:tcBorders/>
            <w:shd w:fill="auto" w:val="clear"/>
            <w:vAlign w:val="bottom"/>
          </w:tcPr>
          <w:p>
            <w:pPr>
              <w:pStyle w:val="TableContents"/>
              <w:spacing w:before="0" w:after="0"/>
              <w:ind w:left="0" w:right="0" w:hanging="0"/>
              <w:jc w:val="center"/>
              <w:rPr/>
            </w:pPr>
            <w:r>
              <w:rPr/>
              <w:t> </w:t>
            </w:r>
          </w:p>
        </w:tc>
        <w:tc>
          <w:tcPr>
            <w:tcW w:w="831"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Filed/</w:t>
            </w:r>
          </w:p>
        </w:tc>
      </w:tr>
      <w:tr>
        <w:trPr/>
        <w:tc>
          <w:tcPr>
            <w:tcW w:w="742" w:type="dxa"/>
            <w:tcBorders>
              <w:bottom w:val="single" w:sz="6" w:space="0" w:color="000000"/>
            </w:tcBorders>
            <w:shd w:fill="auto" w:val="clear"/>
            <w:tcMar>
              <w:bottom w:w="28" w:type="dxa"/>
            </w:tcMar>
            <w:vAlign w:val="bottom"/>
          </w:tcPr>
          <w:p>
            <w:pPr>
              <w:pStyle w:val="TableContents"/>
              <w:spacing w:before="0" w:after="0"/>
              <w:ind w:left="0" w:right="0" w:hanging="0"/>
              <w:rPr>
                <w:rFonts w:ascii="Arial" w:hAnsi="Arial"/>
                <w:b/>
                <w:i w:val="false"/>
                <w:caps w:val="false"/>
                <w:smallCaps w:val="false"/>
                <w:sz w:val="16"/>
              </w:rPr>
            </w:pPr>
            <w:r>
              <w:rPr>
                <w:rFonts w:ascii="Arial" w:hAnsi="Arial"/>
                <w:b/>
                <w:i w:val="false"/>
                <w:caps w:val="false"/>
                <w:smallCaps w:val="false"/>
                <w:sz w:val="16"/>
              </w:rPr>
              <w:t>Exhibit</w:t>
            </w:r>
          </w:p>
          <w:p>
            <w:pPr>
              <w:pStyle w:val="TableContents"/>
              <w:spacing w:before="0" w:after="0"/>
              <w:ind w:left="0" w:right="0" w:hanging="0"/>
              <w:rPr>
                <w:rFonts w:ascii="Arial" w:hAnsi="Arial"/>
                <w:b/>
                <w:i w:val="false"/>
                <w:caps w:val="false"/>
                <w:smallCaps w:val="false"/>
                <w:sz w:val="16"/>
              </w:rPr>
            </w:pPr>
            <w:r>
              <w:rPr>
                <w:rFonts w:ascii="Arial" w:hAnsi="Arial"/>
                <w:b/>
                <w:i w:val="false"/>
                <w:caps w:val="false"/>
                <w:smallCaps w:val="false"/>
                <w:sz w:val="16"/>
              </w:rPr>
              <w:t>Number</w:t>
            </w:r>
          </w:p>
        </w:tc>
        <w:tc>
          <w:tcPr>
            <w:tcW w:w="60" w:type="dxa"/>
            <w:tcBorders/>
            <w:shd w:fill="auto" w:val="clear"/>
            <w:vAlign w:val="bottom"/>
          </w:tcPr>
          <w:p>
            <w:pPr>
              <w:pStyle w:val="TableContents"/>
              <w:spacing w:before="0" w:after="0"/>
              <w:ind w:left="0" w:right="0" w:hanging="0"/>
              <w:jc w:val="center"/>
              <w:rPr/>
            </w:pPr>
            <w:r>
              <w:rPr/>
              <w:t> </w:t>
            </w:r>
          </w:p>
        </w:tc>
        <w:tc>
          <w:tcPr>
            <w:tcW w:w="5546"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Exhibit Description</w:t>
            </w:r>
          </w:p>
        </w:tc>
        <w:tc>
          <w:tcPr>
            <w:tcW w:w="60" w:type="dxa"/>
            <w:tcBorders/>
            <w:shd w:fill="auto" w:val="clear"/>
            <w:vAlign w:val="bottom"/>
          </w:tcPr>
          <w:p>
            <w:pPr>
              <w:pStyle w:val="TableContents"/>
              <w:spacing w:before="0" w:after="0"/>
              <w:ind w:left="0" w:right="0" w:hanging="0"/>
              <w:jc w:val="center"/>
              <w:rPr/>
            </w:pPr>
            <w:r>
              <w:rPr/>
              <w:t> </w:t>
            </w:r>
          </w:p>
        </w:tc>
        <w:tc>
          <w:tcPr>
            <w:tcW w:w="486"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Form</w:t>
            </w:r>
          </w:p>
        </w:tc>
        <w:tc>
          <w:tcPr>
            <w:tcW w:w="6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881"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File No.</w:t>
            </w:r>
          </w:p>
        </w:tc>
        <w:tc>
          <w:tcPr>
            <w:tcW w:w="6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57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Exhibit</w:t>
            </w:r>
          </w:p>
        </w:tc>
        <w:tc>
          <w:tcPr>
            <w:tcW w:w="6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784"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Filing</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Date</w:t>
            </w:r>
          </w:p>
        </w:tc>
        <w:tc>
          <w:tcPr>
            <w:tcW w:w="60" w:type="dxa"/>
            <w:tcBorders/>
            <w:shd w:fill="auto" w:val="clear"/>
            <w:vAlign w:val="bottom"/>
          </w:tcPr>
          <w:p>
            <w:pPr>
              <w:pStyle w:val="TableContents"/>
              <w:spacing w:before="0" w:after="0"/>
              <w:ind w:left="0" w:right="0" w:hanging="0"/>
              <w:jc w:val="center"/>
              <w:rPr/>
            </w:pPr>
            <w:r>
              <w:rPr/>
              <w:t> </w:t>
            </w:r>
          </w:p>
        </w:tc>
        <w:tc>
          <w:tcPr>
            <w:tcW w:w="831"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Furnished</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Herewith</w:t>
            </w:r>
          </w:p>
        </w:tc>
      </w:tr>
      <w:tr>
        <w:trPr/>
        <w:tc>
          <w:tcPr>
            <w:tcW w:w="742"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pPr>
            <w:r>
              <w:rPr/>
              <w:t> </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10.10</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pPr>
            <w:hyperlink w:anchor="avir-ex1010_175.htm">
              <w:r>
                <w:rPr>
                  <w:rStyle w:val="InternetLink"/>
                  <w:rFonts w:ascii="Arial" w:hAnsi="Arial"/>
                  <w:b w:val="false"/>
                  <w:i w:val="false"/>
                  <w:caps w:val="false"/>
                  <w:smallCaps w:val="false"/>
                  <w:sz w:val="20"/>
                  <w:u w:val="single"/>
                </w:rPr>
                <w:t>Employment Agreement between the Company and John Vavricka, dated November 3, 2020</w:t>
              </w:r>
            </w:hyperlink>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10.11</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pPr>
            <w:hyperlink w:anchor="avir-ex1011_176.htm">
              <w:r>
                <w:rPr>
                  <w:rStyle w:val="InternetLink"/>
                  <w:rFonts w:ascii="Arial" w:hAnsi="Arial"/>
                  <w:b w:val="false"/>
                  <w:i w:val="false"/>
                  <w:caps w:val="false"/>
                  <w:smallCaps w:val="false"/>
                  <w:sz w:val="20"/>
                  <w:u w:val="single"/>
                </w:rPr>
                <w:t>Employment Agreement between the Company and Wayne Foster, dated November 3, 2020</w:t>
              </w:r>
            </w:hyperlink>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10.12</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pPr>
            <w:hyperlink r:id="rId25">
              <w:r>
                <w:rPr>
                  <w:rStyle w:val="InternetLink"/>
                  <w:rFonts w:ascii="Arial" w:hAnsi="Arial"/>
                  <w:b w:val="false"/>
                  <w:i w:val="false"/>
                  <w:caps w:val="false"/>
                  <w:smallCaps w:val="false"/>
                  <w:sz w:val="20"/>
                  <w:u w:val="single"/>
                </w:rPr>
                <w:t>2013 Stock Incentive Plan, as amended, and form of agreements thereunder</w:t>
              </w:r>
            </w:hyperlink>
            <w:r>
              <w:rPr>
                <w:rFonts w:ascii="Arial" w:hAnsi="Arial"/>
                <w:b w:val="false"/>
                <w:i w:val="false"/>
                <w:caps w:val="false"/>
                <w:smallCaps w:val="false"/>
                <w:sz w:val="20"/>
              </w:rPr>
              <w:t xml:space="preserve"> </w:t>
            </w:r>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10.1</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10/9/2020</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pPr>
            <w:r>
              <w:rPr/>
              <w:t> </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10.13</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pPr>
            <w:hyperlink r:id="rId26">
              <w:r>
                <w:rPr>
                  <w:rStyle w:val="InternetLink"/>
                  <w:rFonts w:ascii="Arial" w:hAnsi="Arial"/>
                  <w:b w:val="false"/>
                  <w:i w:val="false"/>
                  <w:caps w:val="false"/>
                  <w:smallCaps w:val="false"/>
                  <w:sz w:val="20"/>
                  <w:u w:val="single"/>
                </w:rPr>
                <w:t>Lease Agreement between the Registrant and OPG 125 SUMMER OWNER (DE) LLC</w:t>
              </w:r>
            </w:hyperlink>
            <w:r>
              <w:rPr>
                <w:rFonts w:ascii="Arial" w:hAnsi="Arial"/>
                <w:b w:val="false"/>
                <w:i w:val="false"/>
                <w:caps w:val="false"/>
                <w:smallCaps w:val="false"/>
                <w:sz w:val="20"/>
              </w:rPr>
              <w:t xml:space="preserve"> </w:t>
            </w:r>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10.5</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pPr>
            <w:r>
              <w:rPr/>
              <w:t> </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21.1</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pPr>
            <w:hyperlink w:anchor="avir-ex211_174.htm">
              <w:r>
                <w:rPr>
                  <w:rStyle w:val="InternetLink"/>
                  <w:rFonts w:ascii="Arial" w:hAnsi="Arial"/>
                  <w:b w:val="false"/>
                  <w:i w:val="false"/>
                  <w:caps w:val="false"/>
                  <w:smallCaps w:val="false"/>
                  <w:sz w:val="20"/>
                  <w:u w:val="single"/>
                </w:rPr>
                <w:t>List of Subsidiaries of the Registrant</w:t>
              </w:r>
            </w:hyperlink>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23.1</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pPr>
            <w:hyperlink w:anchor="avir-ex231_173.htm">
              <w:r>
                <w:rPr>
                  <w:rStyle w:val="InternetLink"/>
                  <w:rFonts w:ascii="Arial" w:hAnsi="Arial"/>
                  <w:b w:val="false"/>
                  <w:i w:val="false"/>
                  <w:caps w:val="false"/>
                  <w:smallCaps w:val="false"/>
                  <w:sz w:val="20"/>
                  <w:u w:val="single"/>
                </w:rPr>
                <w:t>Consent of Independent Registered Public Accounting Firm</w:t>
              </w:r>
            </w:hyperlink>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31.1</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pPr>
            <w:hyperlink w:anchor="avir-ex311_677.htm">
              <w:r>
                <w:rPr>
                  <w:rStyle w:val="InternetLink"/>
                  <w:rFonts w:ascii="Arial" w:hAnsi="Arial"/>
                  <w:b w:val="false"/>
                  <w:i w:val="false"/>
                  <w:caps w:val="false"/>
                  <w:smallCaps w:val="false"/>
                  <w:sz w:val="20"/>
                  <w:u w:val="single"/>
                </w:rPr>
                <w:t>Certification of Chief Executive Officer pursuant to Rule 13a-14(a)/15d-14(a).</w:t>
              </w:r>
            </w:hyperlink>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31.2</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pPr>
            <w:hyperlink w:anchor="avir-ex312_676.htm">
              <w:r>
                <w:rPr>
                  <w:rStyle w:val="InternetLink"/>
                  <w:rFonts w:ascii="Arial" w:hAnsi="Arial"/>
                  <w:b w:val="false"/>
                  <w:i w:val="false"/>
                  <w:caps w:val="false"/>
                  <w:smallCaps w:val="false"/>
                  <w:sz w:val="20"/>
                  <w:u w:val="single"/>
                </w:rPr>
                <w:t>Certification of Chief Financial Officer pursuant to Rule 13a-14(a)/15d-14(a).</w:t>
              </w:r>
            </w:hyperlink>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32.1</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pPr>
            <w:hyperlink w:anchor="avir-ex321_8.htm">
              <w:r>
                <w:rPr>
                  <w:rStyle w:val="InternetLink"/>
                  <w:rFonts w:ascii="Arial" w:hAnsi="Arial"/>
                  <w:b w:val="false"/>
                  <w:i w:val="false"/>
                  <w:caps w:val="false"/>
                  <w:smallCaps w:val="false"/>
                  <w:sz w:val="20"/>
                  <w:u w:val="single"/>
                </w:rPr>
                <w:t>Certification of Chief Executive Officer pursuant to 18 U.S.C. Section 1350.</w:t>
              </w:r>
            </w:hyperlink>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32.2</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pPr>
            <w:hyperlink w:anchor="avir-ex322_678.htm">
              <w:r>
                <w:rPr>
                  <w:rStyle w:val="InternetLink"/>
                  <w:rFonts w:ascii="Arial" w:hAnsi="Arial"/>
                  <w:b w:val="false"/>
                  <w:i w:val="false"/>
                  <w:caps w:val="false"/>
                  <w:smallCaps w:val="false"/>
                  <w:sz w:val="20"/>
                  <w:u w:val="single"/>
                </w:rPr>
                <w:t>Certification of Chief Financial Officer pursuant to 18 U.S.C. Section 1350.</w:t>
              </w:r>
            </w:hyperlink>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101.INS</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XBRL Instance Document</w:t>
            </w:r>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101.SCH</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XBRL Taxonomy Extension Schema Document</w:t>
            </w:r>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101.CAL</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XBRL Taxonomy Extension Calculation Linkbase Document</w:t>
            </w:r>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101.DEF</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XBRL Taxonomy Extension Definition Linkbase Document</w:t>
            </w:r>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101.LAB</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XBRL Taxonomy Extension Label Linkbase Document</w:t>
            </w:r>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7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101.PRE</w:t>
            </w:r>
          </w:p>
        </w:tc>
        <w:tc>
          <w:tcPr>
            <w:tcW w:w="60" w:type="dxa"/>
            <w:tcBorders/>
            <w:shd w:fill="auto" w:val="clear"/>
            <w:vAlign w:val="bottom"/>
          </w:tcPr>
          <w:p>
            <w:pPr>
              <w:pStyle w:val="TableContents"/>
              <w:spacing w:before="0" w:after="0"/>
              <w:ind w:left="0" w:right="0" w:hanging="0"/>
              <w:rPr/>
            </w:pPr>
            <w:r>
              <w:rPr/>
              <w:t> </w:t>
            </w:r>
          </w:p>
        </w:tc>
        <w:tc>
          <w:tcPr>
            <w:tcW w:w="554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XBRL Taxonomy Extension Presentation Linkbase Document</w:t>
            </w:r>
          </w:p>
        </w:tc>
        <w:tc>
          <w:tcPr>
            <w:tcW w:w="60" w:type="dxa"/>
            <w:tcBorders/>
            <w:shd w:fill="auto" w:val="clear"/>
            <w:vAlign w:val="bottom"/>
          </w:tcPr>
          <w:p>
            <w:pPr>
              <w:pStyle w:val="TableContents"/>
              <w:spacing w:before="0" w:after="0"/>
              <w:ind w:left="0" w:right="0" w:hanging="0"/>
              <w:rPr/>
            </w:pPr>
            <w:r>
              <w:rPr/>
              <w:t> </w:t>
            </w:r>
          </w:p>
        </w:tc>
        <w:tc>
          <w:tcPr>
            <w:tcW w:w="48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8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84"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bl>
    <w:p>
      <w:pPr>
        <w:pStyle w:val="TextBody"/>
        <w:pBdr>
          <w:bottom w:val="single" w:sz="6" w:space="1" w:color="000000"/>
        </w:pBdr>
        <w:spacing w:before="0" w:after="0"/>
        <w:rPr/>
      </w:pPr>
      <w:r>
        <w:rPr/>
        <w:t> </w:t>
      </w:r>
    </w:p>
    <w:tbl>
      <w:tblPr>
        <w:tblW w:w="1375" w:type="dxa"/>
        <w:jc w:val="left"/>
        <w:tblInd w:w="0" w:type="dxa"/>
        <w:tblCellMar>
          <w:top w:w="0" w:type="dxa"/>
          <w:left w:w="0" w:type="dxa"/>
          <w:bottom w:w="0" w:type="dxa"/>
          <w:right w:w="0" w:type="dxa"/>
        </w:tblCellMar>
      </w:tblPr>
      <w:tblGrid>
        <w:gridCol w:w="95"/>
        <w:gridCol w:w="1280"/>
      </w:tblGrid>
      <w:tr>
        <w:trPr/>
        <w:tc>
          <w:tcPr>
            <w:tcW w:w="9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w:t>
            </w:r>
          </w:p>
        </w:tc>
        <w:tc>
          <w:tcPr>
            <w:tcW w:w="128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Filed herewith.</w:t>
            </w:r>
          </w:p>
        </w:tc>
      </w:tr>
    </w:tbl>
    <w:tbl>
      <w:tblPr>
        <w:tblW w:w="1885" w:type="dxa"/>
        <w:jc w:val="left"/>
        <w:tblInd w:w="0" w:type="dxa"/>
        <w:tblCellMar>
          <w:top w:w="0" w:type="dxa"/>
          <w:left w:w="0" w:type="dxa"/>
          <w:bottom w:w="0" w:type="dxa"/>
          <w:right w:w="0" w:type="dxa"/>
        </w:tblCellMar>
      </w:tblPr>
      <w:tblGrid>
        <w:gridCol w:w="170"/>
        <w:gridCol w:w="1715"/>
      </w:tblGrid>
      <w:tr>
        <w:trPr/>
        <w:tc>
          <w:tcPr>
            <w:tcW w:w="17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w:t>
            </w:r>
          </w:p>
        </w:tc>
        <w:tc>
          <w:tcPr>
            <w:tcW w:w="171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Furnished herewith.</w:t>
            </w:r>
          </w:p>
        </w:tc>
      </w:tr>
    </w:tbl>
    <w:p>
      <w:pPr>
        <w:pStyle w:val="TextBody"/>
        <w:spacing w:before="120" w:after="0"/>
        <w:rPr>
          <w:rFonts w:ascii="Arial" w:hAnsi="Arial"/>
          <w:b/>
          <w:i w:val="false"/>
          <w:caps w:val="false"/>
          <w:smallCaps w:val="false"/>
          <w:sz w:val="20"/>
        </w:rPr>
      </w:pPr>
      <w:bookmarkStart w:id="51" w:name="ITEM_16_FORM_10K_SUMMARY"/>
      <w:bookmarkEnd w:id="51"/>
      <w:r>
        <w:rPr>
          <w:rFonts w:ascii="Arial" w:hAnsi="Arial"/>
          <w:b/>
          <w:i w:val="false"/>
          <w:caps w:val="false"/>
          <w:smallCaps w:val="false"/>
          <w:sz w:val="20"/>
        </w:rPr>
        <w:t>Item 16. Form 10-K Summary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None.</w:t>
      </w:r>
    </w:p>
    <w:p>
      <w:pPr>
        <w:pStyle w:val="TextBody"/>
        <w:spacing w:before="240" w:after="0"/>
        <w:jc w:val="center"/>
        <w:rPr>
          <w:rFonts w:ascii="Arial" w:hAnsi="Arial"/>
          <w:b w:val="false"/>
          <w:i w:val="false"/>
          <w:caps w:val="false"/>
          <w:smallCaps w:val="false"/>
          <w:sz w:val="20"/>
        </w:rPr>
      </w:pPr>
      <w:bookmarkStart w:id="52" w:name="_AEIOULastRenderedPageBreakAEIOU10"/>
      <w:bookmarkEnd w:id="52"/>
      <w:r>
        <w:rPr>
          <w:rFonts w:ascii="Arial" w:hAnsi="Arial"/>
          <w:b w:val="false"/>
          <w:i w:val="false"/>
          <w:caps w:val="false"/>
          <w:smallCaps w:val="false"/>
          <w:sz w:val="20"/>
        </w:rPr>
        <w:t>124</w:t>
      </w:r>
    </w:p>
    <w:p>
      <w:pPr>
        <w:pStyle w:val="HorizontalLine"/>
        <w:rPr/>
      </w:pPr>
      <w:r>
        <w:rPr/>
      </w:r>
    </w:p>
    <w:p>
      <w:pPr>
        <w:pStyle w:val="TextBody"/>
        <w:spacing w:before="0" w:after="0"/>
        <w:jc w:val="center"/>
        <w:rPr>
          <w:rFonts w:ascii="Arial" w:hAnsi="Arial"/>
          <w:b/>
          <w:i w:val="false"/>
          <w:caps w:val="false"/>
          <w:smallCaps w:val="false"/>
          <w:sz w:val="20"/>
        </w:rPr>
      </w:pPr>
      <w:bookmarkStart w:id="53" w:name="SIGNATURES"/>
      <w:bookmarkStart w:id="54" w:name="EXHIBIT_INDEX"/>
      <w:bookmarkEnd w:id="53"/>
      <w:bookmarkEnd w:id="54"/>
      <w:r>
        <w:rPr>
          <w:rFonts w:ascii="Arial" w:hAnsi="Arial"/>
          <w:b/>
          <w:i w:val="false"/>
          <w:caps w:val="false"/>
          <w:smallCaps w:val="false"/>
          <w:sz w:val="20"/>
        </w:rPr>
        <w:t>SIGNATURES</w:t>
      </w:r>
    </w:p>
    <w:p>
      <w:pPr>
        <w:pStyle w:val="TextBody"/>
        <w:spacing w:before="240" w:after="0"/>
        <w:rPr>
          <w:rFonts w:ascii="Arial" w:hAnsi="Arial"/>
          <w:b w:val="false"/>
          <w:i w:val="false"/>
          <w:caps w:val="false"/>
          <w:smallCaps w:val="false"/>
          <w:sz w:val="20"/>
        </w:rPr>
      </w:pPr>
      <w:r>
        <w:rPr>
          <w:rFonts w:ascii="Arial" w:hAnsi="Arial"/>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r>
        <w:rPr>
          <w:rFonts w:ascii="Arial" w:hAnsi="Arial"/>
          <w:b/>
          <w:i w:val="false"/>
          <w:caps w:val="false"/>
          <w:smallCaps w:val="false"/>
          <w:sz w:val="20"/>
        </w:rPr>
        <w:t>.</w:t>
      </w:r>
    </w:p>
    <w:p>
      <w:pPr>
        <w:pStyle w:val="TextBody"/>
        <w:spacing w:before="0" w:after="0"/>
        <w:rPr/>
      </w:pPr>
      <w:r>
        <w:rPr/>
        <w:t> </w:t>
      </w:r>
    </w:p>
    <w:tbl>
      <w:tblPr>
        <w:tblW w:w="5580" w:type="dxa"/>
        <w:jc w:val="center"/>
        <w:tblInd w:w="0" w:type="dxa"/>
        <w:tblCellMar>
          <w:top w:w="0" w:type="dxa"/>
          <w:left w:w="0" w:type="dxa"/>
          <w:bottom w:w="0" w:type="dxa"/>
          <w:right w:w="0" w:type="dxa"/>
        </w:tblCellMar>
      </w:tblPr>
      <w:tblGrid>
        <w:gridCol w:w="1895"/>
        <w:gridCol w:w="60"/>
        <w:gridCol w:w="320"/>
        <w:gridCol w:w="3305"/>
      </w:tblGrid>
      <w:tr>
        <w:trPr/>
        <w:tc>
          <w:tcPr>
            <w:tcW w:w="18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25" w:type="dxa"/>
            <w:gridSpan w:val="2"/>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ATEA PHARMACEUTICALS, INC.</w:t>
            </w:r>
          </w:p>
        </w:tc>
      </w:tr>
      <w:tr>
        <w:trPr/>
        <w:tc>
          <w:tcPr>
            <w:tcW w:w="189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March 30, 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330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Jean-Pierre Sommadossi</w:t>
            </w:r>
          </w:p>
        </w:tc>
      </w:tr>
      <w:tr>
        <w:trPr/>
        <w:tc>
          <w:tcPr>
            <w:tcW w:w="18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0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Jean-Pierre Sommadossi, Ph.D.</w:t>
            </w:r>
          </w:p>
        </w:tc>
      </w:tr>
      <w:tr>
        <w:trPr/>
        <w:tc>
          <w:tcPr>
            <w:tcW w:w="18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05" w:type="dxa"/>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President and Chief Executive Officer</w:t>
            </w:r>
          </w:p>
        </w:tc>
      </w:tr>
    </w:tbl>
    <w:p>
      <w:pPr>
        <w:pStyle w:val="TextBody"/>
        <w:spacing w:before="0" w:after="0"/>
        <w:jc w:val="both"/>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Pursuant to the requirements of the Securities Exchange Act of 1934, as amended, this Report has been signed below by the following persons on behalf of the Registrant in the capacities and on the dates indicated.</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2369"/>
        <w:gridCol w:w="60"/>
        <w:gridCol w:w="6586"/>
        <w:gridCol w:w="60"/>
        <w:gridCol w:w="1130"/>
      </w:tblGrid>
      <w:tr>
        <w:trPr/>
        <w:tc>
          <w:tcPr>
            <w:tcW w:w="2369"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Name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Title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Date</w:t>
            </w:r>
          </w:p>
        </w:tc>
      </w:tr>
      <w:tr>
        <w:trPr/>
        <w:tc>
          <w:tcPr>
            <w:tcW w:w="2369"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2369"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Jean-Pierre Sommadossi</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President, Chief Executive Officer and Chairman of the Board of Directors (principal executive officer)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30, 2021</w:t>
            </w:r>
          </w:p>
        </w:tc>
      </w:tr>
      <w:tr>
        <w:trPr/>
        <w:tc>
          <w:tcPr>
            <w:tcW w:w="2369"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Jean-Pierre Sommadossi, Ph.D.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Andrea Corcoran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Chief Financial Officer and Executive Vice President, Legal and Secretary (principal financial officer)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30, 2021</w:t>
            </w:r>
          </w:p>
        </w:tc>
      </w:tr>
      <w:tr>
        <w:trPr/>
        <w:tc>
          <w:tcPr>
            <w:tcW w:w="2369"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Andrea Corcoran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Wayne Foster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Senior Vice President, Finance and Administration (principal accounting officer)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30, 2021</w:t>
            </w:r>
          </w:p>
        </w:tc>
      </w:tr>
      <w:tr>
        <w:trPr/>
        <w:tc>
          <w:tcPr>
            <w:tcW w:w="2369"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Wayne Foster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bookmarkStart w:id="55" w:name="_Hlk66392942"/>
            <w:bookmarkEnd w:id="55"/>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Franklin Berger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 (Lead 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30, 2021</w:t>
            </w:r>
          </w:p>
        </w:tc>
      </w:tr>
      <w:tr>
        <w:trPr/>
        <w:tc>
          <w:tcPr>
            <w:tcW w:w="2369"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Franklin Berger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Isaac Cheng</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30, 2021</w:t>
            </w:r>
          </w:p>
        </w:tc>
      </w:tr>
      <w:tr>
        <w:trPr/>
        <w:tc>
          <w:tcPr>
            <w:tcW w:w="2369"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Isaac Cheng, M.D.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Andrew Hack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30, 2021</w:t>
            </w:r>
          </w:p>
        </w:tc>
      </w:tr>
      <w:tr>
        <w:trPr/>
        <w:tc>
          <w:tcPr>
            <w:tcW w:w="2369"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Andrew Hack, M.D., Ph.D.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Bruno Lucidi</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30, 2021</w:t>
            </w:r>
          </w:p>
        </w:tc>
      </w:tr>
      <w:tr>
        <w:trPr/>
        <w:tc>
          <w:tcPr>
            <w:tcW w:w="2369"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Bruno Lucidi</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69"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Polly A. Murphy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30, 2021</w:t>
            </w:r>
          </w:p>
        </w:tc>
      </w:tr>
      <w:tr>
        <w:trPr/>
        <w:tc>
          <w:tcPr>
            <w:tcW w:w="2369"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Polly A. Murphy, D.V.M., Ph.D.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3915" w:type="dxa"/>
        <w:jc w:val="center"/>
        <w:tblInd w:w="0" w:type="dxa"/>
        <w:tblCellMar>
          <w:top w:w="0" w:type="dxa"/>
          <w:left w:w="0" w:type="dxa"/>
          <w:bottom w:w="28" w:type="dxa"/>
          <w:right w:w="0" w:type="dxa"/>
        </w:tblCellMar>
      </w:tblPr>
      <w:tblGrid>
        <w:gridCol w:w="1730"/>
        <w:gridCol w:w="60"/>
        <w:gridCol w:w="695"/>
        <w:gridCol w:w="60"/>
        <w:gridCol w:w="1370"/>
      </w:tblGrid>
      <w:tr>
        <w:trPr/>
        <w:tc>
          <w:tcPr>
            <w:tcW w:w="173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Bruce Polsky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30, 2021</w:t>
            </w:r>
          </w:p>
        </w:tc>
      </w:tr>
      <w:tr>
        <w:trPr/>
        <w:tc>
          <w:tcPr>
            <w:tcW w:w="17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Bruce Polsky, M.D.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3885" w:type="dxa"/>
        <w:jc w:val="center"/>
        <w:tblInd w:w="0" w:type="dxa"/>
        <w:tblCellMar>
          <w:top w:w="0" w:type="dxa"/>
          <w:left w:w="0" w:type="dxa"/>
          <w:bottom w:w="28" w:type="dxa"/>
          <w:right w:w="0" w:type="dxa"/>
        </w:tblCellMar>
      </w:tblPr>
      <w:tblGrid>
        <w:gridCol w:w="1700"/>
        <w:gridCol w:w="60"/>
        <w:gridCol w:w="695"/>
        <w:gridCol w:w="60"/>
        <w:gridCol w:w="1370"/>
      </w:tblGrid>
      <w:tr>
        <w:trPr/>
        <w:tc>
          <w:tcPr>
            <w:tcW w:w="170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Barbara Duncan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30, 2021</w:t>
            </w:r>
          </w:p>
        </w:tc>
      </w:tr>
      <w:tr>
        <w:trPr/>
        <w:tc>
          <w:tcPr>
            <w:tcW w:w="17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Barbara Duncan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125</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INDEX TO CONSOLIDATED FINANCIAL STATEMENTS</w:t>
      </w:r>
    </w:p>
    <w:p>
      <w:pPr>
        <w:pStyle w:val="TextBody"/>
        <w:spacing w:before="40" w:after="0"/>
        <w:rPr/>
      </w:pPr>
      <w:r>
        <w:rPr/>
        <w:t> </w:t>
      </w:r>
    </w:p>
    <w:tbl>
      <w:tblPr>
        <w:tblW w:w="8170" w:type="dxa"/>
        <w:jc w:val="center"/>
        <w:tblInd w:w="0" w:type="dxa"/>
        <w:tblCellMar>
          <w:top w:w="0" w:type="dxa"/>
          <w:left w:w="0" w:type="dxa"/>
          <w:bottom w:w="0" w:type="dxa"/>
          <w:right w:w="0" w:type="dxa"/>
        </w:tblCellMar>
      </w:tblPr>
      <w:tblGrid>
        <w:gridCol w:w="7865"/>
        <w:gridCol w:w="305"/>
      </w:tblGrid>
      <w:tr>
        <w:trPr/>
        <w:tc>
          <w:tcPr>
            <w:tcW w:w="7865" w:type="dxa"/>
            <w:tcBorders/>
            <w:shd w:fill="FFFFFF" w:val="clear"/>
            <w:vAlign w:val="center"/>
          </w:tcPr>
          <w:p>
            <w:pPr>
              <w:pStyle w:val="TableContents"/>
              <w:spacing w:before="0" w:after="0"/>
              <w:ind w:left="0" w:right="0" w:hanging="0"/>
              <w:rPr/>
            </w:pPr>
            <w:hyperlink w:anchor="REPORT_INDEPENDENT_REGISTERED_PUBLIC_ACC">
              <w:r>
                <w:rPr>
                  <w:rStyle w:val="InternetLink"/>
                  <w:rFonts w:ascii="Arial" w:hAnsi="Arial"/>
                  <w:b w:val="false"/>
                  <w:i w:val="false"/>
                  <w:caps w:val="false"/>
                  <w:smallCaps w:val="false"/>
                  <w:sz w:val="20"/>
                  <w:u w:val="single"/>
                </w:rPr>
                <w:t>Report of Independent Registered Public Accounting Firm</w:t>
              </w:r>
            </w:hyperlink>
          </w:p>
        </w:tc>
        <w:tc>
          <w:tcPr>
            <w:tcW w:w="305" w:type="dxa"/>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F-2</w:t>
            </w:r>
          </w:p>
        </w:tc>
      </w:tr>
      <w:tr>
        <w:trPr/>
        <w:tc>
          <w:tcPr>
            <w:tcW w:w="786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865" w:type="dxa"/>
            <w:tcBorders/>
            <w:shd w:fill="FFFFFF" w:val="clear"/>
            <w:vAlign w:val="center"/>
          </w:tcPr>
          <w:p>
            <w:pPr>
              <w:pStyle w:val="TableContents"/>
              <w:spacing w:before="0" w:after="0"/>
              <w:ind w:left="0" w:right="0" w:hanging="0"/>
              <w:rPr/>
            </w:pPr>
            <w:hyperlink w:anchor="CONSOLIDATED_BALANCE_SHEETS">
              <w:r>
                <w:rPr>
                  <w:rStyle w:val="InternetLink"/>
                  <w:rFonts w:ascii="Arial" w:hAnsi="Arial"/>
                  <w:b w:val="false"/>
                  <w:i w:val="false"/>
                  <w:caps w:val="false"/>
                  <w:smallCaps w:val="false"/>
                  <w:sz w:val="20"/>
                  <w:u w:val="single"/>
                </w:rPr>
                <w:t>Consolidated Balance Sheets</w:t>
              </w:r>
            </w:hyperlink>
          </w:p>
        </w:tc>
        <w:tc>
          <w:tcPr>
            <w:tcW w:w="305" w:type="dxa"/>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F-3</w:t>
            </w:r>
          </w:p>
        </w:tc>
      </w:tr>
      <w:tr>
        <w:trPr/>
        <w:tc>
          <w:tcPr>
            <w:tcW w:w="786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865" w:type="dxa"/>
            <w:tcBorders/>
            <w:shd w:fill="FFFFFF" w:val="clear"/>
            <w:vAlign w:val="center"/>
          </w:tcPr>
          <w:p>
            <w:pPr>
              <w:pStyle w:val="TableContents"/>
              <w:spacing w:before="0" w:after="0"/>
              <w:ind w:left="0" w:right="0" w:hanging="0"/>
              <w:rPr/>
            </w:pPr>
            <w:hyperlink w:anchor="CONSOLIDATED_STATEMENTS_OPERATIONS_COMPR">
              <w:r>
                <w:rPr>
                  <w:rStyle w:val="InternetLink"/>
                  <w:rFonts w:ascii="Arial" w:hAnsi="Arial"/>
                  <w:b w:val="false"/>
                  <w:i w:val="false"/>
                  <w:caps w:val="false"/>
                  <w:smallCaps w:val="false"/>
                  <w:sz w:val="20"/>
                  <w:u w:val="single"/>
                </w:rPr>
                <w:t>Consolidated Statements of Operations and Comprehensive Loss</w:t>
              </w:r>
            </w:hyperlink>
          </w:p>
        </w:tc>
        <w:tc>
          <w:tcPr>
            <w:tcW w:w="305" w:type="dxa"/>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F-4</w:t>
            </w:r>
          </w:p>
        </w:tc>
      </w:tr>
      <w:tr>
        <w:trPr/>
        <w:tc>
          <w:tcPr>
            <w:tcW w:w="786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865" w:type="dxa"/>
            <w:tcBorders/>
            <w:shd w:fill="FFFFFF" w:val="clear"/>
            <w:vAlign w:val="center"/>
          </w:tcPr>
          <w:p>
            <w:pPr>
              <w:pStyle w:val="TableContents"/>
              <w:spacing w:before="0" w:after="0"/>
              <w:ind w:left="0" w:right="0" w:hanging="0"/>
              <w:rPr/>
            </w:pPr>
            <w:hyperlink w:anchor="Stockholders_Equity">
              <w:r>
                <w:rPr>
                  <w:rStyle w:val="InternetLink"/>
                  <w:rFonts w:ascii="Arial" w:hAnsi="Arial"/>
                  <w:b w:val="false"/>
                  <w:i w:val="false"/>
                  <w:caps w:val="false"/>
                  <w:smallCaps w:val="false"/>
                  <w:sz w:val="20"/>
                  <w:u w:val="single"/>
                </w:rPr>
                <w:t>Consolidated Statements of Convertible Preferred Stock and Stockholders’ Equity (Deficit</w:t>
              </w:r>
            </w:hyperlink>
            <w:r>
              <w:rPr>
                <w:rFonts w:ascii="Arial" w:hAnsi="Arial"/>
                <w:b w:val="false"/>
                <w:i w:val="false"/>
                <w:caps w:val="false"/>
                <w:smallCaps w:val="false"/>
                <w:sz w:val="20"/>
                <w:u w:val="single"/>
              </w:rPr>
              <w:t>)</w:t>
            </w:r>
          </w:p>
        </w:tc>
        <w:tc>
          <w:tcPr>
            <w:tcW w:w="305" w:type="dxa"/>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F-5</w:t>
            </w:r>
          </w:p>
        </w:tc>
      </w:tr>
      <w:tr>
        <w:trPr/>
        <w:tc>
          <w:tcPr>
            <w:tcW w:w="786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865" w:type="dxa"/>
            <w:tcBorders/>
            <w:shd w:fill="FFFFFF" w:val="clear"/>
            <w:vAlign w:val="center"/>
          </w:tcPr>
          <w:p>
            <w:pPr>
              <w:pStyle w:val="TableContents"/>
              <w:spacing w:before="0" w:after="0"/>
              <w:ind w:left="0" w:right="0" w:hanging="0"/>
              <w:rPr/>
            </w:pPr>
            <w:hyperlink w:anchor="Cash_Flows">
              <w:r>
                <w:rPr>
                  <w:rStyle w:val="InternetLink"/>
                  <w:rFonts w:ascii="Arial" w:hAnsi="Arial"/>
                  <w:b w:val="false"/>
                  <w:i w:val="false"/>
                  <w:caps w:val="false"/>
                  <w:smallCaps w:val="false"/>
                  <w:sz w:val="20"/>
                  <w:u w:val="single"/>
                </w:rPr>
                <w:t xml:space="preserve">Consolidated Statements of Cash Flows </w:t>
              </w:r>
            </w:hyperlink>
          </w:p>
        </w:tc>
        <w:tc>
          <w:tcPr>
            <w:tcW w:w="305" w:type="dxa"/>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F-6</w:t>
            </w:r>
          </w:p>
        </w:tc>
      </w:tr>
      <w:tr>
        <w:trPr/>
        <w:tc>
          <w:tcPr>
            <w:tcW w:w="786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865" w:type="dxa"/>
            <w:tcBorders/>
            <w:shd w:fill="FFFFFF" w:val="clear"/>
            <w:vAlign w:val="center"/>
          </w:tcPr>
          <w:p>
            <w:pPr>
              <w:pStyle w:val="TableContents"/>
              <w:spacing w:before="0" w:after="0"/>
              <w:ind w:left="0" w:right="0" w:hanging="0"/>
              <w:rPr/>
            </w:pPr>
            <w:hyperlink w:anchor="Notes">
              <w:r>
                <w:rPr>
                  <w:rStyle w:val="InternetLink"/>
                  <w:rFonts w:ascii="Arial" w:hAnsi="Arial"/>
                  <w:b w:val="false"/>
                  <w:i w:val="false"/>
                  <w:caps w:val="false"/>
                  <w:smallCaps w:val="false"/>
                  <w:sz w:val="20"/>
                  <w:u w:val="single"/>
                </w:rPr>
                <w:t>Notes to Consolidated Financial Statements</w:t>
              </w:r>
            </w:hyperlink>
          </w:p>
        </w:tc>
        <w:tc>
          <w:tcPr>
            <w:tcW w:w="305" w:type="dxa"/>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F-7</w:t>
            </w:r>
          </w:p>
        </w:tc>
      </w:tr>
    </w:tbl>
    <w:p>
      <w:pPr>
        <w:pStyle w:val="TextBody"/>
        <w:spacing w:before="0" w:after="0"/>
        <w:rPr/>
      </w:pPr>
      <w:r>
        <w:rPr/>
        <w:t> </w:t>
      </w:r>
    </w:p>
    <w:p>
      <w:pPr>
        <w:pStyle w:val="TextBody"/>
        <w:shd w:fill="FFFFFF" w:val="clear"/>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color w:val="000000"/>
          <w:sz w:val="24"/>
        </w:rPr>
      </w:pPr>
      <w:bookmarkStart w:id="56" w:name="REPORT_INDEPENDENT_REGISTERED_PUBLIC_ACC"/>
      <w:bookmarkStart w:id="57" w:name="_AEIOULastRenderedPageBreakAEIOU11"/>
      <w:bookmarkEnd w:id="56"/>
      <w:bookmarkEnd w:id="57"/>
      <w:r>
        <w:rPr>
          <w:rFonts w:ascii="Arial" w:hAnsi="Arial"/>
          <w:b/>
          <w:i w:val="false"/>
          <w:caps w:val="false"/>
          <w:smallCaps w:val="false"/>
          <w:color w:val="000000"/>
          <w:sz w:val="24"/>
        </w:rPr>
        <w:t>Report of Independent Registered Public Accounting Firm</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 the Stockholders and Board of Directors</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Atea Pharmaceuticals, Inc.:</w:t>
      </w:r>
    </w:p>
    <w:p>
      <w:pPr>
        <w:pStyle w:val="TextBody"/>
        <w:spacing w:before="120" w:after="0"/>
        <w:rPr>
          <w:rFonts w:ascii="Arial" w:hAnsi="Arial"/>
          <w:b/>
          <w:i/>
          <w:caps w:val="false"/>
          <w:smallCaps w:val="false"/>
          <w:color w:val="000000"/>
          <w:sz w:val="20"/>
        </w:rPr>
      </w:pPr>
      <w:r>
        <w:rPr>
          <w:rFonts w:ascii="Arial" w:hAnsi="Arial"/>
          <w:b/>
          <w:i/>
          <w:caps w:val="false"/>
          <w:smallCaps w:val="false"/>
          <w:color w:val="000000"/>
          <w:sz w:val="20"/>
        </w:rPr>
        <w:t>Opinion on the Consolidated Financial Statements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have audited the accompanying consolidated balance sheets of Atea Pharmaceuticals, Inc. and subsidiary (the Company) as of December 31, 2020 and 2019, the related consolidated statements of operations and comprehensive loss, convertible preferred stock and stockholders’ equity (deficit), and cash flows for each of the years in the three-year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pStyle w:val="TextBody"/>
        <w:spacing w:before="120" w:after="0"/>
        <w:rPr>
          <w:rFonts w:ascii="Arial" w:hAnsi="Arial"/>
          <w:b/>
          <w:i/>
          <w:caps w:val="false"/>
          <w:smallCaps w:val="false"/>
          <w:color w:val="000000"/>
          <w:sz w:val="20"/>
        </w:rPr>
      </w:pPr>
      <w:r>
        <w:rPr>
          <w:rFonts w:ascii="Arial" w:hAnsi="Arial"/>
          <w:b/>
          <w:i/>
          <w:caps w:val="false"/>
          <w:smallCaps w:val="false"/>
          <w:color w:val="000000"/>
          <w:sz w:val="20"/>
        </w:rPr>
        <w:t>Basis for Opinion</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KPMG LLP</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have served as the Company’s auditor since 2014.</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Boston, Massachusetts</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30, 2021</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32"/>
        </w:rPr>
      </w:pPr>
      <w:r>
        <w:rPr>
          <w:rFonts w:ascii="Arial" w:hAnsi="Arial"/>
          <w:b/>
          <w:i w:val="false"/>
          <w:caps w:val="false"/>
          <w:smallCaps w:val="false"/>
          <w:sz w:val="32"/>
        </w:rPr>
        <w:t>ATEA PHARMACEUTICALS, INC.</w:t>
      </w:r>
    </w:p>
    <w:p>
      <w:pPr>
        <w:pStyle w:val="TextBody"/>
        <w:spacing w:before="0" w:after="0"/>
        <w:rPr>
          <w:rFonts w:ascii="Arial" w:hAnsi="Arial"/>
          <w:b/>
          <w:i w:val="false"/>
          <w:caps w:val="false"/>
          <w:smallCaps w:val="false"/>
          <w:sz w:val="32"/>
        </w:rPr>
      </w:pPr>
      <w:bookmarkStart w:id="58" w:name="CONSOLIDATED_BALANCE_SHEETS"/>
      <w:bookmarkEnd w:id="58"/>
      <w:r>
        <w:rPr>
          <w:rFonts w:ascii="Arial" w:hAnsi="Arial"/>
          <w:b/>
          <w:i w:val="false"/>
          <w:caps w:val="false"/>
          <w:smallCaps w:val="false"/>
          <w:sz w:val="32"/>
        </w:rPr>
        <w:t>Consolidated Balance Sheets</w:t>
      </w:r>
    </w:p>
    <w:p>
      <w:pPr>
        <w:pStyle w:val="TextBody"/>
        <w:spacing w:before="0" w:after="0"/>
        <w:rPr>
          <w:rFonts w:ascii="Arial" w:hAnsi="Arial"/>
          <w:b/>
          <w:i w:val="false"/>
          <w:caps w:val="false"/>
          <w:smallCaps w:val="false"/>
          <w:sz w:val="18"/>
        </w:rPr>
      </w:pPr>
      <w:r>
        <w:rPr>
          <w:rFonts w:ascii="Arial" w:hAnsi="Arial"/>
          <w:b/>
          <w:i w:val="false"/>
          <w:caps w:val="false"/>
          <w:smallCaps w:val="false"/>
          <w:sz w:val="18"/>
        </w:rPr>
        <w:t>(in thousands, except share and per share amounts)</w:t>
      </w:r>
    </w:p>
    <w:p>
      <w:pPr>
        <w:pStyle w:val="TextBody"/>
        <w:spacing w:before="0" w:after="0"/>
        <w:rPr/>
      </w:pPr>
      <w:r>
        <w:rPr/>
        <w:t> </w:t>
      </w:r>
    </w:p>
    <w:tbl>
      <w:tblPr>
        <w:tblW w:w="8705" w:type="dxa"/>
        <w:jc w:val="center"/>
        <w:tblInd w:w="0" w:type="dxa"/>
        <w:tblCellMar>
          <w:top w:w="28" w:type="dxa"/>
          <w:left w:w="0" w:type="dxa"/>
          <w:bottom w:w="28" w:type="dxa"/>
          <w:right w:w="0" w:type="dxa"/>
        </w:tblCellMar>
      </w:tblPr>
      <w:tblGrid>
        <w:gridCol w:w="6800"/>
        <w:gridCol w:w="60"/>
        <w:gridCol w:w="125"/>
        <w:gridCol w:w="710"/>
        <w:gridCol w:w="80"/>
        <w:gridCol w:w="60"/>
        <w:gridCol w:w="125"/>
        <w:gridCol w:w="665"/>
        <w:gridCol w:w="80"/>
      </w:tblGrid>
      <w:tr>
        <w:trPr/>
        <w:tc>
          <w:tcPr>
            <w:tcW w:w="68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5" w:type="dxa"/>
            <w:gridSpan w:val="6"/>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top w:val="single" w:sz="6" w:space="0" w:color="000000"/>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Assets</w:t>
            </w:r>
          </w:p>
        </w:tc>
        <w:tc>
          <w:tcPr>
            <w:tcW w:w="60" w:type="dxa"/>
            <w:tcBorders>
              <w:top w:val="single" w:sz="6" w:space="0" w:color="000000"/>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Current assets</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Mar>
              <w:top w:w="0" w:type="dxa"/>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and cash equivalents</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850,117</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21,661</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Mar>
              <w:top w:w="0" w:type="dxa"/>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Unbilled other receivable</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5,815</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bottom w:val="single" w:sz="6" w:space="0" w:color="000000"/>
            </w:tcBorders>
            <w:shd w:fill="CFF0FC" w:val="clear"/>
            <w:tcMar>
              <w:top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Prepaid expenses and other current assets</w:t>
            </w:r>
          </w:p>
        </w:tc>
        <w:tc>
          <w:tcPr>
            <w:tcW w:w="60" w:type="dxa"/>
            <w:tcBorders>
              <w:bottom w:val="single" w:sz="6" w:space="0" w:color="000000"/>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7,545</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249</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current assets</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863,477</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21,910</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Property and equipment, net</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assets</w:t>
            </w:r>
          </w:p>
        </w:tc>
        <w:tc>
          <w:tcPr>
            <w:tcW w:w="60" w:type="dxa"/>
            <w:tcBorders>
              <w:bottom w:val="single" w:sz="6" w:space="0" w:color="000000"/>
            </w:tcBorders>
            <w:shd w:fill="FFFF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122</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Assets</w:t>
            </w:r>
          </w:p>
        </w:tc>
        <w:tc>
          <w:tcPr>
            <w:tcW w:w="60" w:type="dxa"/>
            <w:tcBorders>
              <w:bottom w:val="single" w:sz="6" w:space="0" w:color="000000"/>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863,632</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22,073</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Mar>
              <w:top w:w="0" w:type="dxa"/>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Liabilities, Convertible Preferred Stock and Stockholders’ Equity (Deficit)</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Current liabilities</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Mar>
              <w:top w:w="0" w:type="dxa"/>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Accounts payable</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548</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Mar>
              <w:top w:w="0" w:type="dxa"/>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Accrued expenses and other current liabilities</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14,368</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1,887</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bottom w:val="single" w:sz="6" w:space="0" w:color="000000"/>
            </w:tcBorders>
            <w:shd w:fill="FFFFFF" w:val="clear"/>
            <w:tcMar>
              <w:top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Deferred revenue</w:t>
            </w:r>
          </w:p>
        </w:tc>
        <w:tc>
          <w:tcPr>
            <w:tcW w:w="60" w:type="dxa"/>
            <w:tcBorders>
              <w:bottom w:val="single" w:sz="6" w:space="0" w:color="000000"/>
            </w:tcBorders>
            <w:shd w:fill="FFFF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301,367</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current liabilities</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315,795</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2,435</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liabilities</w:t>
            </w:r>
          </w:p>
        </w:tc>
        <w:tc>
          <w:tcPr>
            <w:tcW w:w="60" w:type="dxa"/>
            <w:tcBorders>
              <w:bottom w:val="single" w:sz="6" w:space="0" w:color="000000"/>
            </w:tcBorders>
            <w:shd w:fill="FFFF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95</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liabilities</w:t>
            </w:r>
          </w:p>
        </w:tc>
        <w:tc>
          <w:tcPr>
            <w:tcW w:w="60" w:type="dxa"/>
            <w:tcBorders>
              <w:bottom w:val="single" w:sz="6" w:space="0" w:color="000000"/>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315,831</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2,530</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Commitments and contingencies (see Note 7)</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Convertible preferred stock, $0.001 par value; 0 and 33,645,447</w:t>
            </w:r>
          </w:p>
          <w:p>
            <w:pPr>
              <w:pStyle w:val="TableContents"/>
              <w:spacing w:before="0" w:after="0"/>
              <w:ind w:left="0" w:right="0" w:hanging="0"/>
              <w:rPr>
                <w:caps w:val="false"/>
                <w:smallCaps w:val="false"/>
                <w:color w:val="000000"/>
              </w:rPr>
            </w:pPr>
            <w:r>
              <w:rPr>
                <w:caps w:val="false"/>
                <w:smallCaps w:val="false"/>
                <w:color w:val="000000"/>
              </w:rPr>
              <w:t>  </w:t>
            </w:r>
            <w:r>
              <w:rPr>
                <w:rFonts w:ascii="Arial" w:hAnsi="Arial"/>
                <w:b w:val="false"/>
                <w:i w:val="false"/>
                <w:caps w:val="false"/>
                <w:smallCaps w:val="false"/>
                <w:color w:val="000000"/>
                <w:sz w:val="20"/>
              </w:rPr>
              <w:t>shares authorized, issued and outstanding as of December 31, 2020</w:t>
            </w:r>
          </w:p>
          <w:p>
            <w:pPr>
              <w:pStyle w:val="TableContents"/>
              <w:spacing w:before="0" w:after="0"/>
              <w:ind w:left="0" w:right="0" w:hanging="0"/>
              <w:rPr>
                <w:caps w:val="false"/>
                <w:smallCaps w:val="false"/>
                <w:color w:val="000000"/>
              </w:rPr>
            </w:pPr>
            <w:r>
              <w:rPr>
                <w:caps w:val="false"/>
                <w:smallCaps w:val="false"/>
                <w:color w:val="000000"/>
              </w:rPr>
              <w:t>  </w:t>
            </w:r>
            <w:r>
              <w:rPr>
                <w:rFonts w:ascii="Arial" w:hAnsi="Arial"/>
                <w:b w:val="false"/>
                <w:i w:val="false"/>
                <w:caps w:val="false"/>
                <w:smallCaps w:val="false"/>
                <w:color w:val="000000"/>
                <w:sz w:val="20"/>
              </w:rPr>
              <w:t>and 2019</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69,114</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Stockholders’ equity (deficit):</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Preferred stock, $0.001 par value per share; 10,000,000 and 0 shares</w:t>
            </w:r>
          </w:p>
          <w:p>
            <w:pPr>
              <w:pStyle w:val="TableContents"/>
              <w:spacing w:before="0" w:after="0"/>
              <w:ind w:left="0" w:right="0" w:hanging="0"/>
              <w:rPr>
                <w:caps w:val="false"/>
                <w:smallCaps w:val="false"/>
                <w:color w:val="000000"/>
              </w:rPr>
            </w:pPr>
            <w:r>
              <w:rPr>
                <w:caps w:val="false"/>
                <w:smallCaps w:val="false"/>
                <w:color w:val="000000"/>
              </w:rPr>
              <w:t>  </w:t>
            </w:r>
            <w:r>
              <w:rPr>
                <w:rFonts w:ascii="Arial" w:hAnsi="Arial"/>
                <w:b w:val="false"/>
                <w:i w:val="false"/>
                <w:caps w:val="false"/>
                <w:smallCaps w:val="false"/>
                <w:color w:val="000000"/>
                <w:sz w:val="20"/>
              </w:rPr>
              <w:t>authorized; no shares issued and outstanding as of December 31,</w:t>
            </w:r>
          </w:p>
          <w:p>
            <w:pPr>
              <w:pStyle w:val="TableContents"/>
              <w:spacing w:before="0" w:after="0"/>
              <w:ind w:left="0" w:right="0" w:hanging="0"/>
              <w:rPr>
                <w:caps w:val="false"/>
                <w:smallCaps w:val="false"/>
                <w:color w:val="000000"/>
              </w:rPr>
            </w:pPr>
            <w:r>
              <w:rPr>
                <w:caps w:val="false"/>
                <w:smallCaps w:val="false"/>
                <w:color w:val="000000"/>
              </w:rPr>
              <w:t>  </w:t>
            </w:r>
            <w:r>
              <w:rPr>
                <w:rFonts w:ascii="Arial" w:hAnsi="Arial"/>
                <w:b w:val="false"/>
                <w:i w:val="false"/>
                <w:caps w:val="false"/>
                <w:smallCaps w:val="false"/>
                <w:color w:val="000000"/>
                <w:sz w:val="20"/>
              </w:rPr>
              <w:t>2020 and 2019</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Common stock, $0.001 par value; 300,000,000 and 53,070,161</w:t>
            </w:r>
          </w:p>
          <w:p>
            <w:pPr>
              <w:pStyle w:val="TableContents"/>
              <w:spacing w:before="0" w:after="0"/>
              <w:ind w:left="0" w:right="0" w:hanging="0"/>
              <w:rPr>
                <w:caps w:val="false"/>
                <w:smallCaps w:val="false"/>
                <w:color w:val="000000"/>
              </w:rPr>
            </w:pPr>
            <w:r>
              <w:rPr>
                <w:caps w:val="false"/>
                <w:smallCaps w:val="false"/>
                <w:color w:val="000000"/>
              </w:rPr>
              <w:t>  </w:t>
            </w:r>
            <w:r>
              <w:rPr>
                <w:rFonts w:ascii="Arial" w:hAnsi="Arial"/>
                <w:b w:val="false"/>
                <w:i w:val="false"/>
                <w:caps w:val="false"/>
                <w:smallCaps w:val="false"/>
                <w:color w:val="000000"/>
                <w:sz w:val="20"/>
              </w:rPr>
              <w:t>shares authorized as of December 31, 2020 and 2019; 82,436,937</w:t>
            </w:r>
          </w:p>
          <w:p>
            <w:pPr>
              <w:pStyle w:val="TableContents"/>
              <w:spacing w:before="0" w:after="0"/>
              <w:ind w:left="0" w:right="0" w:hanging="0"/>
              <w:rPr>
                <w:caps w:val="false"/>
                <w:smallCaps w:val="false"/>
                <w:color w:val="000000"/>
              </w:rPr>
            </w:pPr>
            <w:r>
              <w:rPr>
                <w:caps w:val="false"/>
                <w:smallCaps w:val="false"/>
                <w:color w:val="000000"/>
              </w:rPr>
              <w:t>  </w:t>
            </w:r>
            <w:r>
              <w:rPr>
                <w:rFonts w:ascii="Arial" w:hAnsi="Arial"/>
                <w:b w:val="false"/>
                <w:i w:val="false"/>
                <w:caps w:val="false"/>
                <w:smallCaps w:val="false"/>
                <w:color w:val="000000"/>
                <w:sz w:val="20"/>
              </w:rPr>
              <w:t>and 10,091,100 shares issued and outstanding as of December 31,</w:t>
            </w:r>
          </w:p>
          <w:p>
            <w:pPr>
              <w:pStyle w:val="TableContents"/>
              <w:spacing w:before="0" w:after="0"/>
              <w:ind w:left="0" w:right="0" w:hanging="0"/>
              <w:rPr>
                <w:caps w:val="false"/>
                <w:smallCaps w:val="false"/>
                <w:color w:val="000000"/>
              </w:rPr>
            </w:pPr>
            <w:r>
              <w:rPr>
                <w:caps w:val="false"/>
                <w:smallCaps w:val="false"/>
                <w:color w:val="000000"/>
              </w:rPr>
              <w:t>  </w:t>
            </w:r>
            <w:r>
              <w:rPr>
                <w:rFonts w:ascii="Arial" w:hAnsi="Arial"/>
                <w:b w:val="false"/>
                <w:i w:val="false"/>
                <w:caps w:val="false"/>
                <w:smallCaps w:val="false"/>
                <w:color w:val="000000"/>
                <w:sz w:val="20"/>
              </w:rPr>
              <w:t>2020 and 2019</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Additional paid-in capital</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612,879</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4,632</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Accumulated deficit</w:t>
            </w:r>
          </w:p>
        </w:tc>
        <w:tc>
          <w:tcPr>
            <w:tcW w:w="60" w:type="dxa"/>
            <w:tcBorders>
              <w:bottom w:val="single" w:sz="6" w:space="0" w:color="000000"/>
            </w:tcBorders>
            <w:shd w:fill="FFFF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(65,160</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(54,213</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80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stockholders’ equity (deficit)</w:t>
            </w:r>
          </w:p>
        </w:tc>
        <w:tc>
          <w:tcPr>
            <w:tcW w:w="60" w:type="dxa"/>
            <w:tcBorders>
              <w:bottom w:val="single" w:sz="6" w:space="0" w:color="000000"/>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547,801</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(49,571</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80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liabilities, convertible preferred stock and stockholders’ equity (deficit)</w:t>
            </w:r>
          </w:p>
        </w:tc>
        <w:tc>
          <w:tcPr>
            <w:tcW w:w="60" w:type="dxa"/>
            <w:tcBorders>
              <w:bottom w:val="single" w:sz="6" w:space="0" w:color="000000"/>
            </w:tcBorders>
            <w:shd w:fill="FFFF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863,632</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22,073</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caps w:val="false"/>
          <w:smallCaps w:val="false"/>
          <w:sz w:val="14"/>
        </w:rPr>
      </w:pPr>
      <w:r>
        <w:rPr>
          <w:rFonts w:ascii="Arial" w:hAnsi="Arial"/>
          <w:b w:val="false"/>
          <w:i/>
          <w:caps w:val="false"/>
          <w:smallCaps w:val="false"/>
          <w:sz w:val="14"/>
        </w:rPr>
        <w:t>The accompanying notes are an integral part of these consolidated financial statements.</w:t>
      </w:r>
    </w:p>
    <w:p>
      <w:pPr>
        <w:pStyle w:val="TextBody"/>
        <w:spacing w:before="0" w:after="0"/>
        <w:rPr/>
      </w:pPr>
      <w:r>
        <w:rPr/>
      </w:r>
      <w:bookmarkStart w:id="59" w:name="Operations"/>
      <w:bookmarkStart w:id="60" w:name="Operations"/>
      <w:bookmarkEnd w:id="60"/>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F-3</w:t>
      </w:r>
    </w:p>
    <w:p>
      <w:pPr>
        <w:pStyle w:val="HorizontalLine"/>
        <w:rPr/>
      </w:pPr>
      <w:r>
        <w:rPr/>
      </w:r>
    </w:p>
    <w:p>
      <w:pPr>
        <w:pStyle w:val="TextBody"/>
        <w:spacing w:before="0" w:after="0"/>
        <w:rPr>
          <w:rFonts w:ascii="Arial" w:hAnsi="Arial"/>
          <w:b/>
          <w:i w:val="false"/>
          <w:caps w:val="false"/>
          <w:smallCaps w:val="false"/>
          <w:sz w:val="32"/>
        </w:rPr>
      </w:pPr>
      <w:r>
        <w:rPr>
          <w:rFonts w:ascii="Arial" w:hAnsi="Arial"/>
          <w:b/>
          <w:i w:val="false"/>
          <w:caps w:val="false"/>
          <w:smallCaps w:val="false"/>
          <w:sz w:val="32"/>
        </w:rPr>
        <w:t>ATEA PHARMACEUTICALS, INC.</w:t>
      </w:r>
    </w:p>
    <w:p>
      <w:pPr>
        <w:pStyle w:val="TextBody"/>
        <w:spacing w:before="0" w:after="0"/>
        <w:rPr>
          <w:rFonts w:ascii="Arial" w:hAnsi="Arial"/>
          <w:b/>
          <w:i w:val="false"/>
          <w:caps w:val="false"/>
          <w:smallCaps w:val="false"/>
          <w:sz w:val="32"/>
        </w:rPr>
      </w:pPr>
      <w:bookmarkStart w:id="61" w:name="CONSOLIDATED_STATEMENTS_OPERATIONS_COMPR"/>
      <w:bookmarkEnd w:id="61"/>
      <w:r>
        <w:rPr>
          <w:rFonts w:ascii="Arial" w:hAnsi="Arial"/>
          <w:b/>
          <w:i w:val="false"/>
          <w:caps w:val="false"/>
          <w:smallCaps w:val="false"/>
          <w:sz w:val="32"/>
        </w:rPr>
        <w:t>Consolidated Statements of Operations and Comprehensive Loss</w:t>
      </w:r>
    </w:p>
    <w:p>
      <w:pPr>
        <w:pStyle w:val="TextBody"/>
        <w:spacing w:before="120" w:after="0"/>
        <w:rPr>
          <w:rFonts w:ascii="Arial" w:hAnsi="Arial"/>
          <w:b/>
          <w:i w:val="false"/>
          <w:caps w:val="false"/>
          <w:smallCaps w:val="false"/>
          <w:sz w:val="18"/>
        </w:rPr>
      </w:pPr>
      <w:r>
        <w:rPr>
          <w:rFonts w:ascii="Arial" w:hAnsi="Arial"/>
          <w:b/>
          <w:i w:val="false"/>
          <w:caps w:val="false"/>
          <w:smallCaps w:val="false"/>
          <w:sz w:val="18"/>
        </w:rPr>
        <w:t>(in thousands, except share and per share amounts)</w:t>
      </w:r>
    </w:p>
    <w:p>
      <w:pPr>
        <w:pStyle w:val="TextBody"/>
        <w:spacing w:before="0" w:after="0"/>
        <w:rPr/>
      </w:pPr>
      <w:r>
        <w:rPr/>
        <w:t> </w:t>
      </w:r>
    </w:p>
    <w:tbl>
      <w:tblPr>
        <w:tblW w:w="8735" w:type="dxa"/>
        <w:jc w:val="center"/>
        <w:tblInd w:w="0" w:type="dxa"/>
        <w:tblCellMar>
          <w:top w:w="28" w:type="dxa"/>
          <w:left w:w="0" w:type="dxa"/>
          <w:bottom w:w="28" w:type="dxa"/>
          <w:right w:w="0" w:type="dxa"/>
        </w:tblCellMar>
      </w:tblPr>
      <w:tblGrid>
        <w:gridCol w:w="5000"/>
        <w:gridCol w:w="60"/>
        <w:gridCol w:w="125"/>
        <w:gridCol w:w="980"/>
        <w:gridCol w:w="80"/>
        <w:gridCol w:w="60"/>
        <w:gridCol w:w="125"/>
        <w:gridCol w:w="980"/>
        <w:gridCol w:w="80"/>
        <w:gridCol w:w="60"/>
        <w:gridCol w:w="125"/>
        <w:gridCol w:w="980"/>
        <w:gridCol w:w="80"/>
      </w:tblGrid>
      <w:tr>
        <w:trPr/>
        <w:tc>
          <w:tcPr>
            <w:tcW w:w="50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95" w:type="dxa"/>
            <w:gridSpan w:val="10"/>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Years Ended December 31,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Collaboration revenue</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48,633</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shd w:fill="CFF0FC" w:val="clear"/>
            <w:tcMar>
              <w:top w:w="0" w:type="dxa"/>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Operating expenses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38,023</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10,170</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6,675</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21,640</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4,438</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2,802</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operating expenses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59,663</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14,608</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9,477</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from operations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(11,030</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(14,608</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(9,477</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00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income and other, net</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574</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413</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and comprehensive loss</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(9,064</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00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 per share attributable to common stockholders –</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basic and diluted</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(0.51</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(1.39</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(0.90</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00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Weighted-average number of common shares used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in computing net loss per share attributable to</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common stockholders– basic and diluted</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21,592,441</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10,091,100</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10,039,392</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rPr>
      </w:pPr>
      <w:r>
        <w:rPr>
          <w:caps w:val="false"/>
          <w:smallCaps w:val="false"/>
        </w:rPr>
        <w:t> </w:t>
      </w:r>
    </w:p>
    <w:p>
      <w:pPr>
        <w:pStyle w:val="TextBody"/>
        <w:spacing w:before="0" w:after="0"/>
        <w:rPr>
          <w:rFonts w:ascii="Arial" w:hAnsi="Arial"/>
          <w:b w:val="false"/>
          <w:i/>
          <w:caps w:val="false"/>
          <w:smallCaps w:val="false"/>
          <w:sz w:val="14"/>
        </w:rPr>
      </w:pPr>
      <w:r>
        <w:rPr>
          <w:rFonts w:ascii="Arial" w:hAnsi="Arial"/>
          <w:b w:val="false"/>
          <w:i/>
          <w:caps w:val="false"/>
          <w:smallCaps w:val="false"/>
          <w:sz w:val="14"/>
        </w:rPr>
        <w:t>The accompanying notes are an integral part of these consolidated financial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F-4</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32"/>
        </w:rPr>
      </w:pPr>
      <w:bookmarkStart w:id="62" w:name="Stockholders_Equity"/>
      <w:bookmarkEnd w:id="62"/>
      <w:r>
        <w:rPr>
          <w:rFonts w:ascii="Arial" w:hAnsi="Arial"/>
          <w:b/>
          <w:i w:val="false"/>
          <w:caps w:val="false"/>
          <w:smallCaps w:val="false"/>
          <w:sz w:val="32"/>
        </w:rPr>
        <w:t>ATEA PHARMACEUTICALS, INC.</w:t>
      </w:r>
    </w:p>
    <w:p>
      <w:pPr>
        <w:pStyle w:val="TextBody"/>
        <w:spacing w:before="0" w:after="0"/>
        <w:rPr>
          <w:rFonts w:ascii="Arial" w:hAnsi="Arial"/>
          <w:b/>
          <w:i w:val="false"/>
          <w:caps w:val="false"/>
          <w:smallCaps w:val="false"/>
          <w:sz w:val="32"/>
        </w:rPr>
      </w:pPr>
      <w:bookmarkStart w:id="63" w:name="CONSOLIDATED_STATEMENTS_CONVERTIBLE_PREF"/>
      <w:bookmarkEnd w:id="63"/>
      <w:r>
        <w:rPr>
          <w:rFonts w:ascii="Arial" w:hAnsi="Arial"/>
          <w:b/>
          <w:i w:val="false"/>
          <w:caps w:val="false"/>
          <w:smallCaps w:val="false"/>
          <w:sz w:val="32"/>
        </w:rPr>
        <w:t>Consolidated Statements of Convertible Preferred Stock and Stockholders’ Equity (Deficit)</w:t>
      </w:r>
    </w:p>
    <w:p>
      <w:pPr>
        <w:pStyle w:val="TextBody"/>
        <w:spacing w:before="0" w:after="0"/>
        <w:rPr>
          <w:rFonts w:ascii="Arial" w:hAnsi="Arial"/>
          <w:b/>
          <w:i w:val="false"/>
          <w:caps w:val="false"/>
          <w:smallCaps w:val="false"/>
          <w:sz w:val="18"/>
        </w:rPr>
      </w:pPr>
      <w:r>
        <w:rPr>
          <w:rFonts w:ascii="Arial" w:hAnsi="Arial"/>
          <w:b/>
          <w:i w:val="false"/>
          <w:caps w:val="false"/>
          <w:smallCaps w:val="false"/>
          <w:sz w:val="18"/>
        </w:rPr>
        <w:t>(in thousands, except share amounts)</w:t>
      </w:r>
    </w:p>
    <w:p>
      <w:pPr>
        <w:pStyle w:val="TextBody"/>
        <w:spacing w:before="0" w:after="0"/>
        <w:rPr/>
      </w:pPr>
      <w:r>
        <w:rPr/>
        <w:t> </w:t>
      </w:r>
    </w:p>
    <w:tbl>
      <w:tblPr>
        <w:tblW w:w="10205" w:type="dxa"/>
        <w:jc w:val="center"/>
        <w:tblInd w:w="0" w:type="dxa"/>
        <w:tblCellMar>
          <w:top w:w="28" w:type="dxa"/>
          <w:left w:w="0" w:type="dxa"/>
          <w:bottom w:w="0" w:type="dxa"/>
          <w:right w:w="0" w:type="dxa"/>
        </w:tblCellMar>
      </w:tblPr>
      <w:tblGrid>
        <w:gridCol w:w="2518"/>
        <w:gridCol w:w="60"/>
        <w:gridCol w:w="60"/>
        <w:gridCol w:w="1040"/>
        <w:gridCol w:w="80"/>
        <w:gridCol w:w="60"/>
        <w:gridCol w:w="125"/>
        <w:gridCol w:w="770"/>
        <w:gridCol w:w="80"/>
        <w:gridCol w:w="60"/>
        <w:gridCol w:w="60"/>
        <w:gridCol w:w="60"/>
        <w:gridCol w:w="980"/>
        <w:gridCol w:w="60"/>
        <w:gridCol w:w="60"/>
        <w:gridCol w:w="215"/>
        <w:gridCol w:w="450"/>
        <w:gridCol w:w="60"/>
        <w:gridCol w:w="60"/>
        <w:gridCol w:w="126"/>
        <w:gridCol w:w="719"/>
        <w:gridCol w:w="60"/>
        <w:gridCol w:w="60"/>
        <w:gridCol w:w="169"/>
        <w:gridCol w:w="901"/>
        <w:gridCol w:w="80"/>
        <w:gridCol w:w="60"/>
        <w:gridCol w:w="163"/>
        <w:gridCol w:w="928"/>
        <w:gridCol w:w="81"/>
      </w:tblGrid>
      <w:tr>
        <w:trPr/>
        <w:tc>
          <w:tcPr>
            <w:tcW w:w="2518" w:type="dxa"/>
            <w:tcBorders>
              <w:top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5" w:type="dxa"/>
            <w:gridSpan w:val="6"/>
            <w:tcBorders>
              <w:top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Convertible</w:t>
            </w:r>
          </w:p>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Preferred Stock</w:t>
            </w:r>
          </w:p>
        </w:tc>
        <w:tc>
          <w:tcPr>
            <w:tcW w:w="8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right w:val="single" w:sz="6" w:space="0" w:color="000000"/>
            </w:tcBorders>
            <w:shd w:fill="FFFFFF" w:val="clear"/>
            <w:tcMar>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5" w:type="dxa"/>
            <w:gridSpan w:val="6"/>
            <w:tcBorders>
              <w:top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Common Stock</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gridSpan w:val="2"/>
            <w:tcBorders>
              <w:top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Additional</w:t>
            </w:r>
          </w:p>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Paid-in</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gridSpan w:val="2"/>
            <w:tcBorders>
              <w:top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Accumulated</w:t>
            </w:r>
          </w:p>
        </w:tc>
        <w:tc>
          <w:tcPr>
            <w:tcW w:w="8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1" w:type="dxa"/>
            <w:gridSpan w:val="2"/>
            <w:tcBorders>
              <w:top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Total</w:t>
            </w:r>
          </w:p>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Stockholders’</w:t>
            </w:r>
          </w:p>
        </w:tc>
        <w:tc>
          <w:tcPr>
            <w:tcW w:w="81"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0"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Shares</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Amount</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top w:w="0" w:type="dxa"/>
              <w:bottom w:w="28" w:type="dxa"/>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top w:w="0" w:type="dxa"/>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Shares</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Amount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Capital</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Deficit</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1"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Equity (Deficit)</w:t>
            </w:r>
          </w:p>
        </w:tc>
        <w:tc>
          <w:tcPr>
            <w:tcW w:w="81"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top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 – January 1, 2018</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27,592,830</w:t>
            </w:r>
          </w:p>
        </w:tc>
        <w:tc>
          <w:tcPr>
            <w:tcW w:w="8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7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41,755</w:t>
            </w:r>
          </w:p>
        </w:tc>
        <w:tc>
          <w:tcPr>
            <w:tcW w:w="8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right w:val="single" w:sz="6" w:space="0" w:color="000000"/>
            </w:tcBorders>
            <w:shd w:fill="CFF0FC" w:val="clear"/>
            <w:tcMar>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9,987,767</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9"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3,594</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01"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(31,115</w:t>
            </w:r>
          </w:p>
        </w:tc>
        <w:tc>
          <w:tcPr>
            <w:tcW w:w="80"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28"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(27,511</w:t>
            </w:r>
          </w:p>
        </w:tc>
        <w:tc>
          <w:tcPr>
            <w:tcW w:w="81"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8" w:type="dxa"/>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convertible preferred stock, net of</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issuance costs of $241</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6,052,617</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27,359</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Vesting of restricted common stock</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103,333</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414</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414</w:t>
            </w:r>
          </w:p>
        </w:tc>
        <w:tc>
          <w:tcPr>
            <w:tcW w:w="81"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bottom w:val="single" w:sz="6" w:space="0" w:color="000000"/>
            </w:tcBorders>
            <w:shd w:fill="CFF0FC" w:val="clear"/>
            <w:tcMar>
              <w:top w:w="0" w:type="dxa"/>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top w:w="0" w:type="dxa"/>
              <w:bottom w:w="28"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top w:w="0" w:type="dxa"/>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(9,064</w:t>
            </w:r>
          </w:p>
        </w:tc>
        <w:tc>
          <w:tcPr>
            <w:tcW w:w="8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(9,064</w:t>
            </w:r>
          </w:p>
        </w:tc>
        <w:tc>
          <w:tcPr>
            <w:tcW w:w="81" w:type="dxa"/>
            <w:tcBorders>
              <w:bottom w:val="single" w:sz="6" w:space="0" w:color="000000"/>
            </w:tcBorders>
            <w:shd w:fill="CFF0FC"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8" w:type="dxa"/>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 – December 31, 2018</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33,645,447</w:t>
            </w:r>
          </w:p>
        </w:tc>
        <w:tc>
          <w:tcPr>
            <w:tcW w:w="8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69,114</w:t>
            </w:r>
          </w:p>
        </w:tc>
        <w:tc>
          <w:tcPr>
            <w:tcW w:w="8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right w:val="single" w:sz="6" w:space="0" w:color="000000"/>
            </w:tcBorders>
            <w:shd w:fill="FFFFFF" w:val="clear"/>
            <w:tcMar>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10,091,100</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4,008</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(40,179</w:t>
            </w:r>
          </w:p>
        </w:tc>
        <w:tc>
          <w:tcPr>
            <w:tcW w:w="80" w:type="dxa"/>
            <w:tcBorders>
              <w:top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(36,161</w:t>
            </w:r>
          </w:p>
        </w:tc>
        <w:tc>
          <w:tcPr>
            <w:tcW w:w="81" w:type="dxa"/>
            <w:tcBorders>
              <w:top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8" w:type="dxa"/>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81"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bottom w:val="single" w:sz="6" w:space="0" w:color="000000"/>
            </w:tcBorders>
            <w:shd w:fill="FFFFFF" w:val="clear"/>
            <w:tcMar>
              <w:top w:w="0" w:type="dxa"/>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top w:w="0" w:type="dxa"/>
              <w:bottom w:w="28"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top w:w="0" w:type="dxa"/>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81" w:type="dxa"/>
            <w:tcBorders>
              <w:bottom w:val="single" w:sz="6" w:space="0" w:color="000000"/>
            </w:tcBorders>
            <w:shd w:fill="FFFFFF"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8" w:type="dxa"/>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 – December 31, 2019</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33,645,447</w:t>
            </w:r>
          </w:p>
        </w:tc>
        <w:tc>
          <w:tcPr>
            <w:tcW w:w="8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69,114</w:t>
            </w:r>
          </w:p>
        </w:tc>
        <w:tc>
          <w:tcPr>
            <w:tcW w:w="8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10,091,100</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4,632</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(54,213</w:t>
            </w:r>
          </w:p>
        </w:tc>
        <w:tc>
          <w:tcPr>
            <w:tcW w:w="80"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(49,571</w:t>
            </w:r>
          </w:p>
        </w:tc>
        <w:tc>
          <w:tcPr>
            <w:tcW w:w="81"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8" w:type="dxa"/>
            <w:tcBorders/>
            <w:shd w:fill="FFFFFF"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Series D convertible preferred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net of issuance costs of $869</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15,313,382</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106,631</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6"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9"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Series D-1 convertible preferred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stock, net of issuance costs of $15</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8,973,261</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107,485</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shd w:fill="FFFFFF"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common stock for exercise of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options</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0" w:type="dxa"/>
            <w:gridSpan w:val="2"/>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18,747</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w:t>
            </w:r>
          </w:p>
        </w:tc>
        <w:tc>
          <w:tcPr>
            <w:tcW w:w="81"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in connection with vesting of restricted stock</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20,000</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657</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657</w:t>
            </w:r>
          </w:p>
        </w:tc>
        <w:tc>
          <w:tcPr>
            <w:tcW w:w="81"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shd w:fill="FFFFFF"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Initial public offering, net of issuance costs of</w:t>
            </w:r>
          </w:p>
          <w:p>
            <w:pPr>
              <w:pStyle w:val="TableContents"/>
              <w:spacing w:before="0" w:after="0"/>
              <w:ind w:left="0" w:right="0" w:hanging="0"/>
              <w:rPr>
                <w:caps w:val="false"/>
                <w:smallCaps w:val="false"/>
                <w:color w:val="000000"/>
              </w:rPr>
            </w:pPr>
            <w:r>
              <w:rPr>
                <w:caps w:val="false"/>
                <w:smallCaps w:val="false"/>
                <w:color w:val="000000"/>
              </w:rPr>
              <w:t>  </w:t>
            </w:r>
            <w:r>
              <w:rPr>
                <w:rFonts w:ascii="Arial" w:hAnsi="Arial"/>
                <w:b w:val="false"/>
                <w:i w:val="false"/>
                <w:caps w:val="false"/>
                <w:smallCaps w:val="false"/>
                <w:color w:val="000000"/>
                <w:sz w:val="20"/>
              </w:rPr>
              <w:t>$3,245</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14,375,000</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317,591</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317,605</w:t>
            </w:r>
          </w:p>
        </w:tc>
        <w:tc>
          <w:tcPr>
            <w:tcW w:w="81"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Conversion of preferred stock into common stock</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(57,932,090</w:t>
            </w:r>
          </w:p>
        </w:tc>
        <w:tc>
          <w:tcPr>
            <w:tcW w:w="80" w:type="dxa"/>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(283,230</w:t>
            </w:r>
          </w:p>
        </w:tc>
        <w:tc>
          <w:tcPr>
            <w:tcW w:w="80" w:type="dxa"/>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right w:val="single" w:sz="6" w:space="0" w:color="000000"/>
            </w:tcBorders>
            <w:shd w:fill="CFF0FC"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57,932,090</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283,172</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283,230</w:t>
            </w:r>
          </w:p>
        </w:tc>
        <w:tc>
          <w:tcPr>
            <w:tcW w:w="81"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6,800</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6,800</w:t>
            </w:r>
          </w:p>
        </w:tc>
        <w:tc>
          <w:tcPr>
            <w:tcW w:w="81"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8" w:type="dxa"/>
            <w:tcBorders>
              <w:bottom w:val="single" w:sz="6" w:space="0" w:color="000000"/>
            </w:tcBorders>
            <w:shd w:fill="CFF0FC" w:val="clear"/>
            <w:tcMar>
              <w:top w:w="0" w:type="dxa"/>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top w:w="0" w:type="dxa"/>
              <w:bottom w:w="28"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top w:w="0" w:type="dxa"/>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8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8"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81" w:type="dxa"/>
            <w:tcBorders>
              <w:bottom w:val="single" w:sz="6" w:space="0" w:color="000000"/>
            </w:tcBorders>
            <w:shd w:fill="CFF0FC"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8" w:type="dxa"/>
            <w:tcBorders>
              <w:bottom w:val="single" w:sz="6" w:space="0" w:color="000000"/>
            </w:tcBorders>
            <w:shd w:fill="FFFFFF" w:val="clear"/>
            <w:tcMar>
              <w:top w:w="0" w:type="dxa"/>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 – December 31, 2020</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7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right w:val="single" w:sz="6" w:space="0" w:color="000000"/>
            </w:tcBorders>
            <w:shd w:fill="FFFFFF" w:val="clear"/>
            <w:tcMar>
              <w:bottom w:w="28"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left w:val="single" w:sz="6" w:space="0" w:color="000000"/>
              <w:bottom w:val="single" w:sz="6" w:space="0" w:color="000000"/>
            </w:tcBorders>
            <w:shd w:fill="FFFFFF"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82,436,937</w:t>
            </w:r>
          </w:p>
        </w:tc>
        <w:tc>
          <w:tcPr>
            <w:tcW w:w="6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w:t>
            </w:r>
          </w:p>
        </w:tc>
        <w:tc>
          <w:tcPr>
            <w:tcW w:w="6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9"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612,879</w:t>
            </w:r>
          </w:p>
        </w:tc>
        <w:tc>
          <w:tcPr>
            <w:tcW w:w="6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01"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(65,160</w:t>
            </w:r>
          </w:p>
        </w:tc>
        <w:tc>
          <w:tcPr>
            <w:tcW w:w="8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28"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547,801</w:t>
            </w:r>
          </w:p>
        </w:tc>
        <w:tc>
          <w:tcPr>
            <w:tcW w:w="81"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caps w:val="false"/>
          <w:smallCaps w:val="false"/>
          <w:sz w:val="14"/>
        </w:rPr>
      </w:pPr>
      <w:r>
        <w:rPr>
          <w:rFonts w:ascii="Arial" w:hAnsi="Arial"/>
          <w:b w:val="false"/>
          <w:i/>
          <w:caps w:val="false"/>
          <w:smallCaps w:val="false"/>
          <w:sz w:val="14"/>
        </w:rPr>
        <w:t>The accompanying notes are an integral part of these consolidated financial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F-5</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32"/>
        </w:rPr>
      </w:pPr>
      <w:bookmarkStart w:id="64" w:name="Cash_Flows"/>
      <w:bookmarkEnd w:id="64"/>
      <w:r>
        <w:rPr>
          <w:rFonts w:ascii="Arial" w:hAnsi="Arial"/>
          <w:b/>
          <w:i w:val="false"/>
          <w:caps w:val="false"/>
          <w:smallCaps w:val="false"/>
          <w:sz w:val="32"/>
        </w:rPr>
        <w:t>ATEA PHARMACEUTICALS, INC.</w:t>
      </w:r>
    </w:p>
    <w:p>
      <w:pPr>
        <w:pStyle w:val="TextBody"/>
        <w:spacing w:before="0" w:after="0"/>
        <w:rPr>
          <w:rFonts w:ascii="Arial" w:hAnsi="Arial"/>
          <w:b/>
          <w:i w:val="false"/>
          <w:caps w:val="false"/>
          <w:smallCaps w:val="false"/>
          <w:sz w:val="32"/>
        </w:rPr>
      </w:pPr>
      <w:bookmarkStart w:id="65" w:name="CONSOLIDATED_STATEMENTS_CASH_FLOWS"/>
      <w:bookmarkEnd w:id="65"/>
      <w:r>
        <w:rPr>
          <w:rFonts w:ascii="Arial" w:hAnsi="Arial"/>
          <w:b/>
          <w:i w:val="false"/>
          <w:caps w:val="false"/>
          <w:smallCaps w:val="false"/>
          <w:sz w:val="32"/>
        </w:rPr>
        <w:t>Consolidated Statements of Cash Flows</w:t>
      </w:r>
    </w:p>
    <w:p>
      <w:pPr>
        <w:pStyle w:val="TextBody"/>
        <w:spacing w:before="120" w:after="0"/>
        <w:rPr>
          <w:rFonts w:ascii="Arial" w:hAnsi="Arial"/>
          <w:b/>
          <w:i w:val="false"/>
          <w:caps w:val="false"/>
          <w:smallCaps w:val="false"/>
          <w:sz w:val="18"/>
        </w:rPr>
      </w:pPr>
      <w:r>
        <w:rPr>
          <w:rFonts w:ascii="Arial" w:hAnsi="Arial"/>
          <w:b/>
          <w:i w:val="false"/>
          <w:caps w:val="false"/>
          <w:smallCaps w:val="false"/>
          <w:sz w:val="18"/>
        </w:rPr>
        <w:t>(in thousands)</w:t>
      </w:r>
    </w:p>
    <w:p>
      <w:pPr>
        <w:pStyle w:val="TextBody"/>
        <w:spacing w:before="0" w:after="0"/>
        <w:rPr/>
      </w:pPr>
      <w:r>
        <w:rPr/>
        <w:t> </w:t>
      </w:r>
    </w:p>
    <w:tbl>
      <w:tblPr>
        <w:tblW w:w="7895" w:type="dxa"/>
        <w:jc w:val="center"/>
        <w:tblInd w:w="0" w:type="dxa"/>
        <w:tblCellMar>
          <w:top w:w="28" w:type="dxa"/>
          <w:left w:w="0" w:type="dxa"/>
          <w:bottom w:w="28" w:type="dxa"/>
          <w:right w:w="0" w:type="dxa"/>
        </w:tblCellMar>
      </w:tblPr>
      <w:tblGrid>
        <w:gridCol w:w="5120"/>
        <w:gridCol w:w="60"/>
        <w:gridCol w:w="125"/>
        <w:gridCol w:w="710"/>
        <w:gridCol w:w="80"/>
        <w:gridCol w:w="60"/>
        <w:gridCol w:w="125"/>
        <w:gridCol w:w="665"/>
        <w:gridCol w:w="80"/>
        <w:gridCol w:w="60"/>
        <w:gridCol w:w="125"/>
        <w:gridCol w:w="605"/>
        <w:gridCol w:w="80"/>
      </w:tblGrid>
      <w:tr>
        <w:trPr/>
        <w:tc>
          <w:tcPr>
            <w:tcW w:w="512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5" w:type="dxa"/>
            <w:gridSpan w:val="10"/>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9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top w:val="single" w:sz="6" w:space="0" w:color="000000"/>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Cash flows from operating activities</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(9,064</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12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Adjustments to reconcile net loss to net cash provided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by (used in) operating activities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7,457</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414</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Depreciation and amortization expense</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Changes in operating assets and liabilities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Unbilled accounts receivable</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(5,815</w:t>
            </w:r>
          </w:p>
        </w:tc>
        <w:tc>
          <w:tcPr>
            <w:tcW w:w="8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Prepaid expenses and other current assets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(7,296</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Accounts payable</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(488</w:t>
            </w:r>
          </w:p>
        </w:tc>
        <w:tc>
          <w:tcPr>
            <w:tcW w:w="8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157</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(90</w:t>
            </w:r>
          </w:p>
        </w:tc>
        <w:tc>
          <w:tcPr>
            <w:tcW w:w="8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12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Accrued expenses and other liabilities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12,437</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450</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729</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Deferred revenue</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301,367</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provided by (used in) operating activities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296,734</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(12,829</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(7,908</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120" w:type="dxa"/>
            <w:tcBorders/>
            <w:shd w:fill="CFF0FC" w:val="clear"/>
            <w:tcMar>
              <w:top w:w="0" w:type="dxa"/>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Cash flows from investing activities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Additions to property and equipment</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12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used in investing activities</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120" w:type="dxa"/>
            <w:tcBorders/>
            <w:shd w:fill="FFFFFF" w:val="clear"/>
            <w:tcMar>
              <w:top w:w="0" w:type="dxa"/>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Cash flows from financing activities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proceeds from issuance of convertible preferred stock</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214,116</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27,359</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Proceeds from issuance of common stock</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124</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proceeds from initial public offering of common stock</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317,605</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provided by financing activities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531,748</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27,483</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increase in cash, cash equivalents and restricted cash</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828,456</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(12,831</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19,563</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cash equivalents and restricted cash at the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beginning of period</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21,768</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34,599</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15,036</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cash equivalents and restricted cash at the end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of period</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850,224</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21,768</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34,599</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cash equivalents and restricted cash at the end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of period</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and cash equivalents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850,117</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21,661</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34,492</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Restricted cash</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cash, cash equivalents and restricted cash</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850,224</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21,768</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34,599</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top w:val="single" w:sz="6" w:space="0" w:color="000000"/>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Supplemental disclosure of non-cash financing activities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20" w:type="dxa"/>
            <w:tcBorders>
              <w:bottom w:val="single" w:sz="6" w:space="0" w:color="000000"/>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Arial" w:hAnsi="Arial"/>
                <w:b w:val="false"/>
                <w:i w:val="false"/>
                <w:caps w:val="false"/>
                <w:smallCaps w:val="false"/>
                <w:color w:val="000000"/>
                <w:sz w:val="20"/>
              </w:rPr>
              <w:t>Conversion of preferred stock to common stock upon</w:t>
            </w:r>
          </w:p>
          <w:p>
            <w:pPr>
              <w:pStyle w:val="TableContents"/>
              <w:spacing w:before="0" w:after="0"/>
              <w:ind w:left="0" w:right="0" w:hanging="0"/>
              <w:rPr>
                <w:caps w:val="false"/>
                <w:smallCaps w:val="false"/>
                <w:color w:val="000000"/>
              </w:rPr>
            </w:pPr>
            <w:r>
              <w:rPr>
                <w:caps w:val="false"/>
                <w:smallCaps w:val="false"/>
                <w:color w:val="000000"/>
              </w:rPr>
              <w:t>  </w:t>
            </w:r>
            <w:r>
              <w:rPr>
                <w:rFonts w:ascii="Arial" w:hAnsi="Arial"/>
                <w:b w:val="false"/>
                <w:i w:val="false"/>
                <w:caps w:val="false"/>
                <w:smallCaps w:val="false"/>
                <w:color w:val="000000"/>
                <w:sz w:val="20"/>
              </w:rPr>
              <w:t>closing of initial public offering</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283,230</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bottom w:val="single" w:sz="6" w:space="0" w:color="000000"/>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caps w:val="false"/>
          <w:smallCaps w:val="false"/>
          <w:sz w:val="14"/>
        </w:rPr>
      </w:pPr>
      <w:r>
        <w:rPr>
          <w:rFonts w:ascii="Arial" w:hAnsi="Arial"/>
          <w:b w:val="false"/>
          <w:i/>
          <w:caps w:val="false"/>
          <w:smallCaps w:val="false"/>
          <w:sz w:val="14"/>
        </w:rPr>
        <w:t>The accompanying notes are an integral part of these consolidated financial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32"/>
        </w:rPr>
      </w:pPr>
      <w:bookmarkStart w:id="66" w:name="BKMK_323"/>
      <w:bookmarkStart w:id="67" w:name="Notes"/>
      <w:bookmarkEnd w:id="66"/>
      <w:bookmarkEnd w:id="67"/>
      <w:r>
        <w:rPr>
          <w:rFonts w:ascii="Arial" w:hAnsi="Arial"/>
          <w:b/>
          <w:i w:val="false"/>
          <w:caps w:val="false"/>
          <w:smallCaps w:val="false"/>
          <w:sz w:val="32"/>
        </w:rPr>
        <w:t>ATEA PHARMACEUTICALS, INC.</w:t>
      </w:r>
    </w:p>
    <w:p>
      <w:pPr>
        <w:pStyle w:val="TextBody"/>
        <w:spacing w:before="0" w:after="0"/>
        <w:rPr>
          <w:rFonts w:ascii="Arial" w:hAnsi="Arial"/>
          <w:b/>
          <w:i w:val="false"/>
          <w:caps w:val="false"/>
          <w:smallCaps w:val="false"/>
          <w:sz w:val="32"/>
        </w:rPr>
      </w:pPr>
      <w:bookmarkStart w:id="68" w:name="BKMK_306"/>
      <w:bookmarkEnd w:id="68"/>
      <w:r>
        <w:rPr>
          <w:rFonts w:ascii="Arial" w:hAnsi="Arial"/>
          <w:b/>
          <w:i w:val="false"/>
          <w:caps w:val="false"/>
          <w:smallCaps w:val="false"/>
          <w:sz w:val="32"/>
        </w:rPr>
        <w:t>Notes to Consolidated Financial Statements</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(in thousands, except share and per share amounts)</w:t>
      </w:r>
    </w:p>
    <w:p>
      <w:pPr>
        <w:pStyle w:val="TextBody"/>
        <w:spacing w:before="120" w:after="0"/>
        <w:rPr>
          <w:rFonts w:ascii="Arial" w:hAnsi="Arial"/>
          <w:b/>
          <w:i w:val="false"/>
          <w:caps w:val="false"/>
          <w:smallCaps w:val="false"/>
          <w:color w:val="000000"/>
          <w:sz w:val="20"/>
        </w:rPr>
      </w:pPr>
      <w:r>
        <w:rPr>
          <w:rFonts w:ascii="Arial" w:hAnsi="Arial"/>
          <w:b/>
          <w:i w:val="false"/>
          <w:caps w:val="false"/>
          <w:smallCaps w:val="false"/>
          <w:color w:val="000000"/>
          <w:sz w:val="20"/>
        </w:rPr>
        <w:t>1. Nature of Business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Atea Pharmaceuticals, Inc., together with its subsidiary Atea Pharmaceuticals Securities Corporation, is referred to on a consolidated basis as “the Company”.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Company is a clinical-stage biopharmaceutical company </w:t>
      </w:r>
      <w:r>
        <w:rPr>
          <w:rFonts w:ascii="Arial" w:hAnsi="Arial"/>
          <w:b w:val="false"/>
          <w:i w:val="false"/>
          <w:caps w:val="false"/>
          <w:smallCaps w:val="false"/>
          <w:color w:val="000000"/>
          <w:sz w:val="20"/>
          <w:highlight w:val="white"/>
        </w:rPr>
        <w:t xml:space="preserve">focused on discovering, developing and commercializing antiviral therapeutics to improve the lives of patients suffering from life-threatening viral infections.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In October 2020, the Company entered into a license agreement, (“the License Agreement”) with F. Hoffmann-La Roche Ltd and Genentech, Inc. (collectively “Roche”), granting Roche an exclusive license to develop and commercialize certain of the Company’s compounds outside of the United States.  Atea is responsible for completing certain ongoing clinical and non-clinical and manufacturing activities and at its own expense.</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As part of the consideration, Roche agreed to pay the Company an upfront payment of $350,000 (the “Roche Upfront Payment”), which was received in November 2020.</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On November 3, 2020, the Company completed an initial public offering of its common stock (the “IPO”).  In connection with the IPO, the Company issued 14,375,000 shares of its common stock at $24.00 per share for net proceeds of $317,605 after deducting underwriting discounts and commissions and offering expenses.  Upon closing of the IPO, all outstanding shares of the Company’s convertible preferred stock converted into 57,932,090 shares of common stock.</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 is subject to risks and uncertainties common to clinical-stage biopharmaceutical companies. These risks include, but are not limited to, potential failure of preclinical and clinical studies, uncertainties associated with research and development activities generally, competition from technical innovations of others, dependence upon key personnel, compliance with governmental regulations, the need to obtain marketing approval for any product candidate that the Company may discover and develop, the need to gain broad acceptance among patients, payers and health care providers to successfully commercialize any product for which marketing approval is obtained and the need to secure and maintain adequate intellectual property protection for the Company’s proprietary technology and products. Further, the Company is currently dependent on third-party service providers for much of its preclinical research, clinical development and manufacturing activities. Product candidates currently under development will require significant amounts of additional capital, additional research and development efforts, including extensive preclinical and clinical testing and regulatory approval, prior to commercialization. Even if the Company is able to generate revenues from the sale of its product candidates, if approved, it may not become profitable. If the Company fails to become profitable or is unable to sustain profitability on a continuing basis, then it may be unable to continue its operations at planned levels and be forced to reduce its operations. The Company is also subject to risks associated with the COVID-19 global pandemic, including actual and potential delays associated with certain of its ongoing and anticipated trials, and potential negative impacts on the Company’s business operations and its ability to raise additional capital to finance its operations.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Since its inception, the Company has incurred recurring operating losses. As of December 31, 2020, the Company had an accumulated deficit of $65,160. The Company expects to continue to generate operating losses for the foreseeable future. The Company believes that its cash and cash equivalents of $850,117 as of December 31, 2020 will be sufficient to fund its operations as currently planned through at least 2023.</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 may seek additional capital through one or more of a combination of financing through the sale of additional equity securities, debt financing, or funding in connection with any additional collaborative relationships it may enter into or other arrangements. There can be no assurance that the Company will be able to obtain such additional funding, on terms acceptable to the Company, on a timely basis or at all. The terms of any financing may adversely affect the holdings or the rights of the Company’s existing shareholders.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F-7</w:t>
      </w:r>
    </w:p>
    <w:p>
      <w:pPr>
        <w:pStyle w:val="HorizontalLine"/>
        <w:rPr/>
      </w:pPr>
      <w:r>
        <w:rPr/>
      </w:r>
    </w:p>
    <w:p>
      <w:pPr>
        <w:pStyle w:val="TextBody"/>
        <w:spacing w:before="0" w:after="0"/>
        <w:rPr/>
      </w:pPr>
      <w:r>
        <w:rPr/>
        <w:t>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2. Summary of Significant Accounting Policies</w:t>
      </w:r>
    </w:p>
    <w:p>
      <w:pPr>
        <w:pStyle w:val="TextBody"/>
        <w:spacing w:before="120" w:after="0"/>
        <w:rPr>
          <w:rFonts w:ascii="Arial" w:hAnsi="Arial"/>
          <w:b/>
          <w:i/>
          <w:caps w:val="false"/>
          <w:smallCaps w:val="false"/>
          <w:sz w:val="20"/>
        </w:rPr>
      </w:pPr>
      <w:r>
        <w:rPr>
          <w:rFonts w:ascii="Arial" w:hAnsi="Arial"/>
          <w:b/>
          <w:i/>
          <w:caps w:val="false"/>
          <w:smallCaps w:val="false"/>
          <w:sz w:val="20"/>
        </w:rPr>
        <w:t>Basis of Presentation and Use of Estimates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accompanying consolidated financial statements have been prepared in conformity with accounting principles generally accepted in the United States of America, or GAAP.</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preparation of financial statements in conformity with GAAP requires management to make estimates and assumptions that affect the amounts reported in the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estimates of revenue, accrued research and development expenses, and the valuation of common stock in connection with the issuance of stock-based awards prior to the completion of the IPO. Changes in estimates are recorded in the period in which they become known.</w:t>
      </w:r>
    </w:p>
    <w:p>
      <w:pPr>
        <w:pStyle w:val="TextBody"/>
        <w:spacing w:before="120" w:after="0"/>
        <w:rPr>
          <w:rFonts w:ascii="Arial" w:hAnsi="Arial"/>
          <w:b/>
          <w:i/>
          <w:caps w:val="false"/>
          <w:smallCaps w:val="false"/>
          <w:sz w:val="20"/>
        </w:rPr>
      </w:pPr>
      <w:r>
        <w:rPr>
          <w:rFonts w:ascii="Arial" w:hAnsi="Arial"/>
          <w:b/>
          <w:i/>
          <w:caps w:val="false"/>
          <w:smallCaps w:val="false"/>
          <w:sz w:val="20"/>
        </w:rPr>
        <w:t>Principles of Consolidation</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consolidated financial statements include the accounts of Atea Pharmaceuticals, Inc. and its wholly- owned subsidiary, Atea Pharmaceuticals Securities Corporation. All intercompany amounts have been eliminated in consolidation.</w:t>
      </w:r>
    </w:p>
    <w:p>
      <w:pPr>
        <w:pStyle w:val="TextBody"/>
        <w:spacing w:before="0" w:after="0"/>
        <w:rPr/>
      </w:pPr>
      <w:r>
        <w:rPr/>
        <w:t> </w:t>
      </w:r>
    </w:p>
    <w:p>
      <w:pPr>
        <w:pStyle w:val="TextBody"/>
        <w:shd w:fill="FFFFFF" w:val="clear"/>
        <w:spacing w:before="0" w:after="0"/>
        <w:rPr>
          <w:rFonts w:ascii="Arial" w:hAnsi="Arial"/>
          <w:b/>
          <w:i/>
          <w:caps w:val="false"/>
          <w:smallCaps w:val="false"/>
          <w:color w:val="000000"/>
          <w:sz w:val="20"/>
        </w:rPr>
      </w:pPr>
      <w:r>
        <w:rPr>
          <w:rFonts w:ascii="Arial" w:hAnsi="Arial"/>
          <w:b/>
          <w:i/>
          <w:caps w:val="false"/>
          <w:smallCaps w:val="false"/>
          <w:color w:val="000000"/>
          <w:sz w:val="20"/>
        </w:rPr>
        <w:t>Revenue Recognition</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As of December 31, 2020, all of the Company’s revenue to date had been collaboration revenue generated from its license agreement with Roche.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 analyzes its collaboration arrangements to assess whether they are within the scope of Accounting Standards Codification ASC Topic 808, </w:t>
      </w:r>
      <w:r>
        <w:rPr>
          <w:rFonts w:ascii="Arial" w:hAnsi="Arial"/>
          <w:b w:val="false"/>
          <w:i/>
          <w:caps w:val="false"/>
          <w:smallCaps w:val="false"/>
          <w:color w:val="000000"/>
          <w:sz w:val="20"/>
        </w:rPr>
        <w:t>Collaborative Arrangements (“</w:t>
      </w:r>
      <w:r>
        <w:rPr>
          <w:rFonts w:ascii="Arial" w:hAnsi="Arial"/>
          <w:b w:val="false"/>
          <w:i w:val="false"/>
          <w:caps w:val="false"/>
          <w:smallCaps w:val="false"/>
          <w:color w:val="000000"/>
          <w:sz w:val="20"/>
        </w:rPr>
        <w:t xml:space="preserve">ASC 808”), to determine whether such arrangements involve joint operating activities performed by parties that are both active participants in the activities and exposed to significant risks and rewards that are dependent on the commercial success of such activities. If the Company concludes that some or all aspects of the arrangement are within the scope of ASC 808 and do not represent a transaction with a customer, the Company recognizes its allocation of the shared costs incurred with respect to the jointly conducted activities pursuant to ASC 730, </w:t>
      </w:r>
      <w:r>
        <w:rPr>
          <w:rFonts w:ascii="Arial" w:hAnsi="Arial"/>
          <w:b w:val="false"/>
          <w:i/>
          <w:caps w:val="false"/>
          <w:smallCaps w:val="false"/>
          <w:color w:val="000000"/>
          <w:sz w:val="20"/>
        </w:rPr>
        <w:t>Research and Development</w:t>
      </w:r>
      <w:r>
        <w:rPr>
          <w:rFonts w:ascii="Arial" w:hAnsi="Arial"/>
          <w:b w:val="false"/>
          <w:i w:val="false"/>
          <w:caps w:val="false"/>
          <w:smallCaps w:val="false"/>
          <w:color w:val="000000"/>
          <w:sz w:val="20"/>
        </w:rPr>
        <w:t xml:space="preserve">. As such, the Company will expense costs as incurred, including any reimbursements made, and recognize reimbursements received as a reduction of research and development expense. If the Company concludes that some or all aspects of the arrangement represent a transaction with a customer, the Company accounts for those aspects of the arrangement within the scope of ASC 606, </w:t>
      </w:r>
      <w:r>
        <w:rPr>
          <w:rFonts w:ascii="Arial" w:hAnsi="Arial"/>
          <w:b w:val="false"/>
          <w:i/>
          <w:caps w:val="false"/>
          <w:smallCaps w:val="false"/>
          <w:color w:val="000000"/>
          <w:sz w:val="20"/>
        </w:rPr>
        <w:t>Revenue from Contracts with Customers</w:t>
      </w:r>
      <w:r>
        <w:rPr>
          <w:rFonts w:ascii="Arial" w:hAnsi="Arial"/>
          <w:b w:val="false"/>
          <w:i w:val="false"/>
          <w:caps w:val="false"/>
          <w:smallCaps w:val="false"/>
          <w:color w:val="000000"/>
          <w:sz w:val="20"/>
        </w:rPr>
        <w:t xml:space="preserve"> (“ASC 606”).</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 determine the appropriate amount of revenue to be recognized for arrangements that the Company determines are within the scope of ASC 606, it performs the following steps: (i) identify the contract(s) with the customer; (ii) identify the performance obligations in the contract; (iii) determine the transaction price; (iv) allocate the transaction price to the performance obligations in the contract; and (v) recognize revenue when (or as) each performance obligation is satisfied. ASC 606 requires significant judgment and estimates and results in changes to, but not limited to: (i) the determination of the transaction price, including estimates of variable consideration, (ii) the allocation of the transaction price, including the determination of estimated selling price, and (iii) the pattern of recognition, including the application of proportional performance as a measure of progress on service-related promises and application of point-in-time recognition for supply-related promises.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transaction price is generally comprised of an upfront payment due at contract inception and variable consideration in the form of payments for the Company’s services and materials and milestone payments due upon the achievement of specified events. Other payments the Company could be entitled to include tiered royalties earned when customers recognize net sales of licensed products. The Company considers the existence of any significant financing component within its arrangements and has determined that a significant financing component does not exist in its arrangements as substantive business purposes exist to support the payment structure other than to provide a significant benefit of financing. The Company measures the transaction price based on the amount of consideration to which it expects to be entitled in exchange for transferring the promised goods and/or services to the customer. The Company utilizes either the expected value method or the most likely amount method to estimate the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F-8</w:t>
      </w:r>
    </w:p>
    <w:p>
      <w:pPr>
        <w:pStyle w:val="HorizontalLine"/>
        <w:rPr/>
      </w:pPr>
      <w:r>
        <w:rPr/>
      </w:r>
    </w:p>
    <w:p>
      <w:pPr>
        <w:pStyle w:val="TextBody"/>
        <w:spacing w:before="0" w:after="0"/>
        <w:rPr/>
      </w:pPr>
      <w:r>
        <w:rPr/>
        <w:t>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amount of variable consideration, depending on which method is expected to better predict the amount of consideration to which the Company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With respect to arrangements that include payments for a development or regulatory milestone payment, the Company evaluates whether the associated event is considered probable of achievement and estimate the amount to be included in the transaction price using the most likely amount method. Milestone payments that are not within the Company’s control or the licensee, such as those dependent upon receipt of regulatory approval, are not considered to be probable of achievement until the triggering event occurs. At the end of each reporting period, the Company re-evaluates the probability of achievement of each milestone and any related constraint, and if necessary, adjusts its estimate of the overall transaction price. Any such adjustments are recorded on a cumulative catch-up basis, which would affect revenue and net loss in the period of adjustment. For arrangements that include sales-based royalties, including milestone payments based upon the achievement of a certain level of product sales, wherein the license is deemed to be the sole or predominant item to which the payments relate, the Company recognizes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 generally allocates the transaction price to each performance obligation based on a relative standalone selling price basis. The Company develops assumptions that require judgment to determine the standalone selling price for each performance obligation in consideration of applicable market conditions and relevant entity-specific factors, including factors that were contemplated in negotiating the agreement with the customer and estimated research and development costs. However, in certain instances, the Company allocates variable consideration entirely to one or more performance obligation if the terms of the variable consideration relate to the satisfaction of the respective performance obligation and the amount allocated is consistent with the amount the Company would expect to receive for the satisfaction of the respective performance obligation.</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 recognizes revenue based on the amount of the transaction price that is allocated to each respective performance obligation when or as the performance obligation is satisfied by transferring a promised good or service to the customer. For performance obligations that are satisfied at a point in time, the Company recognizes revenue when control of the goods and/or services is transferred to the customer. For performance obligations that are satisfied over time, the Company recognizes revenue by measuring the progress toward complete satisfaction of the performance obligation using a single method of measuring progress which depicts the performance in transferring control of the associated goods and/or services to the customer. The Company generally uses input methods to measure the progress toward the complete satisfaction of performance obligations satisfied over time. With respect to arrangements containing a license to its intellectual property that is determined to be distinct from the other performance obligations identified in the arrangement, the Company recognizes revenue from amounts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Significant management judgment is required in determining the level of effort required under an arrangement and the period over which the Company is expected to complete its performance obligations under an arrangement. The Company evaluates the measure of progress each reporting period and, if necessary, adjusts the measure of performance and related revenue recognition. Any such adjustments are recorded on a cumulative catch-up basis, which would affect revenue and net loss in the period of adjustment.</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F-9</w:t>
      </w:r>
    </w:p>
    <w:p>
      <w:pPr>
        <w:pStyle w:val="HorizontalLine"/>
        <w:rPr/>
      </w:pPr>
      <w:r>
        <w:rPr/>
      </w:r>
    </w:p>
    <w:p>
      <w:pPr>
        <w:pStyle w:val="TextBody"/>
        <w:spacing w:before="0" w:after="0"/>
        <w:rPr/>
      </w:pPr>
      <w:r>
        <w:rPr/>
        <w:t> </w:t>
      </w:r>
    </w:p>
    <w:p>
      <w:pPr>
        <w:pStyle w:val="TextBody"/>
        <w:spacing w:before="120" w:after="0"/>
        <w:rPr>
          <w:rFonts w:ascii="Arial" w:hAnsi="Arial"/>
          <w:b w:val="false"/>
          <w:i/>
          <w:caps w:val="false"/>
          <w:smallCaps w:val="false"/>
          <w:color w:val="000000"/>
          <w:sz w:val="20"/>
        </w:rPr>
      </w:pPr>
      <w:r>
        <w:rPr>
          <w:rFonts w:ascii="Arial" w:hAnsi="Arial"/>
          <w:b w:val="false"/>
          <w:i/>
          <w:caps w:val="false"/>
          <w:smallCaps w:val="false"/>
          <w:color w:val="000000"/>
          <w:sz w:val="20"/>
        </w:rPr>
        <w:t>Contract costs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Company recognizes as an asset the incremental costs of obtaining a contract with a customer if the costs are expected to be recovered. The Company has elected the practical expedient in ASC 340, </w:t>
      </w:r>
      <w:r>
        <w:rPr>
          <w:rFonts w:ascii="Arial" w:hAnsi="Arial"/>
          <w:b w:val="false"/>
          <w:i/>
          <w:caps w:val="false"/>
          <w:smallCaps w:val="false"/>
          <w:color w:val="000000"/>
          <w:sz w:val="20"/>
        </w:rPr>
        <w:t>Other Assets and Deferred Costs</w:t>
      </w:r>
      <w:r>
        <w:rPr>
          <w:rFonts w:ascii="Arial" w:hAnsi="Arial"/>
          <w:b w:val="false"/>
          <w:i w:val="false"/>
          <w:caps w:val="false"/>
          <w:smallCaps w:val="false"/>
          <w:color w:val="000000"/>
          <w:sz w:val="20"/>
        </w:rPr>
        <w:t>, wherein it recognizes the incremental costs of obtaining a contract as an expense when incurred if, at inception, the expected amortization period of the asset that the Company otherwise would have recognized is one year or less. In connection with the Roche License Agreement, the Company incurred an incremental cost of $7,000, which was included in general and administrative costs in the accompanying statement of operations and comprehensive loss for the year ended December 31, 2020.  </w:t>
      </w:r>
    </w:p>
    <w:p>
      <w:pPr>
        <w:pStyle w:val="TextBody"/>
        <w:spacing w:before="120" w:after="0"/>
        <w:rPr>
          <w:rFonts w:ascii="Arial" w:hAnsi="Arial"/>
          <w:b/>
          <w:i/>
          <w:caps w:val="false"/>
          <w:smallCaps w:val="false"/>
          <w:sz w:val="20"/>
        </w:rPr>
      </w:pPr>
      <w:r>
        <w:rPr>
          <w:rFonts w:ascii="Arial" w:hAnsi="Arial"/>
          <w:b/>
          <w:i/>
          <w:caps w:val="false"/>
          <w:smallCaps w:val="false"/>
          <w:sz w:val="20"/>
        </w:rPr>
        <w:t>Cash and Cash Equivalents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considers all highly-liquid investments purchased with maturities of 90 days or less at acquisition to be cash equivalents. Cash and cash equivalents include bank demand deposits and money market funds that invest in U.S. government and U.S. government agency obligations. Cash equivalents are reported at fair value.</w:t>
      </w:r>
    </w:p>
    <w:p>
      <w:pPr>
        <w:pStyle w:val="TextBody"/>
        <w:spacing w:before="120" w:after="0"/>
        <w:rPr>
          <w:rFonts w:ascii="Arial" w:hAnsi="Arial"/>
          <w:b/>
          <w:i/>
          <w:caps w:val="false"/>
          <w:smallCaps w:val="false"/>
          <w:sz w:val="20"/>
        </w:rPr>
      </w:pPr>
      <w:r>
        <w:rPr>
          <w:rFonts w:ascii="Arial" w:hAnsi="Arial"/>
          <w:b/>
          <w:i/>
          <w:caps w:val="false"/>
          <w:smallCaps w:val="false"/>
          <w:sz w:val="20"/>
        </w:rPr>
        <w:t>Concentrations of Credit Risk and Significant Suppliers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Financial instruments that potentially subject the Company to concentrations of credit risk are primarily cash and cash equivalents. The Company maintains its cash and cash equivalents with a financial institution that management believes is creditworthy. The Company’s investment policy includes guidelines on the quality of the financial institutions and financial instruments and defines allowable investments that the Company believes minimizes the exposure to concentration of credit risk.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pStyle w:val="TextBody"/>
        <w:spacing w:before="120" w:after="0"/>
        <w:rPr>
          <w:rFonts w:ascii="Arial" w:hAnsi="Arial"/>
          <w:b/>
          <w:i/>
          <w:caps w:val="false"/>
          <w:smallCaps w:val="false"/>
          <w:sz w:val="20"/>
        </w:rPr>
      </w:pPr>
      <w:r>
        <w:rPr>
          <w:rFonts w:ascii="Arial" w:hAnsi="Arial"/>
          <w:b/>
          <w:i/>
          <w:caps w:val="false"/>
          <w:smallCaps w:val="false"/>
          <w:sz w:val="20"/>
        </w:rPr>
        <w:t>Fair Value Measurement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Level 1—Observable inputs such as unadjusted, quoted prices in active markets for identical assets or liabilities at the measurement date.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Level 2—Observable inputs (other than quoted prices included in Level 1) that are either directly or indirectly observable for the asset or liability. These include quoted prices for similar assets or liabilities in active markets and quoted prices for identical or similar assets or liabilities in markets that are not active.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Level 3—Unobservable inputs that are supported by little or no market activity and that are significant to determination of fair value of the assets or liabilities.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Cash, cash equivalents and restricted cash are Level 1 assets which are comprised of funds held in checking and money market accounts. Cash, cash equivalents and restricted cash were recorded at fair value as disclosed in Note 4. The carrying amounts of accounts payable, accrued expenses and unbilled other receivables approximate their fair values due to their short-term maturities.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F-10</w:t>
      </w:r>
    </w:p>
    <w:p>
      <w:pPr>
        <w:pStyle w:val="HorizontalLine"/>
        <w:rPr/>
      </w:pPr>
      <w:r>
        <w:rPr/>
      </w:r>
    </w:p>
    <w:p>
      <w:pPr>
        <w:pStyle w:val="TextBody"/>
        <w:spacing w:before="0" w:after="0"/>
        <w:rPr/>
      </w:pPr>
      <w:r>
        <w:rPr/>
        <w:t> </w:t>
      </w:r>
    </w:p>
    <w:p>
      <w:pPr>
        <w:pStyle w:val="TextBody"/>
        <w:spacing w:before="120" w:after="0"/>
        <w:rPr>
          <w:rFonts w:ascii="Arial" w:hAnsi="Arial"/>
          <w:b/>
          <w:i/>
          <w:caps w:val="false"/>
          <w:smallCaps w:val="false"/>
          <w:sz w:val="20"/>
        </w:rPr>
      </w:pPr>
      <w:r>
        <w:rPr>
          <w:rFonts w:ascii="Arial" w:hAnsi="Arial"/>
          <w:b/>
          <w:i/>
          <w:caps w:val="false"/>
          <w:smallCaps w:val="false"/>
          <w:sz w:val="20"/>
        </w:rPr>
        <w:t>Property and Equipment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Property and equipment are stated at cost, less accumulated depreciation and amortization. Property and equipment are depreciated using the straight-line method over the estimated useful lives of the asset. The Company estimates the useful life of its assets as follows:</w:t>
      </w:r>
    </w:p>
    <w:p>
      <w:pPr>
        <w:pStyle w:val="TextBody"/>
        <w:spacing w:before="0" w:after="0"/>
        <w:rPr/>
      </w:pPr>
      <w:r>
        <w:rPr/>
        <w:t> </w:t>
      </w:r>
    </w:p>
    <w:tbl>
      <w:tblPr>
        <w:tblW w:w="6325" w:type="dxa"/>
        <w:jc w:val="center"/>
        <w:tblInd w:w="0" w:type="dxa"/>
        <w:tblCellMar>
          <w:top w:w="28" w:type="dxa"/>
          <w:left w:w="0" w:type="dxa"/>
          <w:bottom w:w="28" w:type="dxa"/>
          <w:right w:w="0" w:type="dxa"/>
        </w:tblCellMar>
      </w:tblPr>
      <w:tblGrid>
        <w:gridCol w:w="2390"/>
        <w:gridCol w:w="60"/>
        <w:gridCol w:w="3875"/>
      </w:tblGrid>
      <w:tr>
        <w:trPr/>
        <w:tc>
          <w:tcPr>
            <w:tcW w:w="2390"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Asset</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7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Estimated useful life</w:t>
            </w:r>
          </w:p>
        </w:tc>
      </w:tr>
      <w:tr>
        <w:trPr/>
        <w:tc>
          <w:tcPr>
            <w:tcW w:w="239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Laboratory equipment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7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Five years</w:t>
            </w:r>
          </w:p>
        </w:tc>
      </w:tr>
      <w:tr>
        <w:trPr/>
        <w:tc>
          <w:tcPr>
            <w:tcW w:w="239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Office furniture and fixtures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7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Five years</w:t>
            </w:r>
          </w:p>
        </w:tc>
      </w:tr>
      <w:tr>
        <w:trPr/>
        <w:tc>
          <w:tcPr>
            <w:tcW w:w="239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Computer hardware</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7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Two years</w:t>
            </w:r>
          </w:p>
        </w:tc>
      </w:tr>
      <w:tr>
        <w:trPr/>
        <w:tc>
          <w:tcPr>
            <w:tcW w:w="239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Leasehold improvements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75"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Shorter of useful life or remaining lease term</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Maintenance and repairs that do not improve or extend the life of the respective asset are expensed to operations as incurred. Upon disposal of an asset, the related cost and accumulated depreciation are removed from the accounts and any resulting gain or loss is included in the consolidated statements of operations.</w:t>
      </w:r>
    </w:p>
    <w:p>
      <w:pPr>
        <w:pStyle w:val="TextBody"/>
        <w:spacing w:before="120" w:after="0"/>
        <w:rPr>
          <w:rFonts w:ascii="Arial" w:hAnsi="Arial"/>
          <w:b/>
          <w:i/>
          <w:caps w:val="false"/>
          <w:smallCaps w:val="false"/>
          <w:sz w:val="20"/>
        </w:rPr>
      </w:pPr>
      <w:r>
        <w:rPr>
          <w:rFonts w:ascii="Arial" w:hAnsi="Arial"/>
          <w:b/>
          <w:i/>
          <w:caps w:val="false"/>
          <w:smallCaps w:val="false"/>
          <w:sz w:val="20"/>
        </w:rPr>
        <w:t>Other Assets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Other assets consists primarily of bank deposits of $107, classified as restricted cash, to collateralize a letter of credit.</w:t>
      </w:r>
    </w:p>
    <w:p>
      <w:pPr>
        <w:pStyle w:val="TextBody"/>
        <w:spacing w:before="120" w:after="0"/>
        <w:rPr>
          <w:rFonts w:ascii="Arial" w:hAnsi="Arial"/>
          <w:b/>
          <w:i/>
          <w:caps w:val="false"/>
          <w:smallCaps w:val="false"/>
          <w:sz w:val="20"/>
        </w:rPr>
      </w:pPr>
      <w:r>
        <w:rPr>
          <w:rFonts w:ascii="Arial" w:hAnsi="Arial"/>
          <w:b/>
          <w:i/>
          <w:caps w:val="false"/>
          <w:smallCaps w:val="false"/>
          <w:sz w:val="20"/>
        </w:rPr>
        <w:t>Impairment of Long-lived Assets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reviews long-lived assets when events or changes in circumstances indicate the carrying value of the assets may not be recoverable. Recoverability is measured by comparing the book value of the assets to the estimated undiscounted future net cash flows that the asset is expected to generate. If the estimated undiscounted future net cash flows are less than the book value, the asset is impaired, and the impairment loss to be recognized in income is measured as the amount by which the book value of the asset exceeds its fair value, which is measured based on the estimated discounted future net cash flows that the asset is expected to generate. No impairment losses were recorded during the years ended December 31, 2020, 2019 and 2018.</w:t>
      </w:r>
    </w:p>
    <w:p>
      <w:pPr>
        <w:pStyle w:val="TextBody"/>
        <w:spacing w:before="120" w:after="0"/>
        <w:rPr>
          <w:rFonts w:ascii="Arial" w:hAnsi="Arial"/>
          <w:b/>
          <w:i/>
          <w:caps w:val="false"/>
          <w:smallCaps w:val="false"/>
          <w:sz w:val="20"/>
        </w:rPr>
      </w:pPr>
      <w:r>
        <w:rPr>
          <w:rFonts w:ascii="Arial" w:hAnsi="Arial"/>
          <w:b/>
          <w:i/>
          <w:caps w:val="false"/>
          <w:smallCaps w:val="false"/>
          <w:sz w:val="20"/>
        </w:rPr>
        <w:t>Research and Development Costs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Research and development costs are expensed as incurred. Research and development expenses consist principally of costs associated with outsourced research and development activities, including preclinical and clinical development, manufacturing and research conducted by contract research organizations and academic institutions, employee compensation, including stock-based compensation and consulting expenses together with related expenses, professional fees and facility and overhead costs. Facility and overhead costs primarily include the allocation of rent, utility and office-related expenses attributable to research and development personnel. In circumstances where amounts have been paid in advance or in excess of costs incurred, the Company records a prepaid expense, which is expensed as services are performed or goods are delivered.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has entered into various research and development contracts with third parties.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of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pStyle w:val="TextBody"/>
        <w:spacing w:before="120" w:after="0"/>
        <w:rPr>
          <w:rFonts w:ascii="Arial" w:hAnsi="Arial"/>
          <w:b/>
          <w:i/>
          <w:caps w:val="false"/>
          <w:smallCaps w:val="false"/>
          <w:sz w:val="20"/>
        </w:rPr>
      </w:pPr>
      <w:r>
        <w:rPr>
          <w:rFonts w:ascii="Arial" w:hAnsi="Arial"/>
          <w:b/>
          <w:i/>
          <w:caps w:val="false"/>
          <w:smallCaps w:val="false"/>
          <w:sz w:val="20"/>
        </w:rPr>
        <w:t>Patent Costs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Costs to secure and maintain the Company’s patents are expensed as incurred and are classified as general and administrative expenses in the Company’s consolidated statements of operations.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F-11</w:t>
      </w:r>
    </w:p>
    <w:p>
      <w:pPr>
        <w:pStyle w:val="HorizontalLine"/>
        <w:rPr/>
      </w:pPr>
      <w:r>
        <w:rPr/>
      </w:r>
    </w:p>
    <w:p>
      <w:pPr>
        <w:pStyle w:val="TextBody"/>
        <w:spacing w:before="0" w:after="0"/>
        <w:rPr/>
      </w:pPr>
      <w:r>
        <w:rPr/>
        <w:t> </w:t>
      </w:r>
    </w:p>
    <w:p>
      <w:pPr>
        <w:pStyle w:val="TextBody"/>
        <w:spacing w:before="120" w:after="0"/>
        <w:rPr>
          <w:rFonts w:ascii="Arial" w:hAnsi="Arial"/>
          <w:b/>
          <w:i/>
          <w:caps w:val="false"/>
          <w:smallCaps w:val="false"/>
          <w:sz w:val="20"/>
        </w:rPr>
      </w:pPr>
      <w:r>
        <w:rPr>
          <w:rFonts w:ascii="Arial" w:hAnsi="Arial"/>
          <w:b/>
          <w:i/>
          <w:caps w:val="false"/>
          <w:smallCaps w:val="false"/>
          <w:sz w:val="20"/>
        </w:rPr>
        <w:t>Stock-based Compensation</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 is classified in the consolidated statement of operations in the same manner in which the award recipient’s payroll costs or service payments are classified. Stock-based awards granted to employees and non-employees are measured based on the estimated fair value of the awards using the Black-Scholes option pricing model (“Black-Scholes”). Stock-based compensation expense with respect to awards with service conditions is recognized using the straight-line method over the service period. Stock-based compensation with respect to awards with performance conditions is recognized when satisfaction of the performance conditions is probable. Stock-based compensation is based on awards ultimately expected to vest and, as such, it is reduced by forfeitures. The Company accounts for forfeitures as they occur.</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Black-Scholes requires the use of subjective assumptions which determine the fair value of stock-based awards. These assumptions include:</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Fair value of common stock—</w:t>
      </w:r>
      <w:r>
        <w:rPr>
          <w:rFonts w:ascii="Arial" w:hAnsi="Arial"/>
          <w:b w:val="false"/>
          <w:i/>
          <w:caps w:val="false"/>
          <w:smallCaps w:val="false"/>
          <w:color w:val="000000"/>
          <w:sz w:val="20"/>
        </w:rPr>
        <w:t xml:space="preserve"> </w:t>
      </w:r>
      <w:r>
        <w:rPr>
          <w:rFonts w:ascii="Arial" w:hAnsi="Arial"/>
          <w:b w:val="false"/>
          <w:i w:val="false"/>
          <w:caps w:val="false"/>
          <w:smallCaps w:val="false"/>
          <w:color w:val="000000"/>
          <w:sz w:val="20"/>
        </w:rPr>
        <w:t>Through October 29, 2020, because there was no public market for the Company’s common stock, the fair value of the Company’s common stock underlying stock-based awards was estimated on each grant date by the board of directors.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the absence of a public trading market for the Company’s common stock prior to its IPO, on each grant date, the Company developed an estimate of the fair value of its common stock based on valuations from an independent third-party valuation firm using information known to the Company on the date of grant, a review of any recent events and their potential impact on the estimated fair value per share of the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third-party valuations of the Company’s common stock were determined in accordance with the guidelines outlined in the American Institute of Certified Public Accountants Practice Aid, Valuation of Privately-Held-Company Equity Securities Issued as Compensation, or the Practice Aid.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assumptions used to determine the estimated fair value of the Company’s common stock are based on numerous objective and subjective factors, combined with management judgment, including: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external market conditions affecting the pharmaceutical and biotechnology industry and trends within the industry;</w:t>
            </w:r>
          </w:p>
        </w:tc>
      </w:tr>
    </w:tbl>
    <w:tbl>
      <w:tblPr>
        <w:tblW w:w="6520" w:type="dxa"/>
        <w:jc w:val="left"/>
        <w:tblInd w:w="0" w:type="dxa"/>
        <w:tblCellMar>
          <w:top w:w="0" w:type="dxa"/>
          <w:left w:w="0" w:type="dxa"/>
          <w:bottom w:w="0" w:type="dxa"/>
          <w:right w:w="0" w:type="dxa"/>
        </w:tblCellMar>
      </w:tblPr>
      <w:tblGrid>
        <w:gridCol w:w="110"/>
        <w:gridCol w:w="641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41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Company’s stage of development and business strategy;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rights, preferences and privileges of the Company’s redeemable convertible preferred stock relative to those of its common stock;</w:t>
            </w:r>
          </w:p>
        </w:tc>
      </w:tr>
    </w:tbl>
    <w:tbl>
      <w:tblPr>
        <w:tblW w:w="9700" w:type="dxa"/>
        <w:jc w:val="left"/>
        <w:tblInd w:w="0" w:type="dxa"/>
        <w:tblCellMar>
          <w:top w:w="0" w:type="dxa"/>
          <w:left w:w="0" w:type="dxa"/>
          <w:bottom w:w="0" w:type="dxa"/>
          <w:right w:w="0" w:type="dxa"/>
        </w:tblCellMar>
      </w:tblPr>
      <w:tblGrid>
        <w:gridCol w:w="110"/>
        <w:gridCol w:w="95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59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prices at which the Company sold shares of its redeemable convertible preferred stock;</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Company’s financial condition and operating results, including our levels of available capital resources;</w:t>
            </w:r>
          </w:p>
        </w:tc>
      </w:tr>
    </w:tbl>
    <w:tbl>
      <w:tblPr>
        <w:tblW w:w="7030" w:type="dxa"/>
        <w:jc w:val="left"/>
        <w:tblInd w:w="0" w:type="dxa"/>
        <w:tblCellMar>
          <w:top w:w="0" w:type="dxa"/>
          <w:left w:w="0" w:type="dxa"/>
          <w:bottom w:w="0" w:type="dxa"/>
          <w:right w:w="0" w:type="dxa"/>
        </w:tblCellMar>
      </w:tblPr>
      <w:tblGrid>
        <w:gridCol w:w="110"/>
        <w:gridCol w:w="692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2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progress of the Company’s research and development efforts;</w:t>
            </w:r>
          </w:p>
        </w:tc>
      </w:tr>
    </w:tbl>
    <w:tbl>
      <w:tblPr>
        <w:tblW w:w="7450" w:type="dxa"/>
        <w:jc w:val="left"/>
        <w:tblInd w:w="0" w:type="dxa"/>
        <w:tblCellMar>
          <w:top w:w="0" w:type="dxa"/>
          <w:left w:w="0" w:type="dxa"/>
          <w:bottom w:w="0" w:type="dxa"/>
          <w:right w:w="0" w:type="dxa"/>
        </w:tblCellMar>
      </w:tblPr>
      <w:tblGrid>
        <w:gridCol w:w="110"/>
        <w:gridCol w:w="73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34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equity market conditions affecting comparable public companies; and</w:t>
            </w:r>
          </w:p>
        </w:tc>
      </w:tr>
    </w:tbl>
    <w:tbl>
      <w:tblPr>
        <w:tblW w:w="9985" w:type="dxa"/>
        <w:jc w:val="left"/>
        <w:tblInd w:w="0" w:type="dxa"/>
        <w:tblCellMar>
          <w:top w:w="0" w:type="dxa"/>
          <w:left w:w="0" w:type="dxa"/>
          <w:bottom w:w="0" w:type="dxa"/>
          <w:right w:w="0" w:type="dxa"/>
        </w:tblCellMar>
      </w:tblPr>
      <w:tblGrid>
        <w:gridCol w:w="110"/>
        <w:gridCol w:w="98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87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general U.S. market conditions and the lack of marketability of the Company’s common stock.</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Practice Aid identifies various available methods for allocating enterprise value across classes and series of capital stock to determine the estimated fair value of common stock at each valuation date. In accordance with the Practice Aid, the Company considered the following methods: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caps w:val="false"/>
                <w:smallCaps w:val="false"/>
                <w:color w:val="000000"/>
              </w:rPr>
              <w:t>Option Pricing Method</w:t>
            </w:r>
            <w:r>
              <w:rPr>
                <w:rFonts w:ascii="Arial" w:hAnsi="Arial"/>
                <w:b w:val="false"/>
                <w:i w:val="false"/>
                <w:caps w:val="false"/>
                <w:smallCaps w:val="false"/>
                <w:color w:val="000000"/>
              </w:rPr>
              <w:t>.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caps w:val="false"/>
                <w:smallCaps w:val="false"/>
                <w:color w:val="000000"/>
              </w:rPr>
              <w:t>Probability-Weighted Expected Return Method.</w:t>
            </w:r>
            <w:r>
              <w:rPr>
                <w:b w:val="false"/>
                <w:i w:val="false"/>
                <w:caps w:val="false"/>
                <w:smallCaps w:val="false"/>
                <w:color w:val="000000"/>
              </w:rPr>
              <w:t xml:space="preserve"> </w:t>
            </w:r>
            <w:r>
              <w:rPr>
                <w:rFonts w:ascii="Arial" w:hAnsi="Arial"/>
                <w:b w:val="false"/>
                <w:i w:val="false"/>
                <w:caps w:val="false"/>
                <w:smallCaps w:val="false"/>
                <w:color w:val="000000"/>
              </w:rPr>
              <w:t>The probability-weighted expected return method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F-12</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Based on the Company’s early stage of development and other relevant factors, the Company determined that OPM method as well as a hybrid approach of the OPM and the PWERM methods were the most appropriate methods for allocating its enterprise value to determine the estimated fair value of its common stock. In determining the estimated fair value of the Company’s common stock, its board of directors also considered the fact that its stockholders could not freely trade its common stock in the public markets. Accordingly, the Company applied discounts to reflect the lack of marketability of its common stock based on the weighted-average expected time to liquidity. The estimated fair value of our common stock at each grant date reflected a non-marketability discount partially based on the anticipated likelihood and timing of a future liquidity event.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Upon the completion of the Company’s initial public offering, the fair value of its common stock is based on the daily closing quoted market price of its common stock.</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Risk-free interest rate—</w:t>
      </w:r>
      <w:r>
        <w:rPr>
          <w:rFonts w:ascii="Arial" w:hAnsi="Arial"/>
          <w:b w:val="false"/>
          <w:i w:val="false"/>
          <w:caps w:val="false"/>
          <w:smallCaps w:val="false"/>
          <w:sz w:val="20"/>
        </w:rPr>
        <w:t>The risk-free interest rate is based on the U.S. Treasury zero coupon issues in effect at the time of grant for periods corresponding with the expected term of a stock-based award.</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Expected term—</w:t>
      </w:r>
      <w:r>
        <w:rPr>
          <w:rFonts w:ascii="Arial" w:hAnsi="Arial"/>
          <w:b w:val="false"/>
          <w:i w:val="false"/>
          <w:caps w:val="false"/>
          <w:smallCaps w:val="false"/>
          <w:sz w:val="20"/>
        </w:rPr>
        <w:t>The expected term represents the period that stock-based awards are expected to be outstanding. Given the Company’s lack of specific history, the expected term for option grants is determined using the simplified method. The simplified method deems the term to be the average of the time-to-vesting and the contractual life of the stock-based awards.</w:t>
      </w:r>
    </w:p>
    <w:p>
      <w:pPr>
        <w:pStyle w:val="TextBody"/>
        <w:spacing w:before="120" w:after="0"/>
        <w:rPr>
          <w:rFonts w:ascii="Arial" w:hAnsi="Arial"/>
          <w:b w:val="false"/>
          <w:i/>
          <w:caps w:val="false"/>
          <w:smallCaps w:val="false"/>
          <w:color w:val="000000"/>
          <w:sz w:val="20"/>
        </w:rPr>
      </w:pPr>
      <w:r>
        <w:rPr>
          <w:rFonts w:ascii="Arial" w:hAnsi="Arial"/>
          <w:b w:val="false"/>
          <w:i/>
          <w:caps w:val="false"/>
          <w:smallCaps w:val="false"/>
          <w:color w:val="000000"/>
          <w:sz w:val="20"/>
        </w:rPr>
        <w:t>Expected volatility—</w:t>
      </w:r>
      <w:r>
        <w:rPr>
          <w:rFonts w:ascii="Arial" w:hAnsi="Arial"/>
          <w:b w:val="false"/>
          <w:i w:val="false"/>
          <w:caps w:val="false"/>
          <w:smallCaps w:val="false"/>
          <w:color w:val="000000"/>
          <w:sz w:val="20"/>
        </w:rPr>
        <w:t>Since the Company was privately held through October 29, 2020 and did not have any trading history for its common stock, the expected volatility was estimated based on the average volatility for comparable publicly traded biotechnology companies over a period equal to the expected term of the stock-based awards. The comparable companies were chosen based on their similar size, stage in the life cycle or area of specialty. The Company will continue to apply this process until a sufficient amount of historical information regarding the volatility of its own stock price becomes available.</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Expected dividend yield —</w:t>
      </w:r>
      <w:r>
        <w:rPr>
          <w:rFonts w:ascii="Arial" w:hAnsi="Arial"/>
          <w:b w:val="false"/>
          <w:i w:val="false"/>
          <w:caps w:val="false"/>
          <w:smallCaps w:val="false"/>
          <w:sz w:val="20"/>
        </w:rPr>
        <w:t>The Company has never paid dividends on its common stock and has no plans to pay dividends on its common stock. Therefore, the Company used an expected dividend yield of zero.</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also accounts for any modifications to share based payments in accordance with ASC 718.</w:t>
      </w:r>
    </w:p>
    <w:p>
      <w:pPr>
        <w:pStyle w:val="TextBody"/>
        <w:spacing w:before="120" w:after="0"/>
        <w:rPr>
          <w:rFonts w:ascii="Arial" w:hAnsi="Arial"/>
          <w:b/>
          <w:i/>
          <w:caps w:val="false"/>
          <w:smallCaps w:val="false"/>
          <w:sz w:val="20"/>
        </w:rPr>
      </w:pPr>
      <w:r>
        <w:rPr>
          <w:rFonts w:ascii="Arial" w:hAnsi="Arial"/>
          <w:b/>
          <w:i/>
          <w:caps w:val="false"/>
          <w:smallCaps w:val="false"/>
          <w:sz w:val="20"/>
        </w:rPr>
        <w:t>Income Taxes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uses the asset and liability method of accounting for income taxes. Deferred tax assets and liabilities are recognized for the estimated future tax consequences attributable to temporary differences between the financial statement carrying amounts of existing assets and liabilities and their respective tax base. Deferred tax assets, which relate primarily to the carrying amount of the Company’s net operating loss carryforwards, are measured using enacted tax rates expected to apply to taxable income in the years in which those temporary differences are expected to be recovered or settled. Deferred tax expense or benefit is the result of changes in the deferred tax assets and liabilities. Valuation allowances are established to reduce deferred tax assets where, based upon the available evidence, the Company concludes that it is more-likely-than-not that the deferred tax assets will not be realized. In evaluating its ability to recover deferred tax assets, the Company considers all available positive and negative evidence, including its operating results, ongoing tax planning and forecasts of future taxable income.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Reserves are provided for tax benefits for which realization is uncertain. Such benefits are only recognized when the underlying tax position is considered more-likely-than-not to be sustained on examination by a taxing authority. Interest and penalties related to uncertain tax positions are recognized in the provision of income taxes.</w:t>
      </w:r>
    </w:p>
    <w:p>
      <w:pPr>
        <w:pStyle w:val="TextBody"/>
        <w:spacing w:before="120" w:after="0"/>
        <w:rPr>
          <w:rFonts w:ascii="Arial" w:hAnsi="Arial"/>
          <w:b/>
          <w:i/>
          <w:caps w:val="false"/>
          <w:smallCaps w:val="false"/>
          <w:sz w:val="20"/>
        </w:rPr>
      </w:pPr>
      <w:r>
        <w:rPr>
          <w:rFonts w:ascii="Arial" w:hAnsi="Arial"/>
          <w:b/>
          <w:i/>
          <w:caps w:val="false"/>
          <w:smallCaps w:val="false"/>
          <w:sz w:val="20"/>
        </w:rPr>
        <w:t>Comprehensive Loss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Comprehensive income (loss) includes net income (loss) as well as other changes in stockholders’ equity (deficit) that result from transactions and economic events other than those with equity holders. The Company did not have any items of comprehensive income or loss other than net loss for the years ended December 31, 2020, 2019 and 2018.</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F-13</w:t>
      </w:r>
    </w:p>
    <w:p>
      <w:pPr>
        <w:pStyle w:val="HorizontalLine"/>
        <w:rPr/>
      </w:pPr>
      <w:r>
        <w:rPr/>
      </w:r>
    </w:p>
    <w:p>
      <w:pPr>
        <w:pStyle w:val="TextBody"/>
        <w:spacing w:before="0" w:after="0"/>
        <w:rPr/>
      </w:pPr>
      <w:r>
        <w:rPr/>
        <w:t> </w:t>
      </w:r>
    </w:p>
    <w:p>
      <w:pPr>
        <w:pStyle w:val="TextBody"/>
        <w:spacing w:before="120" w:after="0"/>
        <w:rPr>
          <w:rFonts w:ascii="Arial" w:hAnsi="Arial"/>
          <w:b/>
          <w:i/>
          <w:caps w:val="false"/>
          <w:smallCaps w:val="false"/>
          <w:sz w:val="20"/>
        </w:rPr>
      </w:pPr>
      <w:r>
        <w:rPr>
          <w:rFonts w:ascii="Arial" w:hAnsi="Arial"/>
          <w:b/>
          <w:i/>
          <w:caps w:val="false"/>
          <w:smallCaps w:val="false"/>
          <w:sz w:val="20"/>
        </w:rPr>
        <w:t>Net Loss Per Share Attributable to Common Stockholders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calculates basic and diluted net loss per share attributable to common stockholders in conformity with the two-class method required for participating securities. The Company considers its convertible preferred stock to be participating securities as, in the event a dividend is paid on common stock, the holders of convertible preferred stock would be entitled to receive dividends on a basis consistent with the common stockholders. Under the two-class method, the net loss attributable to common stockholders is not allocated to the convertible preferred stock as the holders of the convertible preferred stock do not have a contractual obligation to share in losses.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Since inception, the Company has incurred recurring operating losses and, as such, under the two-class method, basic net loss per share attributable to common stockholders is computed by dividing the net loss attributable to common stockholders by the weighted average number of shares of common stock. Under the two-class method, for periods with net income, basic net income per common share is computed by dividing the net income attributable to common stockholders by the weighted-average number of shares of common stock outstanding during the period. Net income attributable to common stockholders is computed by subtracting from net income the portion of current year earnings that the participating securities would have been entitled to receive pursuant to their dividend rights had all of the year’s earnings been distributed. No such adjustment to earnings is made during periods with a net loss, as the holders of the participating securities have no obligation to fund losses. Diluted net loss per common share is computed by using the weighted-average number of shares of common stock outstanding. Due to net losses for the years ended December 31, 2020, 2019 and 2018, basic and diluted net loss per share attributable to common stockholders were the same, as the effect of all potentially dilutive securities would have been anti-dilutive.</w:t>
      </w:r>
    </w:p>
    <w:p>
      <w:pPr>
        <w:pStyle w:val="TextBody"/>
        <w:spacing w:before="120" w:after="0"/>
        <w:rPr>
          <w:rFonts w:ascii="Arial" w:hAnsi="Arial"/>
          <w:b/>
          <w:i/>
          <w:caps w:val="false"/>
          <w:smallCaps w:val="false"/>
          <w:sz w:val="20"/>
        </w:rPr>
      </w:pPr>
      <w:r>
        <w:rPr>
          <w:rFonts w:ascii="Arial" w:hAnsi="Arial"/>
          <w:b/>
          <w:i/>
          <w:caps w:val="false"/>
          <w:smallCaps w:val="false"/>
          <w:sz w:val="20"/>
        </w:rPr>
        <w:t>Segments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Company’s CODM is its chief executive officer, who manages and allocates resources to the operations on a total company basis. Accordingly, there is a single operating segment and one reportable segment.</w:t>
      </w:r>
    </w:p>
    <w:p>
      <w:pPr>
        <w:pStyle w:val="TextBody"/>
        <w:spacing w:before="120" w:after="0"/>
        <w:rPr>
          <w:rFonts w:ascii="Arial" w:hAnsi="Arial"/>
          <w:b/>
          <w:i/>
          <w:caps w:val="false"/>
          <w:smallCaps w:val="false"/>
          <w:sz w:val="20"/>
        </w:rPr>
      </w:pPr>
      <w:r>
        <w:rPr>
          <w:rFonts w:ascii="Arial" w:hAnsi="Arial"/>
          <w:b/>
          <w:i/>
          <w:caps w:val="false"/>
          <w:smallCaps w:val="false"/>
          <w:sz w:val="20"/>
        </w:rPr>
        <w:t>Emerging Growth Company Status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pStyle w:val="TextBody"/>
        <w:spacing w:before="120" w:after="0"/>
        <w:rPr>
          <w:rFonts w:ascii="Arial" w:hAnsi="Arial"/>
          <w:b/>
          <w:i/>
          <w:caps w:val="false"/>
          <w:smallCaps w:val="false"/>
          <w:sz w:val="20"/>
        </w:rPr>
      </w:pPr>
      <w:r>
        <w:rPr>
          <w:rFonts w:ascii="Arial" w:hAnsi="Arial"/>
          <w:b/>
          <w:i/>
          <w:caps w:val="false"/>
          <w:smallCaps w:val="false"/>
          <w:sz w:val="20"/>
        </w:rPr>
        <w:t>Recently Issued Accounting Pronouncements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February 2016, the Financial Accounting Standards Board (“FASB”) issued ASU No. 2016-02, </w:t>
      </w:r>
      <w:r>
        <w:rPr>
          <w:rFonts w:ascii="Arial" w:hAnsi="Arial"/>
          <w:b w:val="false"/>
          <w:i/>
          <w:caps w:val="false"/>
          <w:smallCaps w:val="false"/>
          <w:sz w:val="20"/>
        </w:rPr>
        <w:t>Leases</w:t>
      </w:r>
      <w:r>
        <w:rPr>
          <w:rFonts w:ascii="Arial" w:hAnsi="Arial"/>
          <w:b w:val="false"/>
          <w:i w:val="false"/>
          <w:caps w:val="false"/>
          <w:smallCaps w:val="false"/>
          <w:sz w:val="20"/>
        </w:rPr>
        <w:t xml:space="preserve">,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As the Company has elected to use the extended transition period for complying with new or revised accounting standards as available under the Jobs Act, the standard is effective for the Company beginning January 1, 2021. </w:t>
      </w:r>
      <w:r>
        <w:rPr>
          <w:rFonts w:ascii="Arial" w:hAnsi="Arial"/>
          <w:b w:val="false"/>
          <w:i w:val="false"/>
          <w:caps w:val="false"/>
          <w:smallCaps w:val="false"/>
          <w:color w:val="000000"/>
          <w:sz w:val="20"/>
        </w:rPr>
        <w:t>The Company plans to use the modified retrospective method of adoption and to elect the available practical expedients. The Company expects that the adoption of the new leasing standard will result in the recognition of a material right to use asset and lease liability in the consolidated balance sheets and does not expect it to have a material impact to its results of operations or statements of cash flows.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F-14</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July 2017, the FASB issued ASU No. 2017-11, </w:t>
      </w:r>
      <w:r>
        <w:rPr>
          <w:rFonts w:ascii="Arial" w:hAnsi="Arial"/>
          <w:b w:val="false"/>
          <w:i/>
          <w:caps w:val="false"/>
          <w:smallCaps w:val="false"/>
          <w:sz w:val="20"/>
        </w:rPr>
        <w:t>Earnings Per Share (Topic 260), Distinguishing Liabilities from Equity (Topic 480), Derivatives 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w:t>
      </w:r>
      <w:r>
        <w:rPr>
          <w:rFonts w:ascii="Arial" w:hAnsi="Arial"/>
          <w:b w:val="false"/>
          <w:i w:val="false"/>
          <w:caps w:val="false"/>
          <w:smallCaps w:val="false"/>
          <w:sz w:val="20"/>
        </w:rPr>
        <w:t xml:space="preserve"> </w:t>
      </w:r>
      <w:r>
        <w:rPr>
          <w:rFonts w:ascii="Arial" w:hAnsi="Arial"/>
          <w:b w:val="false"/>
          <w:i/>
          <w:caps w:val="false"/>
          <w:smallCaps w:val="false"/>
          <w:sz w:val="20"/>
        </w:rPr>
        <w:t>(“ASU 2017-11”)</w:t>
      </w:r>
      <w:r>
        <w:rPr>
          <w:rFonts w:ascii="Arial" w:hAnsi="Arial"/>
          <w:b/>
          <w:i/>
          <w:caps w:val="false"/>
          <w:smallCaps w:val="false"/>
          <w:sz w:val="20"/>
        </w:rPr>
        <w:t>.</w:t>
      </w:r>
      <w:r>
        <w:rPr>
          <w:rFonts w:ascii="Arial" w:hAnsi="Arial"/>
          <w:b w:val="false"/>
          <w:i w:val="false"/>
          <w:caps w:val="false"/>
          <w:smallCaps w:val="false"/>
          <w:sz w:val="20"/>
        </w:rPr>
        <w:t xml:space="preserve">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As the Company has elected to use the extended transition period for complying with new or revised accounting standards as available under the Jobs Act, the standard is effective for the Company beginning January 1, 2021, with early adoption permitted. The Company is currently evaluating the expected impact that the standard could have on its consolidated financial statements and related disclosures.</w:t>
      </w:r>
    </w:p>
    <w:p>
      <w:pPr>
        <w:pStyle w:val="TextBody"/>
        <w:spacing w:before="0" w:after="0"/>
        <w:rPr/>
      </w:pPr>
      <w:r>
        <w:rPr/>
        <w:t> </w:t>
      </w:r>
    </w:p>
    <w:p>
      <w:pPr>
        <w:pStyle w:val="TextBody"/>
        <w:spacing w:before="0" w:after="0"/>
        <w:rPr>
          <w:rFonts w:ascii="Arial" w:hAnsi="Arial"/>
          <w:b/>
          <w:i/>
          <w:caps w:val="false"/>
          <w:smallCaps w:val="false"/>
          <w:sz w:val="20"/>
        </w:rPr>
      </w:pPr>
      <w:r>
        <w:rPr>
          <w:rFonts w:ascii="Arial" w:hAnsi="Arial"/>
          <w:b/>
          <w:i/>
          <w:caps w:val="false"/>
          <w:smallCaps w:val="false"/>
          <w:sz w:val="20"/>
        </w:rPr>
        <w:t>Recently Adopted Accounting Pronouncements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November 2018, the </w:t>
      </w:r>
      <w:r>
        <w:rPr>
          <w:rFonts w:ascii="Arial" w:hAnsi="Arial"/>
          <w:b w:val="false"/>
          <w:i/>
          <w:caps w:val="false"/>
          <w:smallCaps w:val="false"/>
          <w:color w:val="000000"/>
          <w:sz w:val="20"/>
        </w:rPr>
        <w:t>FASB </w:t>
      </w:r>
      <w:r>
        <w:rPr>
          <w:rFonts w:ascii="Arial" w:hAnsi="Arial"/>
          <w:b w:val="false"/>
          <w:i w:val="false"/>
          <w:caps w:val="false"/>
          <w:smallCaps w:val="false"/>
          <w:color w:val="000000"/>
          <w:sz w:val="20"/>
        </w:rPr>
        <w:t>issued ASU No. 2018-18</w:t>
      </w:r>
      <w:r>
        <w:rPr>
          <w:rFonts w:ascii="Arial" w:hAnsi="Arial"/>
          <w:b w:val="false"/>
          <w:i/>
          <w:caps w:val="false"/>
          <w:smallCaps w:val="false"/>
          <w:color w:val="000000"/>
          <w:sz w:val="20"/>
        </w:rPr>
        <w:t>, Collaborative Arrangements (Topic 808): Clarifying the Interaction between Topic 808 and Topic 606.</w:t>
      </w:r>
      <w:r>
        <w:rPr>
          <w:rFonts w:ascii="Arial" w:hAnsi="Arial"/>
          <w:b w:val="false"/>
          <w:i w:val="false"/>
          <w:caps w:val="false"/>
          <w:smallCaps w:val="false"/>
          <w:color w:val="000000"/>
          <w:sz w:val="20"/>
        </w:rPr>
        <w:t> This update clarifies that transactions between collaborative arrangement participants should be accounted for as revenue under ASC 606 when the collaborative arrangement participant is a customer in the context of a unit of account, consistent with the unit of account guidance in ASC 606. The update also 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 The Company early adopted the new standard on October 1, 2020. The standard was retroactively applied to January 1, 2019. The adoption of this standard did not have a material impact on the Company’s consolidated financial position and results of operations.</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3. Collaboration Revenue</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Background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In October 2020, the Company entered into the Roche License Agreement, granting Roche an exclusive license to develop and commercialize certain of the Company’s compounds outside of the United States.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Atea is responsible for completing certain ongoing clinical and non-clinical and manufacturing activities and at its own expense. These obligations are referred to as the Atea Ongoing Studies and the Atea Manufacturing Obligations. The parties will work collaboratively on a global development plan intended to support regulatory approvals and will share joint development costs equally.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agreement provided for a nonrefundable upfront payment of $350,000 which the Company received in November 2020. In addition, the Roche License Agreement further provides that Roche is obligated to pay the Company up to $330,000 in the aggregate upon the achievement of certain development and regulatory milestone events; up to $320,000 in the aggregate upon the achievement of certain sales based milestone events; and tiered royalties based on annual net sales of the products covered by the Roche License Agreement, ranging between low double-digits and mid-twenties, subject to certain adjustments and limitations.  Roche has the right to terminate the Roche License Agreement for convenience pursuant to the terms of the agreement. In addition, the Roche License Agreement contains a provides for a co-promotion agreement for the United States at the Company’s election.</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F-15</w:t>
      </w:r>
    </w:p>
    <w:p>
      <w:pPr>
        <w:pStyle w:val="HorizontalLine"/>
        <w:rPr/>
      </w:pPr>
      <w:r>
        <w:rPr/>
      </w:r>
    </w:p>
    <w:p>
      <w:pPr>
        <w:pStyle w:val="TextBody"/>
        <w:spacing w:before="0" w:after="0"/>
        <w:rPr/>
      </w:pPr>
      <w:r>
        <w:rPr/>
        <w:t> </w:t>
      </w:r>
    </w:p>
    <w:p>
      <w:pPr>
        <w:pStyle w:val="TextBody"/>
        <w:spacing w:before="0" w:after="0"/>
        <w:rPr>
          <w:rFonts w:ascii="Arial" w:hAnsi="Arial"/>
          <w:b w:val="false"/>
          <w:i/>
          <w:caps w:val="false"/>
          <w:smallCaps w:val="false"/>
          <w:color w:val="000000"/>
          <w:sz w:val="20"/>
        </w:rPr>
      </w:pPr>
      <w:r>
        <w:rPr>
          <w:rFonts w:ascii="Arial" w:hAnsi="Arial"/>
          <w:b w:val="false"/>
          <w:i/>
          <w:caps w:val="false"/>
          <w:smallCaps w:val="false"/>
          <w:color w:val="000000"/>
          <w:sz w:val="20"/>
        </w:rPr>
        <w:t>Accounting Analysis</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Company concluded that the License Agreement is under the scope of ASC 808 as both parties will actively participate in a joint operating activity and are exposed to significant risks and rewards that depend on the activity’s commercial success.  ASC 808 provides that certain transactions between collaborative arrangement participants should be accounted for as revenue under ASC 606 when the collaborative arrangement participant is a customer in the context of a unit of account. In those situations, all of the guidance in ASC 606 should be applied, including recognition, measurement, presentation, and disclosure requirements related to such unit of account. The unit-of-account guidance in ASC 808, which aligns with the guidance in ASC 606 (that is, a distinct good or service) is used when an entity is assessing whether the collaborative arrangement or a part of the arrangement is within the scope of ASC 606. Based on the Company’s analysis, it concluded that the delivery of the license to Roche, the performance of the Atea Ongoing Studies and the Atea Manufacturing Obligations should be accounted for under ASC 606.  The Company’s efforts under the Global Development Plan, which include certain manufacturing obligations in the initial year of the contract, will be accounted for under ASC 808.</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Company concluded that the provision of the license to Roche, the performance of the Atea Ongoing Studies and the Atea Manufacturing Obligations should be combined as one performance obligation as Roche cannot receive the benefit of each promise without the other promises.  Specifically, Roche is dependent on the Company’s expertise and ability to complete the Atea Ongoing Studies and the Atea Manufacturing Obligations, which cannot be performed by other third parties, in order to exploit the value from the license.</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transaction price consists of the $350,000 upfront payment. The Company concluded that all other forms of variable consideration, including future development and regulatory milestones should be constrained at contract inception. As part of this conclusion, the Company assessed the stage of development and risk associated with remaining development required to achieve each milestone, including whether the achievement of certain milestones was outside the control of the Company. Sales based milestone payments and royalty payments qualify for the sales based royalty exception and will be recognized when the underlying sale transaction have occurred.</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transaction price will be recognized as collaboration revenue over the period in which the Company performs the Atea Ongoing Studies and the Atea Manufacturing Activities.   The Company concluded that an inputs method based on costs incurred compared to total estimated costs-to-complete approach most faithfully depicts the Company’s progress towards completion.</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The Company concluded that its efforts to complete the Global Development Plan will be accounted for under ASC 808. The Company will account for expenses incurred and reimbursements made or received from Roche pursuant to ASC 730, </w:t>
      </w:r>
      <w:r>
        <w:rPr>
          <w:rFonts w:ascii="Arial" w:hAnsi="Arial"/>
          <w:b w:val="false"/>
          <w:i/>
          <w:caps w:val="false"/>
          <w:smallCaps w:val="false"/>
          <w:sz w:val="20"/>
        </w:rPr>
        <w:t>Research and Development</w:t>
      </w:r>
      <w:r>
        <w:rPr>
          <w:rFonts w:ascii="Arial" w:hAnsi="Arial"/>
          <w:b w:val="false"/>
          <w:i w:val="false"/>
          <w:caps w:val="false"/>
          <w:smallCaps w:val="false"/>
          <w:sz w:val="20"/>
        </w:rPr>
        <w:t>.  As such, the Company will expense costs as incurred, including any reimbursements made to Roche, and recognize reimbursement received from Roche as a reduction of research and development expense.</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Company incurred approximately $7,000 of capitalizable costs to obtain the contact.  The Company will utilize the practical expedient in ASC 340 and recognize such costs immediately as the Company expected to complete its performance obligations under the Roche License Agreement in less than 12 months.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The Company classifies all revenues recognized under the Roche License Agreement as collaboration revenues within the accompanying consolidated statements of operations and comprehensive loss.  For the year ended December 31, 2020, the Company recognized collaboration revenue of $48,633 related to the combined performance obligation. As of December 31, 2020, the Company recorded Deferred Revenue of $301,367 related to the Roche License Agreement.  Deferred Revenue is classified in current liabilities in the accompanying balance sheet as of December 31, 2020 as the performance obligation is expected to be completed within twelve months (or one year) from the inception of the contract.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For the year ended December 31, 2020, costs reimbursable by Roche and reflected as a reduction to operating expenses were $7,901, of which $5,815 had not been reimbursed by Roche as of December 31, 2020 and was recorded as Unbilled other receivable in current assets in the accompanying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F-16</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consolidated balance sheet. The Company also recorded research and development expense of $2,086 related to its share of costs incurred by Roche.</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4. Fair Value Measurements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tables present information about the Company’s financial assets measured at fair value on a recurring basis and indicate the level of the fair value hierarchy utilized to determine such fair values:</w:t>
      </w:r>
    </w:p>
    <w:p>
      <w:pPr>
        <w:pStyle w:val="TextBody"/>
        <w:spacing w:before="0" w:after="0"/>
        <w:rPr/>
      </w:pPr>
      <w:r>
        <w:rPr/>
        <w:t> </w:t>
      </w:r>
    </w:p>
    <w:tbl>
      <w:tblPr>
        <w:tblW w:w="6855" w:type="dxa"/>
        <w:jc w:val="center"/>
        <w:tblInd w:w="0" w:type="dxa"/>
        <w:tblCellMar>
          <w:top w:w="28" w:type="dxa"/>
          <w:left w:w="0" w:type="dxa"/>
          <w:bottom w:w="28" w:type="dxa"/>
          <w:right w:w="0" w:type="dxa"/>
        </w:tblCellMar>
      </w:tblPr>
      <w:tblGrid>
        <w:gridCol w:w="1985"/>
        <w:gridCol w:w="60"/>
        <w:gridCol w:w="209"/>
        <w:gridCol w:w="1187"/>
        <w:gridCol w:w="100"/>
        <w:gridCol w:w="100"/>
        <w:gridCol w:w="220"/>
        <w:gridCol w:w="459"/>
        <w:gridCol w:w="100"/>
        <w:gridCol w:w="100"/>
        <w:gridCol w:w="220"/>
        <w:gridCol w:w="459"/>
        <w:gridCol w:w="100"/>
        <w:gridCol w:w="100"/>
        <w:gridCol w:w="209"/>
        <w:gridCol w:w="1187"/>
        <w:gridCol w:w="60"/>
      </w:tblGrid>
      <w:tr>
        <w:trPr/>
        <w:tc>
          <w:tcPr>
            <w:tcW w:w="1985" w:type="dxa"/>
            <w:tcBorders>
              <w:top w:val="single" w:sz="6" w:space="0" w:color="000000"/>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0" w:type="dxa"/>
            <w:gridSpan w:val="14"/>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Fair Value Measurements as of December 31, 2020</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6"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Level 1</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Level 2</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Level 3</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6"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Total</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equivalents</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7"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7"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tcMar>
              <w:top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Money market funds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87"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846,701</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87"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846,701</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CFF0FC" w:val="clear"/>
            <w:tcMar>
              <w:top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cash equivalents</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87"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846,701</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87"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846,701</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6785" w:type="dxa"/>
        <w:jc w:val="center"/>
        <w:tblInd w:w="0" w:type="dxa"/>
        <w:tblCellMar>
          <w:top w:w="28" w:type="dxa"/>
          <w:left w:w="0" w:type="dxa"/>
          <w:bottom w:w="28" w:type="dxa"/>
          <w:right w:w="0" w:type="dxa"/>
        </w:tblCellMar>
      </w:tblPr>
      <w:tblGrid>
        <w:gridCol w:w="1985"/>
        <w:gridCol w:w="60"/>
        <w:gridCol w:w="226"/>
        <w:gridCol w:w="1094"/>
        <w:gridCol w:w="108"/>
        <w:gridCol w:w="108"/>
        <w:gridCol w:w="226"/>
        <w:gridCol w:w="470"/>
        <w:gridCol w:w="108"/>
        <w:gridCol w:w="108"/>
        <w:gridCol w:w="226"/>
        <w:gridCol w:w="470"/>
        <w:gridCol w:w="108"/>
        <w:gridCol w:w="108"/>
        <w:gridCol w:w="226"/>
        <w:gridCol w:w="1094"/>
        <w:gridCol w:w="60"/>
      </w:tblGrid>
      <w:tr>
        <w:trPr/>
        <w:tc>
          <w:tcPr>
            <w:tcW w:w="1985" w:type="dxa"/>
            <w:tcBorders>
              <w:top w:val="single" w:sz="6" w:space="0" w:color="000000"/>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0" w:type="dxa"/>
            <w:gridSpan w:val="14"/>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Fair Value Measurements as of December 31, 2019</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Level 1</w:t>
            </w:r>
          </w:p>
        </w:tc>
        <w:tc>
          <w:tcPr>
            <w:tcW w:w="108"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6"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Level 2</w:t>
            </w:r>
          </w:p>
        </w:tc>
        <w:tc>
          <w:tcPr>
            <w:tcW w:w="108"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6"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Level 3</w:t>
            </w:r>
          </w:p>
        </w:tc>
        <w:tc>
          <w:tcPr>
            <w:tcW w:w="108"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Total</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equivalents</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4"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8"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8"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8"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4"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tcMar>
              <w:top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Money market funds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94"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21,038</w:t>
            </w:r>
          </w:p>
        </w:tc>
        <w:tc>
          <w:tcPr>
            <w:tcW w:w="108"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70"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8"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70"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8"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94"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21,038</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CFF0FC" w:val="clear"/>
            <w:tcMar>
              <w:top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cash equivalents</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94"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21,038</w:t>
            </w:r>
          </w:p>
        </w:tc>
        <w:tc>
          <w:tcPr>
            <w:tcW w:w="108"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7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8"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7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8"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94"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21,038</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Company’s assets with fair value categorized as Level 1 within the fair value hierarchy include money market accounts which invest in money market funds are publicly traded mutual funds and are presented as cash equivalents on the consolidated balance sheets as of December 31, 2020 and 2019.</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There were no transfers among Level 1, Level 2 or Level 3 categories in the years ended December 31, 2020, 2019 and 2018.</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5. Property and Equipment, net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Property and equipment, net, consist of the following:</w:t>
      </w:r>
    </w:p>
    <w:p>
      <w:pPr>
        <w:pStyle w:val="TextBody"/>
        <w:spacing w:before="0" w:after="0"/>
        <w:rPr/>
      </w:pPr>
      <w:r>
        <w:rPr/>
        <w:t> </w:t>
      </w:r>
    </w:p>
    <w:tbl>
      <w:tblPr>
        <w:tblW w:w="5699" w:type="dxa"/>
        <w:jc w:val="center"/>
        <w:tblInd w:w="0" w:type="dxa"/>
        <w:tblCellMar>
          <w:top w:w="28" w:type="dxa"/>
          <w:left w:w="0" w:type="dxa"/>
          <w:bottom w:w="28" w:type="dxa"/>
          <w:right w:w="0" w:type="dxa"/>
        </w:tblCellMar>
      </w:tblPr>
      <w:tblGrid>
        <w:gridCol w:w="4280"/>
        <w:gridCol w:w="60"/>
        <w:gridCol w:w="135"/>
        <w:gridCol w:w="428"/>
        <w:gridCol w:w="86"/>
        <w:gridCol w:w="65"/>
        <w:gridCol w:w="135"/>
        <w:gridCol w:w="430"/>
        <w:gridCol w:w="80"/>
      </w:tblGrid>
      <w:tr>
        <w:trPr/>
        <w:tc>
          <w:tcPr>
            <w:tcW w:w="42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6"/>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6"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56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Laboratory equipment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8"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6"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3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Office furniture and fixtures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w:t>
            </w:r>
          </w:p>
        </w:tc>
        <w:tc>
          <w:tcPr>
            <w:tcW w:w="86"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Computer hardware</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86"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Leasehold improvements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125</w:t>
            </w:r>
          </w:p>
        </w:tc>
        <w:tc>
          <w:tcPr>
            <w:tcW w:w="86"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125</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property and equipment, at cost</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180</w:t>
            </w:r>
          </w:p>
        </w:tc>
        <w:tc>
          <w:tcPr>
            <w:tcW w:w="86"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154</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Less: accumulated depreciation and amortization</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(132</w:t>
            </w:r>
          </w:p>
        </w:tc>
        <w:tc>
          <w:tcPr>
            <w:tcW w:w="86"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(113</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28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Property and equipment, net</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8"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86"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3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Depreciation and amortization expense was $19, $17 and $17 for the years ended December 31, 2020, 2019 and 2018, respectively.</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6. Accrued Expenses and Other Current Liabilities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Accrued expenses and other current liabilities consist of the following:</w:t>
      </w:r>
    </w:p>
    <w:p>
      <w:pPr>
        <w:pStyle w:val="TextBody"/>
        <w:spacing w:before="0" w:after="0"/>
        <w:rPr/>
      </w:pPr>
      <w:r>
        <w:rPr/>
        <w:t> </w:t>
      </w:r>
    </w:p>
    <w:tbl>
      <w:tblPr>
        <w:tblW w:w="8365" w:type="dxa"/>
        <w:jc w:val="center"/>
        <w:tblInd w:w="0" w:type="dxa"/>
        <w:tblCellMar>
          <w:top w:w="28" w:type="dxa"/>
          <w:left w:w="0" w:type="dxa"/>
          <w:bottom w:w="28" w:type="dxa"/>
          <w:right w:w="0" w:type="dxa"/>
        </w:tblCellMar>
      </w:tblPr>
      <w:tblGrid>
        <w:gridCol w:w="6770"/>
        <w:gridCol w:w="60"/>
        <w:gridCol w:w="125"/>
        <w:gridCol w:w="605"/>
        <w:gridCol w:w="60"/>
        <w:gridCol w:w="60"/>
        <w:gridCol w:w="125"/>
        <w:gridCol w:w="500"/>
        <w:gridCol w:w="60"/>
      </w:tblGrid>
      <w:tr>
        <w:trPr/>
        <w:tc>
          <w:tcPr>
            <w:tcW w:w="677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5" w:type="dxa"/>
            <w:gridSpan w:val="6"/>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 including manufacturing and clinical expenditures</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10,546</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1,326</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License fees (Note 7)</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200</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Professional fees and other</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1,079</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361</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Payroll and payroll related</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2,743</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accrued expenses and other current liabilities</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14,368</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1,887</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F-17</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7. Commitments and Contingencies</w:t>
      </w:r>
    </w:p>
    <w:p>
      <w:pPr>
        <w:pStyle w:val="TextBody"/>
        <w:spacing w:before="120" w:after="0"/>
        <w:rPr>
          <w:rFonts w:ascii="Arial" w:hAnsi="Arial"/>
          <w:b/>
          <w:i/>
          <w:caps w:val="false"/>
          <w:smallCaps w:val="false"/>
          <w:sz w:val="20"/>
        </w:rPr>
      </w:pPr>
      <w:r>
        <w:rPr>
          <w:rFonts w:ascii="Arial" w:hAnsi="Arial"/>
          <w:b/>
          <w:i/>
          <w:caps w:val="false"/>
          <w:smallCaps w:val="false"/>
          <w:sz w:val="20"/>
        </w:rPr>
        <w:t>Operating Lease Agreements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leases an office facility under a non-cancelable operating lease that expires July 2022. The office lease includes commitments obligating the Company to pay a pro rata share of certain building operating costs and annual rent escalations which will result in higher lease payments in future years. Rent expense is recognized on a straight-line basis over the term of the lease with the difference between expense and the payments recorded as deferred rent, which is included in accrued expenses and other current liabilities and other liabilities in the consolidated balance sheets.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of December 31, 2020, future minimum payments for operating leases are as follows:</w:t>
      </w:r>
    </w:p>
    <w:p>
      <w:pPr>
        <w:pStyle w:val="TextBody"/>
        <w:spacing w:before="0" w:after="0"/>
        <w:rPr/>
      </w:pPr>
      <w:r>
        <w:rPr/>
        <w:t> </w:t>
      </w:r>
    </w:p>
    <w:tbl>
      <w:tblPr>
        <w:tblW w:w="3885" w:type="dxa"/>
        <w:jc w:val="center"/>
        <w:tblInd w:w="0" w:type="dxa"/>
        <w:tblCellMar>
          <w:top w:w="28" w:type="dxa"/>
          <w:left w:w="0" w:type="dxa"/>
          <w:bottom w:w="0" w:type="dxa"/>
          <w:right w:w="0" w:type="dxa"/>
        </w:tblCellMar>
      </w:tblPr>
      <w:tblGrid>
        <w:gridCol w:w="3305"/>
        <w:gridCol w:w="60"/>
        <w:gridCol w:w="125"/>
        <w:gridCol w:w="335"/>
        <w:gridCol w:w="60"/>
      </w:tblGrid>
      <w:tr>
        <w:trPr/>
        <w:tc>
          <w:tcPr>
            <w:tcW w:w="3305" w:type="dxa"/>
            <w:tcBorders>
              <w:top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2021</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340</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FFFFFF" w:val="clear"/>
            <w:tcMar>
              <w:top w:w="0" w:type="dxa"/>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2022</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200</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CFF0FC" w:val="clear"/>
            <w:tcMar>
              <w:top w:w="0" w:type="dxa"/>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future minimum lease payments</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540</w:t>
            </w:r>
          </w:p>
        </w:tc>
        <w:tc>
          <w:tcPr>
            <w:tcW w:w="6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Rent expense recognized under all operating leases was $303, $305 and $316 for the years ended December 31, 2020, 2019 and 2018, respectively.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is required to maintain a letter of credit for the duration of the office lease. The Company maintains bank deposits of $107 to collateralize the letter of credit which are classified as restricted cash and a long-term asset in the consolidated balance sheets as of December 31, 2020 and 2019.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The Company has an agreement with a consultant that requires payment of a success fee calculated as a percentage of certain product sales, subject to a cumulative maximum payout of $5.0 million. This success payment is contingent upon the occurrence of future events and the timing and likelihood of such payment is neither probable nor estimable. </w:t>
      </w:r>
    </w:p>
    <w:p>
      <w:pPr>
        <w:pStyle w:val="TextBody"/>
        <w:spacing w:before="0" w:after="0"/>
        <w:rPr>
          <w:caps w:val="false"/>
          <w:smallCaps w:val="false"/>
        </w:rPr>
      </w:pPr>
      <w:r>
        <w:rPr>
          <w:caps w:val="false"/>
          <w:smallCaps w:val="false"/>
        </w:rPr>
        <w:t> </w:t>
      </w:r>
    </w:p>
    <w:p>
      <w:pPr>
        <w:pStyle w:val="TextBody"/>
        <w:spacing w:before="0" w:after="0"/>
        <w:rPr>
          <w:rFonts w:ascii="Arial" w:hAnsi="Arial"/>
          <w:b/>
          <w:i/>
          <w:caps w:val="false"/>
          <w:smallCaps w:val="false"/>
          <w:sz w:val="20"/>
        </w:rPr>
      </w:pPr>
      <w:r>
        <w:rPr>
          <w:rFonts w:ascii="Arial" w:hAnsi="Arial"/>
          <w:b/>
          <w:i/>
          <w:caps w:val="false"/>
          <w:smallCaps w:val="false"/>
          <w:sz w:val="20"/>
        </w:rPr>
        <w:t>Indemnification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enters into certain types of contracts that contingently requires the Company to indemnify various parties against claims from third parties. These contracts primarily relate to (i) the Company’s bylaws, under which the Company must indemnify directors and executive officers, and may indemnify other officers and employees, for liabilities arising out of their relationship, (ii) contracts under which the Company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It is not possible to determine the maximum potential amount potentially payable under these contracts since the Company has no history of prior indemnification claims and the unique facts and circumstances involved in each particular claim will be determinative.</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8. Convertible Preferred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of December 31, 2019, the Company had 33,645,447 shares of convertible preferred stock (“Convertible Preferred Stock), authorized, issued and outstanding, of which 20,000,000 shares were designated as Series A convertible preferred stock (“Series A Preferred”); 7,592,830 shares were designated as Series B convertible preferred stock (“Series B Preferred”); and 6,052,617 shares were designated as Series C convertible preferred stock (“Series C Preferred”). The Company’s Series A Preferred, Series B Preferred and Series C Preferred were issued at $1.00, $3.03 and $4.56 per share, respectively.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F-18</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May 2020, the Company authorized 15,313,382 shares of Series D convertible preferred stock (“Series D Preferred”) and 8,973,261 shares of Series D-1 convertible preferred stock (“Series D-1 Preferred”). In May 2020 the Company entered into a stock purchase agreement with certain investors and issued 15,313,382 shares of Series D Preferred for net proceeds of $106,631. In October 2020, the Company issued 8,973,261 shares of Series D-1 Preferred at a purchase price of $11.98 per share for aggregate net proceeds of $107,485.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connection with the Company’s IPO, all shares of its convertible preferred stock converted into 57,932,090 shares of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of December 31, 2020 the Company has 10,000,000 shares of preferred stock authorized.  No shares of preferred stock have been issued.</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9.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At December 31, 2020, the authorized capital of the Company included 300,000,000 shares of common stock, of which 82,436,937 shares of common stock were issued and outstanding. On all matters to be voted upon by the holders of common stock, holders of common stock are entitled to one vote per share. The holders of common stock are entitled to receive dividends, when declared by the board, and to share ratably in the Company’s assets legally available for distribution to the holders of the Company’s stock in the event of liquidation. The holders of common stock have no preemptive, redemption or conversion rights.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had the following reserved shares of common stock:</w:t>
      </w:r>
    </w:p>
    <w:p>
      <w:pPr>
        <w:pStyle w:val="TextBody"/>
        <w:spacing w:before="0" w:after="0"/>
        <w:rPr/>
      </w:pPr>
      <w:r>
        <w:rPr/>
        <w:t> </w:t>
      </w:r>
    </w:p>
    <w:tbl>
      <w:tblPr>
        <w:tblW w:w="5653" w:type="dxa"/>
        <w:jc w:val="center"/>
        <w:tblInd w:w="0" w:type="dxa"/>
        <w:tblCellMar>
          <w:top w:w="28" w:type="dxa"/>
          <w:left w:w="0" w:type="dxa"/>
          <w:bottom w:w="28" w:type="dxa"/>
          <w:right w:w="0" w:type="dxa"/>
        </w:tblCellMar>
      </w:tblPr>
      <w:tblGrid>
        <w:gridCol w:w="2855"/>
        <w:gridCol w:w="60"/>
        <w:gridCol w:w="73"/>
        <w:gridCol w:w="1206"/>
        <w:gridCol w:w="60"/>
        <w:gridCol w:w="60"/>
        <w:gridCol w:w="73"/>
        <w:gridCol w:w="1206"/>
        <w:gridCol w:w="60"/>
      </w:tblGrid>
      <w:tr>
        <w:trPr/>
        <w:tc>
          <w:tcPr>
            <w:tcW w:w="285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7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7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A Preferred</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20,000,000</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B Preferred</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7,592,830</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C Preferred</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6,052,617</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Outstanding options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7,917,783</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3,911,633</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Options available for future grant</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7,059,000</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450,567</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Shares reserved under ESPP</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1,187,000</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16,163,783</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38,007,647</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 xml:space="preserve">10. Stock-based Compensation </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In October 2020, the Company’s shareholders approved the Company’s 2020 Incentive Award Plan (the “2020 Plan”), which became effective in connection with the Company’s initial public offering on October 29, 2020. The 2020 Plan provides for the issuance of up to 7,924,000 shares of common stock and for grant of incentive stock options or other incentive awards to employees, members of the board of directors and consultants of the Company. The number of shares of common stock that may be issued under 2020 Plan is also subject to increase on the first day of each calendar year equal to the lesser of i) 5% of the aggregate number of shares of common stock outstanding on the final day of the immediately preceding calendar year or ii) such smaller number of shares as is determined by the board of directors. In January 2021, the shares available under the plan were increased by 4,130,847 shares.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2020 Plan replaced and is the successor of 2013 Equity Incentive Plan, as amended (the “2013 Plan”), which provided for the grant of incentive stock options, non-qualified stock options, restricted common stock awards and other awards for up to 7,807,200 shares of common stock to employees, officers, directors and consultants of the Company. Upon the closing of the Company’s initial public offering the 2013 Plan was terminated and no further awards will be made under the 2013 Plan. Any cancellation of outstanding awards at the time of the IPO under the 2013 Plan will be made available for grant under 2020 Plan.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of December 31, 2020 there were 7,059,000 shares of common stock remaining available for future issuance under the 2020 Plan.</w:t>
      </w:r>
    </w:p>
    <w:p>
      <w:pPr>
        <w:pStyle w:val="TextBody"/>
        <w:spacing w:before="120" w:after="0"/>
        <w:rPr>
          <w:rFonts w:ascii="Arial" w:hAnsi="Arial"/>
          <w:b/>
          <w:i/>
          <w:caps w:val="false"/>
          <w:smallCaps w:val="false"/>
          <w:sz w:val="20"/>
        </w:rPr>
      </w:pPr>
      <w:r>
        <w:rPr>
          <w:rFonts w:ascii="Arial" w:hAnsi="Arial"/>
          <w:b/>
          <w:i/>
          <w:caps w:val="false"/>
          <w:smallCaps w:val="false"/>
          <w:sz w:val="20"/>
        </w:rPr>
        <w:t>Restricted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Restricted stock awards generally include vesting and risk of forfeiture provisions that lapse upon satisfaction of performance conditions or over time periods commencing on the grant date and concluding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F-19</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on the third or fourth anniversary of the grant date. As of December 31, 2020, there were no unvested shares of restricted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of January 1, 2020, the Company had issued 200,000 shares of restricted stock to a consultant in connection with a business development agreement that were subject to vesting provisions. In December 2020, the Company and the consultant agreed to terminate the consulting agreement. In connection with the termination, the Company agreed to vest 20,000 shares of restricted stock.  The Company recorded compensation expense of $657 in connection with the vesting.  The remaining 180,000 shares of restricted stock have been forfeited.</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Employee Stock Purchase Plan</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October 2020, the Company’s shareholders approved the 2020 Employee Stock Purchase Plan (the “ESPP”), which became effective in connection with the Company’s initial public offering on October 29, 2020.  A total of 1,187,000 shares of common stock are reserved for issuance under this plan. As of December 31, 2020 the Company had not commenced any offering under the ESPP and no shares have been issued.</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Stock Options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summarizes stock option activity:</w:t>
      </w:r>
    </w:p>
    <w:p>
      <w:pPr>
        <w:pStyle w:val="TextBody"/>
        <w:spacing w:before="0" w:after="0"/>
        <w:rPr/>
      </w:pPr>
      <w:r>
        <w:rPr/>
        <w:t> </w:t>
      </w:r>
    </w:p>
    <w:tbl>
      <w:tblPr>
        <w:tblW w:w="8864" w:type="dxa"/>
        <w:jc w:val="center"/>
        <w:tblInd w:w="0" w:type="dxa"/>
        <w:tblCellMar>
          <w:top w:w="0" w:type="dxa"/>
          <w:left w:w="0" w:type="dxa"/>
          <w:bottom w:w="28" w:type="dxa"/>
          <w:right w:w="0" w:type="dxa"/>
        </w:tblCellMar>
      </w:tblPr>
      <w:tblGrid>
        <w:gridCol w:w="3875"/>
        <w:gridCol w:w="60"/>
        <w:gridCol w:w="63"/>
        <w:gridCol w:w="932"/>
        <w:gridCol w:w="80"/>
        <w:gridCol w:w="60"/>
        <w:gridCol w:w="271"/>
        <w:gridCol w:w="1084"/>
        <w:gridCol w:w="60"/>
        <w:gridCol w:w="60"/>
        <w:gridCol w:w="201"/>
        <w:gridCol w:w="973"/>
        <w:gridCol w:w="60"/>
        <w:gridCol w:w="60"/>
        <w:gridCol w:w="144"/>
        <w:gridCol w:w="821"/>
        <w:gridCol w:w="60"/>
      </w:tblGrid>
      <w:tr>
        <w:trPr/>
        <w:tc>
          <w:tcPr>
            <w:tcW w:w="387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69" w:type="dxa"/>
            <w:gridSpan w:val="14"/>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Number of</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Shares</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Weighted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Average</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Exercise Price</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Per Share</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Weighted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Average</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Remaining</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Contractual</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Term (years)</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Aggregate</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Intrinsic</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Value</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top w:val="single" w:sz="6" w:space="0" w:color="000000"/>
            </w:tcBorders>
            <w:shd w:fill="CFF0FC" w:val="clear"/>
            <w:tcMar>
              <w:top w:w="28"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Outstanding at January 1, 2020</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3,911,633</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1.50</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3,915</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4,613,861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14.93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Exercised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(18,747</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Cancelled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(588,964</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6.83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Outstanding at December 31, 2020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7,917,783</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6.68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1"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277,894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Options exercisable at December 31, 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3,246,548</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1"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129,531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Vested or expected to vest at December 31,</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2020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7,917,783</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6.68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1"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277,894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aggregate intrinsic value of options granted is calculated as the difference between the exercise price of the options and the estimated fair value of the Company’s common stock for those options that had exercise prices lower than the fair value of the Company’s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Option grants generally vest over a service period of three or four years and have a contractual term of ten years. As of December 31, 2020, total unrecognized compensation expense related to stock option awards was $33,240, which amount is being recognized over a remaining weighted average period of 3.7 years.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weighted average grant date fair value per option granted during the years ended December 31, 2020, 2019 and 2018 was $14.93, $1.19 and $0.77, respectively. The fair value of each award was estimated using Black-Scholes based on the following assumptions:</w:t>
      </w:r>
    </w:p>
    <w:p>
      <w:pPr>
        <w:pStyle w:val="TextBody"/>
        <w:spacing w:before="0" w:after="0"/>
        <w:rPr/>
      </w:pPr>
      <w:r>
        <w:rPr/>
        <w:t> </w:t>
      </w:r>
    </w:p>
    <w:tbl>
      <w:tblPr>
        <w:tblW w:w="7339" w:type="dxa"/>
        <w:jc w:val="center"/>
        <w:tblInd w:w="0" w:type="dxa"/>
        <w:tblCellMar>
          <w:top w:w="28" w:type="dxa"/>
          <w:left w:w="0" w:type="dxa"/>
          <w:bottom w:w="28" w:type="dxa"/>
          <w:right w:w="0" w:type="dxa"/>
        </w:tblCellMar>
      </w:tblPr>
      <w:tblGrid>
        <w:gridCol w:w="2090"/>
        <w:gridCol w:w="60"/>
        <w:gridCol w:w="422"/>
        <w:gridCol w:w="887"/>
        <w:gridCol w:w="270"/>
        <w:gridCol w:w="81"/>
        <w:gridCol w:w="480"/>
        <w:gridCol w:w="1009"/>
        <w:gridCol w:w="270"/>
        <w:gridCol w:w="81"/>
        <w:gridCol w:w="195"/>
        <w:gridCol w:w="1294"/>
        <w:gridCol w:w="200"/>
      </w:tblGrid>
      <w:tr>
        <w:trPr/>
        <w:tc>
          <w:tcPr>
            <w:tcW w:w="209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9" w:type="dxa"/>
            <w:gridSpan w:val="10"/>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For the Year Ended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9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7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8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7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8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2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9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Risk-free interest rate</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9" w:type="dxa"/>
            <w:gridSpan w:val="2"/>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0.31 - 0.56%</w:t>
            </w:r>
          </w:p>
        </w:tc>
        <w:tc>
          <w:tcPr>
            <w:tcW w:w="27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gridSpan w:val="2"/>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1.61 - 2.02%</w:t>
            </w:r>
          </w:p>
        </w:tc>
        <w:tc>
          <w:tcPr>
            <w:tcW w:w="27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gridSpan w:val="2"/>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2.45 - 2.89%</w:t>
            </w:r>
          </w:p>
        </w:tc>
        <w:tc>
          <w:tcPr>
            <w:tcW w:w="2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9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Expected term</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9" w:type="dxa"/>
            <w:gridSpan w:val="2"/>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6.25 years</w:t>
            </w:r>
          </w:p>
        </w:tc>
        <w:tc>
          <w:tcPr>
            <w:tcW w:w="27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gridSpan w:val="2"/>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5.52 - 10.0 years</w:t>
            </w:r>
          </w:p>
        </w:tc>
        <w:tc>
          <w:tcPr>
            <w:tcW w:w="27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gridSpan w:val="2"/>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5.52 - 9.96 years</w:t>
            </w:r>
          </w:p>
        </w:tc>
        <w:tc>
          <w:tcPr>
            <w:tcW w:w="20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9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Expected volatility</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9" w:type="dxa"/>
            <w:gridSpan w:val="2"/>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80.0% - 91.7%</w:t>
            </w:r>
          </w:p>
        </w:tc>
        <w:tc>
          <w:tcPr>
            <w:tcW w:w="27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gridSpan w:val="2"/>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49.2% - 78.0%</w:t>
            </w:r>
          </w:p>
        </w:tc>
        <w:tc>
          <w:tcPr>
            <w:tcW w:w="27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4"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49.2</w:t>
            </w:r>
          </w:p>
        </w:tc>
        <w:tc>
          <w:tcPr>
            <w:tcW w:w="20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09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Expected dividend yield</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7"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w:t>
            </w:r>
          </w:p>
        </w:tc>
        <w:tc>
          <w:tcPr>
            <w:tcW w:w="27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1"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w:t>
            </w:r>
          </w:p>
        </w:tc>
        <w:tc>
          <w:tcPr>
            <w:tcW w:w="27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1"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4"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w:t>
            </w:r>
          </w:p>
        </w:tc>
        <w:tc>
          <w:tcPr>
            <w:tcW w:w="20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rPr/>
      </w:pPr>
      <w:r>
        <w:rPr/>
        <w:t> </w:t>
      </w:r>
    </w:p>
    <w:p>
      <w:pPr>
        <w:pStyle w:val="TextBody"/>
        <w:spacing w:before="0" w:after="0"/>
        <w:rPr/>
      </w:pPr>
      <w:r>
        <w:rPr/>
        <w:t> </w:t>
      </w:r>
    </w:p>
    <w:p>
      <w:pPr>
        <w:pStyle w:val="TextBody"/>
        <w:spacing w:before="0" w:after="0"/>
        <w:rPr>
          <w:rFonts w:ascii="Arial" w:hAnsi="Arial"/>
          <w:b/>
          <w:i/>
          <w:caps w:val="false"/>
          <w:smallCaps w:val="false"/>
          <w:sz w:val="20"/>
        </w:rPr>
      </w:pPr>
      <w:r>
        <w:rPr>
          <w:rFonts w:ascii="Arial" w:hAnsi="Arial"/>
          <w:b/>
          <w:i/>
          <w:caps w:val="false"/>
          <w:smallCaps w:val="false"/>
          <w:sz w:val="20"/>
        </w:rPr>
        <w:t>Stock-based Compensation Expense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Stock-based compensation expense is classified as follows: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F-20</w:t>
      </w:r>
    </w:p>
    <w:p>
      <w:pPr>
        <w:pStyle w:val="HorizontalLine"/>
        <w:rPr/>
      </w:pPr>
      <w:r>
        <w:rPr/>
      </w:r>
    </w:p>
    <w:p>
      <w:pPr>
        <w:pStyle w:val="TextBody"/>
        <w:spacing w:before="0" w:after="0"/>
        <w:rPr/>
      </w:pPr>
      <w:r>
        <w:rPr/>
        <w:t> </w:t>
      </w:r>
    </w:p>
    <w:p>
      <w:pPr>
        <w:pStyle w:val="TextBody"/>
        <w:spacing w:before="0" w:after="0"/>
        <w:rPr/>
      </w:pPr>
      <w:r>
        <w:rPr/>
        <w:t> </w:t>
      </w:r>
    </w:p>
    <w:tbl>
      <w:tblPr>
        <w:tblW w:w="5586" w:type="dxa"/>
        <w:jc w:val="center"/>
        <w:tblInd w:w="0" w:type="dxa"/>
        <w:tblCellMar>
          <w:top w:w="28" w:type="dxa"/>
          <w:left w:w="0" w:type="dxa"/>
          <w:bottom w:w="28" w:type="dxa"/>
          <w:right w:w="0" w:type="dxa"/>
        </w:tblCellMar>
      </w:tblPr>
      <w:tblGrid>
        <w:gridCol w:w="3650"/>
        <w:gridCol w:w="60"/>
        <w:gridCol w:w="127"/>
        <w:gridCol w:w="509"/>
        <w:gridCol w:w="61"/>
        <w:gridCol w:w="61"/>
        <w:gridCol w:w="127"/>
        <w:gridCol w:w="341"/>
        <w:gridCol w:w="61"/>
        <w:gridCol w:w="61"/>
        <w:gridCol w:w="127"/>
        <w:gridCol w:w="341"/>
        <w:gridCol w:w="60"/>
      </w:tblGrid>
      <w:tr>
        <w:trPr/>
        <w:tc>
          <w:tcPr>
            <w:tcW w:w="365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6" w:type="dxa"/>
            <w:gridSpan w:val="10"/>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For the Year Ended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1"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1"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8"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 expense</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9"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3,565</w:t>
            </w:r>
          </w:p>
        </w:tc>
        <w:tc>
          <w:tcPr>
            <w:tcW w:w="61"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41"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255</w:t>
            </w:r>
          </w:p>
        </w:tc>
        <w:tc>
          <w:tcPr>
            <w:tcW w:w="61"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41"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192</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9"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3,892</w:t>
            </w:r>
          </w:p>
        </w:tc>
        <w:tc>
          <w:tcPr>
            <w:tcW w:w="61"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1"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369</w:t>
            </w:r>
          </w:p>
        </w:tc>
        <w:tc>
          <w:tcPr>
            <w:tcW w:w="61"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1"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222</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CFF0FC" w:val="clear"/>
            <w:tcMar>
              <w:top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stock-based compensation expense</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9"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7,457</w:t>
            </w:r>
          </w:p>
        </w:tc>
        <w:tc>
          <w:tcPr>
            <w:tcW w:w="61"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41"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61"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41"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414</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components of stock-based compensation expense were:</w:t>
      </w:r>
    </w:p>
    <w:p>
      <w:pPr>
        <w:pStyle w:val="TextBody"/>
        <w:spacing w:before="0" w:after="0"/>
        <w:rPr/>
      </w:pPr>
      <w:r>
        <w:rPr/>
        <w:t> </w:t>
      </w:r>
    </w:p>
    <w:tbl>
      <w:tblPr>
        <w:tblW w:w="5586" w:type="dxa"/>
        <w:jc w:val="center"/>
        <w:tblInd w:w="0" w:type="dxa"/>
        <w:tblCellMar>
          <w:top w:w="28" w:type="dxa"/>
          <w:left w:w="0" w:type="dxa"/>
          <w:bottom w:w="28" w:type="dxa"/>
          <w:right w:w="0" w:type="dxa"/>
        </w:tblCellMar>
      </w:tblPr>
      <w:tblGrid>
        <w:gridCol w:w="3650"/>
        <w:gridCol w:w="60"/>
        <w:gridCol w:w="127"/>
        <w:gridCol w:w="509"/>
        <w:gridCol w:w="61"/>
        <w:gridCol w:w="61"/>
        <w:gridCol w:w="127"/>
        <w:gridCol w:w="341"/>
        <w:gridCol w:w="61"/>
        <w:gridCol w:w="61"/>
        <w:gridCol w:w="127"/>
        <w:gridCol w:w="341"/>
        <w:gridCol w:w="60"/>
      </w:tblGrid>
      <w:tr>
        <w:trPr/>
        <w:tc>
          <w:tcPr>
            <w:tcW w:w="365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6" w:type="dxa"/>
            <w:gridSpan w:val="10"/>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For the Year Ended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1"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1"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Restricted common stock</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9"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657</w:t>
            </w:r>
          </w:p>
        </w:tc>
        <w:tc>
          <w:tcPr>
            <w:tcW w:w="61"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41"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1"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41"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 options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9"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6,800</w:t>
            </w:r>
          </w:p>
        </w:tc>
        <w:tc>
          <w:tcPr>
            <w:tcW w:w="61"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1"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61"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1"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409</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CFF0FC" w:val="clear"/>
            <w:tcMar>
              <w:top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stock-based compensation expense</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9"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7,457</w:t>
            </w:r>
          </w:p>
        </w:tc>
        <w:tc>
          <w:tcPr>
            <w:tcW w:w="61"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41"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61"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41"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414</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During the year ended December 31, 2020 the Company modified the terms of certain options granted to a former employee.  As a result, the Company recorded a compensation expense of $1,951. There were no modifications during the years ended December 31, 2019 and 2018.</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11. Income Taxes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During the years ended December 31, 2020, 2019 and 2018, the Company did not record a current or deferred income tax expense or benefit.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reconciliation of federal statutory income tax rate to the Company’s effective income tax rate is as follows:</w:t>
      </w:r>
    </w:p>
    <w:p>
      <w:pPr>
        <w:pStyle w:val="TextBody"/>
        <w:spacing w:before="0" w:after="0"/>
        <w:rPr/>
      </w:pPr>
      <w:r>
        <w:rPr/>
        <w:t> </w:t>
      </w:r>
    </w:p>
    <w:tbl>
      <w:tblPr>
        <w:tblW w:w="7370" w:type="dxa"/>
        <w:jc w:val="center"/>
        <w:tblInd w:w="0" w:type="dxa"/>
        <w:tblCellMar>
          <w:top w:w="28" w:type="dxa"/>
          <w:left w:w="0" w:type="dxa"/>
          <w:bottom w:w="0" w:type="dxa"/>
          <w:right w:w="0" w:type="dxa"/>
        </w:tblCellMar>
      </w:tblPr>
      <w:tblGrid>
        <w:gridCol w:w="4925"/>
        <w:gridCol w:w="60"/>
        <w:gridCol w:w="60"/>
        <w:gridCol w:w="455"/>
        <w:gridCol w:w="80"/>
        <w:gridCol w:w="200"/>
        <w:gridCol w:w="60"/>
        <w:gridCol w:w="455"/>
        <w:gridCol w:w="80"/>
        <w:gridCol w:w="200"/>
        <w:gridCol w:w="60"/>
        <w:gridCol w:w="455"/>
        <w:gridCol w:w="80"/>
        <w:gridCol w:w="200"/>
      </w:tblGrid>
      <w:tr>
        <w:trPr/>
        <w:tc>
          <w:tcPr>
            <w:tcW w:w="4925" w:type="dxa"/>
            <w:tcBorders>
              <w:top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5" w:type="dxa"/>
            <w:gridSpan w:val="12"/>
            <w:tcBorders/>
            <w:shd w:fill="FFFFFF" w:val="clear"/>
            <w:tcMar>
              <w:top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For the Year Ended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r>
      <w:tr>
        <w:trPr/>
        <w:tc>
          <w:tcPr>
            <w:tcW w:w="4925"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15"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515"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top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Expected income tax benefit at the federal statutory rate</w:t>
            </w:r>
          </w:p>
        </w:tc>
        <w:tc>
          <w:tcPr>
            <w:tcW w:w="60" w:type="dxa"/>
            <w:tcBorders>
              <w:top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21.0</w:t>
            </w:r>
          </w:p>
        </w:tc>
        <w:tc>
          <w:tcPr>
            <w:tcW w:w="8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21.0</w:t>
            </w:r>
          </w:p>
        </w:tc>
        <w:tc>
          <w:tcPr>
            <w:tcW w:w="8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21.0</w:t>
            </w:r>
          </w:p>
        </w:tc>
        <w:tc>
          <w:tcPr>
            <w:tcW w:w="8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925" w:type="dxa"/>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State taxes</w:t>
            </w:r>
          </w:p>
        </w:tc>
        <w:tc>
          <w:tcPr>
            <w:tcW w:w="60" w:type="dxa"/>
            <w:tcBorders/>
            <w:shd w:fill="FFFF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w:t>
            </w:r>
          </w:p>
        </w:tc>
        <w:tc>
          <w:tcPr>
            <w:tcW w:w="80" w:type="dxa"/>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4.0</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 credits</w:t>
            </w:r>
          </w:p>
        </w:tc>
        <w:tc>
          <w:tcPr>
            <w:tcW w:w="60" w:type="dxa"/>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12.5</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0.9</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w:t>
            </w:r>
          </w:p>
        </w:tc>
        <w:tc>
          <w:tcPr>
            <w:tcW w:w="60" w:type="dxa"/>
            <w:tcBorders/>
            <w:shd w:fill="FFFF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(13.6</w:t>
            </w:r>
          </w:p>
        </w:tc>
        <w:tc>
          <w:tcPr>
            <w:tcW w:w="80" w:type="dxa"/>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(0.5</w:t>
            </w:r>
          </w:p>
        </w:tc>
        <w:tc>
          <w:tcPr>
            <w:tcW w:w="80" w:type="dxa"/>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0.3</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bottom w:val="single" w:sz="6" w:space="0" w:color="000000"/>
            </w:tcBorders>
            <w:shd w:fill="FFFFFF" w:val="clear"/>
            <w:tcMar>
              <w:top w:w="0" w:type="dxa"/>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Change in valuation allowance</w:t>
            </w:r>
          </w:p>
        </w:tc>
        <w:tc>
          <w:tcPr>
            <w:tcW w:w="60" w:type="dxa"/>
            <w:tcBorders>
              <w:bottom w:val="single" w:sz="6" w:space="0" w:color="000000"/>
            </w:tcBorders>
            <w:shd w:fill="FFFFFF" w:val="clear"/>
            <w:tcMar>
              <w:top w:w="0"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(17.3</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(27.6</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(26.4</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bottom w:val="single" w:sz="6" w:space="0" w:color="000000"/>
            </w:tcBorders>
            <w:shd w:fill="CFF0FC" w:val="clear"/>
            <w:tcMar>
              <w:top w:w="0" w:type="dxa"/>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w:t>
            </w:r>
          </w:p>
        </w:tc>
        <w:tc>
          <w:tcPr>
            <w:tcW w:w="60" w:type="dxa"/>
            <w:tcBorders>
              <w:bottom w:val="single" w:sz="6" w:space="0" w:color="000000"/>
            </w:tcBorders>
            <w:shd w:fill="CFF0FC" w:val="clear"/>
            <w:tcMar>
              <w:top w:w="0"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w:t>
            </w:r>
          </w:p>
        </w:tc>
        <w:tc>
          <w:tcPr>
            <w:tcW w:w="8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w:t>
            </w:r>
          </w:p>
        </w:tc>
        <w:tc>
          <w:tcPr>
            <w:tcW w:w="8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w:t>
            </w:r>
          </w:p>
        </w:tc>
        <w:tc>
          <w:tcPr>
            <w:tcW w:w="8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Deferred income taxes reflect the net effects of temporary differences between the carrying amounts of assets and liabilities for financial reporting purposes and the amounts used for income tax purposes. The principal components of the Company’s deferred tax assets consisted of the following:</w:t>
      </w:r>
    </w:p>
    <w:p>
      <w:pPr>
        <w:pStyle w:val="TextBody"/>
        <w:spacing w:before="0" w:after="0"/>
        <w:rPr/>
      </w:pPr>
      <w:r>
        <w:rPr/>
        <w:t> </w:t>
      </w:r>
    </w:p>
    <w:tbl>
      <w:tblPr>
        <w:tblW w:w="4895" w:type="dxa"/>
        <w:jc w:val="center"/>
        <w:tblInd w:w="0" w:type="dxa"/>
        <w:tblCellMar>
          <w:top w:w="28" w:type="dxa"/>
          <w:left w:w="0" w:type="dxa"/>
          <w:bottom w:w="28" w:type="dxa"/>
          <w:right w:w="0" w:type="dxa"/>
        </w:tblCellMar>
      </w:tblPr>
      <w:tblGrid>
        <w:gridCol w:w="3035"/>
        <w:gridCol w:w="60"/>
        <w:gridCol w:w="125"/>
        <w:gridCol w:w="665"/>
        <w:gridCol w:w="80"/>
        <w:gridCol w:w="60"/>
        <w:gridCol w:w="125"/>
        <w:gridCol w:w="665"/>
        <w:gridCol w:w="80"/>
      </w:tblGrid>
      <w:tr>
        <w:trPr/>
        <w:tc>
          <w:tcPr>
            <w:tcW w:w="303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0" w:type="dxa"/>
            <w:gridSpan w:val="6"/>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Deferred tax assets</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FFFFFF" w:val="clear"/>
            <w:tcMar>
              <w:top w:w="0" w:type="dxa"/>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operating loss carryforwards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14,069</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13,466</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CFF0FC" w:val="clear"/>
            <w:tcMar>
              <w:top w:w="0" w:type="dxa"/>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1,072</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1,024</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FFFFFF" w:val="clear"/>
            <w:tcMar>
              <w:top w:w="0" w:type="dxa"/>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 credits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1,791</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455</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bottom w:val="single" w:sz="6" w:space="0" w:color="000000"/>
            </w:tcBorders>
            <w:shd w:fill="CFF0FC" w:val="clear"/>
            <w:tcMar>
              <w:top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53</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152</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Gross deferred tax assets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16,985</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15,097</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Less: valuation allowance</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(16,985</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(15,097</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303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deferred tax assets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As of December 31, 2020, the Company had federal net operating losses of $53,197 and state net operating loss carryforwards of $52,540. The Company also has federal and state research and development tax credit carryforwards of $1,574 and $274, respectively, which may be used to offset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F-21</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future tax liabilities. Federal net operating losses generated prior to 2018 of $27,522 can be carried back two years and carried forward 20 years. Federal net operating losses generated prior to 2018 and federal tax credit carryforwards will begin to expire in 2033. Federal net operating losses generated post 2017 of $25,675 can be carried forward indefinitely but can only offset 80 percent of annual taxable income. State net operating losses will begin to expire in 2033 and state tax credit carryforwards will begin to expire in 2031.</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Management has evaluated the positive and negative evidence bearing upon the realizability of the Company’s deferred tax assets, which are comprised principally of net operating loss carryforwards. Based on the Company’s cumulative net losses since inception and projected potential net operating loss for tax purposes in 2021, the Company determined that it is more likely than not that it will not recognize the benefits of the deferred tax assets. As a result, the Company has recorded a full valuation allowance of approximately $16,985 at December 31, 2020. The Company increased its valuation allowance by $1,888 for the year ended December 31, 2020 in order to maintain a full valuation allowance against its deferred tax assets.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Under the provisions of Sections 382 and 383 of the Internal Revenue Code (the “IRC”), net operating loss and credit carryforwards and other tax attributes may be subject to limitation if there has been a significant change in ownership of the Company, as defined by the IRC. Future owner or equity shifts, including an initial public offering, could result in limitations on net operating loss and credit carryforwards.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performed an analysis through December 31, 2020 pursuant to Section 382 of the IRC to determine whether any limitations might exist on the utilization of net operating losses and other tax attributes. Based on this analysis, the Company has determined that ownership changes occurred in 2014, resulting in an annual limitation of $169 on the use of its net operating losses and other tax attributes generated prior to the ownership change. To the extent that the Company raises additional equity financing or other changes in the ownership interest of significant stockholders occurs, additional tax attributes may become subject to an annual limitation. This could limit the amount of tax attributes that can be utilized annually to offset future taxable income or tax liabilities.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files federal and Commonwealth of Massachusetts state income tax returns. The statute of limitations for assessment by the Internal Revenue Service (the “IRS”), and state tax authorities remains open for all tax years ended since the inception of the Company. To the extent the Company has tax attribute carryforwards, the tax years in which the attribute was generated may still be adjusted upon examination by the IRS or state tax authorities to the extent utilized in a future period. No federal or state tax audits are currently in process.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Company evaluates tax positions for recognition using a more-likely-than-not recognition threshold, and those tax positions eligible for recognition are measured as the largest amount of tax benefit that is greater than 50% likely of being realized upon the effective settlement with a taxing authority that has full knowledge of all relevant information. The Company has not recorded any amounts for unrecognized tax benefits as of December 31, 2020 nor has it recorded any penalties or interest.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 xml:space="preserve">12. Net Loss Per Share Attributable to Common Stockholders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outstanding potentially dilutive shares have been excluded from the calculation of diluted    net loss per share, as their effect is anti-dilutive:</w:t>
      </w:r>
    </w:p>
    <w:p>
      <w:pPr>
        <w:pStyle w:val="TextBody"/>
        <w:spacing w:before="0" w:after="0"/>
        <w:rPr/>
      </w:pPr>
      <w:r>
        <w:rPr/>
        <w:t> </w:t>
      </w:r>
    </w:p>
    <w:tbl>
      <w:tblPr>
        <w:tblW w:w="7025" w:type="dxa"/>
        <w:jc w:val="center"/>
        <w:tblInd w:w="0" w:type="dxa"/>
        <w:tblCellMar>
          <w:top w:w="28" w:type="dxa"/>
          <w:left w:w="0" w:type="dxa"/>
          <w:bottom w:w="28" w:type="dxa"/>
          <w:right w:w="0" w:type="dxa"/>
        </w:tblCellMar>
      </w:tblPr>
      <w:tblGrid>
        <w:gridCol w:w="3650"/>
        <w:gridCol w:w="60"/>
        <w:gridCol w:w="60"/>
        <w:gridCol w:w="875"/>
        <w:gridCol w:w="60"/>
        <w:gridCol w:w="60"/>
        <w:gridCol w:w="60"/>
        <w:gridCol w:w="980"/>
        <w:gridCol w:w="60"/>
        <w:gridCol w:w="60"/>
        <w:gridCol w:w="60"/>
        <w:gridCol w:w="980"/>
        <w:gridCol w:w="60"/>
      </w:tblGrid>
      <w:tr>
        <w:trPr/>
        <w:tc>
          <w:tcPr>
            <w:tcW w:w="365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55" w:type="dxa"/>
            <w:gridSpan w:val="10"/>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For the Year Ended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3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Convertible Preferred Stock</w:t>
            </w:r>
          </w:p>
        </w:tc>
        <w:tc>
          <w:tcPr>
            <w:tcW w:w="60" w:type="dxa"/>
            <w:tcBorders>
              <w:top w:val="single" w:sz="6" w:space="0" w:color="000000"/>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33,645,447</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33,645,447</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 options to purchase common stock</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7,917,783</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3,911,633</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2,820,000</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Non-vested restricted stock</w:t>
            </w:r>
          </w:p>
        </w:tc>
        <w:tc>
          <w:tcPr>
            <w:tcW w:w="60" w:type="dxa"/>
            <w:tcBorders>
              <w:bottom w:val="single" w:sz="6" w:space="0" w:color="000000"/>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bottom w:val="single" w:sz="6" w:space="0" w:color="000000"/>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200,000</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200,000</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13. Related Party Transactions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recorded expense of $43, $145 and $0 for consulting services provided by an entity affiliated with the former interim Chief Financial Officer for the years ended December 31, 2020, 2019 and 2018, respectively.  Of these amounts, $0 and $20 were included in accrued expenses and other current liabilities as of December 31, 2020 and 2019, respectively.</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F-22</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NovaMedica</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May 2014, the Company entered into an exclusive license agreement with NovaMedica LLC, an affiliated entity of a stockholder, pursuant to which the Company granted NovaMedica a license to certain intellectual property rights for commercialization of a potential product for the treatment of hepatitis C. In connection with the license, the Company received a license fee of $200 in partial consideration for the grant of the license. Recognition of the license fee had been deferred until both the Company and NovaMedica finalized certain other terms and conditions of the license agreement.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and NovaMedica failed to agree on the terms of an amendment to the license agreement and the license agreement was terminated in May 2020. The Company paid a fee of $400 in connection with the termination.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There were no other material transactions with related parties.</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F-23</w:t>
      </w:r>
      <w:r>
        <w:br w:type="page"/>
      </w:r>
    </w:p>
    <w:p>
      <w:pPr>
        <w:pStyle w:val="TextBody"/>
        <w:spacing w:before="0" w:after="0"/>
        <w:jc w:val="right"/>
        <w:rPr>
          <w:rFonts w:ascii="Arial" w:hAnsi="Arial"/>
          <w:b/>
          <w:i w:val="false"/>
          <w:caps w:val="false"/>
          <w:smallCaps w:val="false"/>
          <w:sz w:val="20"/>
        </w:rPr>
      </w:pPr>
      <w:bookmarkStart w:id="69" w:name="avir-ex42_366.htm"/>
      <w:bookmarkStart w:id="70" w:name="ksavirex42_366"/>
      <w:bookmarkEnd w:id="69"/>
      <w:bookmarkEnd w:id="70"/>
      <w:r>
        <w:rPr>
          <w:rFonts w:ascii="Arial" w:hAnsi="Arial"/>
          <w:b/>
          <w:i w:val="false"/>
          <w:caps w:val="false"/>
          <w:smallCaps w:val="false"/>
          <w:sz w:val="20"/>
        </w:rPr>
        <w:t>Exhibit 4.2</w:t>
      </w:r>
    </w:p>
    <w:p>
      <w:pPr>
        <w:pStyle w:val="TextBody"/>
        <w:spacing w:before="0" w:after="0"/>
        <w:jc w:val="center"/>
        <w:rPr>
          <w:rFonts w:ascii="Arial" w:hAnsi="Arial"/>
          <w:b/>
          <w:i w:val="false"/>
          <w:caps w:val="false"/>
          <w:smallCaps w:val="false"/>
          <w:sz w:val="20"/>
        </w:rPr>
      </w:pPr>
      <w:bookmarkStart w:id="71" w:name="rom846749_15"/>
      <w:bookmarkStart w:id="72" w:name="OrigSetCursorLoc"/>
      <w:bookmarkEnd w:id="71"/>
      <w:bookmarkEnd w:id="72"/>
      <w:r>
        <w:rPr>
          <w:rFonts w:ascii="Arial" w:hAnsi="Arial"/>
          <w:b/>
          <w:i w:val="false"/>
          <w:caps w:val="false"/>
          <w:smallCaps w:val="false"/>
          <w:sz w:val="20"/>
        </w:rPr>
        <w:t>DESCRIPTION OF THE REGISTRANT’S SECURITIES REGISTERED PURSUANT TO SECTION 12 OF THE SECURITIES EXCHANGE ACT OF 1934, AS AMENDED</w:t>
      </w:r>
    </w:p>
    <w:p>
      <w:pPr>
        <w:pStyle w:val="TextBody"/>
        <w:spacing w:before="0" w:after="0"/>
        <w:jc w:val="center"/>
        <w:rPr/>
      </w:pPr>
      <w:r>
        <w:rPr/>
        <w:t> </w:t>
      </w:r>
    </w:p>
    <w:p>
      <w:pPr>
        <w:pStyle w:val="TextBody"/>
        <w:spacing w:before="120" w:after="240"/>
        <w:rPr>
          <w:rFonts w:ascii="Arial" w:hAnsi="Arial"/>
          <w:b w:val="false"/>
          <w:i w:val="false"/>
          <w:caps w:val="false"/>
          <w:smallCaps w:val="false"/>
          <w:sz w:val="20"/>
        </w:rPr>
      </w:pPr>
      <w:r>
        <w:rPr>
          <w:rFonts w:ascii="Arial" w:hAnsi="Arial"/>
          <w:b w:val="false"/>
          <w:i w:val="false"/>
          <w:caps w:val="false"/>
          <w:smallCaps w:val="false"/>
          <w:sz w:val="20"/>
        </w:rPr>
        <w:t xml:space="preserve">As of December 31, 2020, Atea Pharmaceuticals, Inc. had one class of securities registered under Section 12 of the Securities Exchange Act of 1934, as amended (the “Exchange Act”). References herein to “we,” “us,” “our” and the “Company” refer to Atea Pharmaceuticals, Inc. </w:t>
      </w:r>
    </w:p>
    <w:p>
      <w:pPr>
        <w:pStyle w:val="TextBody"/>
        <w:shd w:fill="FFFFFF" w:val="clear"/>
        <w:spacing w:before="120" w:after="240"/>
        <w:rPr>
          <w:rFonts w:ascii="Arial" w:hAnsi="Arial"/>
          <w:b/>
          <w:i w:val="false"/>
          <w:caps w:val="false"/>
          <w:smallCaps w:val="false"/>
          <w:color w:val="000000"/>
          <w:sz w:val="20"/>
        </w:rPr>
      </w:pPr>
      <w:r>
        <w:rPr>
          <w:rFonts w:ascii="Arial" w:hAnsi="Arial"/>
          <w:b/>
          <w:i w:val="false"/>
          <w:caps w:val="false"/>
          <w:smallCaps w:val="false"/>
          <w:color w:val="000000"/>
          <w:sz w:val="20"/>
        </w:rPr>
        <w:t>General</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following description summarizes some of the terms of our restated certificate of incorporation and amended and restated bylaws, the investors’ rights agreement and of the General Corporation Law of the State of Delaware. For a complete description, you should refer to our restated certificate of incorporation, amended and restated bylaws and investors’ rights agreement, copies of which filed with the Securities and Exchange Commission, as well as the relevant provisions of the General Corporation Law of the State of Delaware. </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authorized capital stock consists of 300,000,000 shares of common stock, par value $0.001 per share, and 10,000,000 shares of preferred stock, par value $0.001 per share.</w:t>
      </w:r>
    </w:p>
    <w:p>
      <w:pPr>
        <w:pStyle w:val="TextBody"/>
        <w:shd w:fill="FFFFFF" w:val="clear"/>
        <w:spacing w:before="240" w:after="240"/>
        <w:rPr>
          <w:rFonts w:ascii="Arial" w:hAnsi="Arial"/>
          <w:b/>
          <w:i w:val="false"/>
          <w:caps w:val="false"/>
          <w:smallCaps w:val="false"/>
          <w:color w:val="000000"/>
          <w:sz w:val="20"/>
        </w:rPr>
      </w:pPr>
      <w:r>
        <w:rPr>
          <w:rFonts w:ascii="Arial" w:hAnsi="Arial"/>
          <w:b/>
          <w:i w:val="false"/>
          <w:caps w:val="false"/>
          <w:smallCaps w:val="false"/>
          <w:color w:val="000000"/>
          <w:sz w:val="20"/>
        </w:rPr>
        <w:t>Common Stock</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See below under “ —Anti-Takeover Effects of Delaware Law and Our Certificate of Incorporation and Bylaws—Amendment of Charter Provisions.” Holders of common stock are entitled to receive proportionately any dividends as may be declared by our board of directors, subject to any preferential dividend rights of any series of preferred stock that we may designate and issue in the future.</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shd w:fill="FFFFFF" w:val="clear"/>
        <w:spacing w:before="0" w:after="240"/>
        <w:rPr>
          <w:rFonts w:ascii="Arial" w:hAnsi="Arial"/>
          <w:b/>
          <w:i w:val="false"/>
          <w:caps w:val="false"/>
          <w:smallCaps w:val="false"/>
          <w:color w:val="000000"/>
          <w:sz w:val="20"/>
        </w:rPr>
      </w:pPr>
      <w:r>
        <w:rPr>
          <w:rFonts w:ascii="Arial" w:hAnsi="Arial"/>
          <w:b/>
          <w:i w:val="false"/>
          <w:caps w:val="false"/>
          <w:smallCaps w:val="false"/>
          <w:color w:val="000000"/>
          <w:sz w:val="20"/>
        </w:rPr>
        <w:t>Preferred Stock</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purpose of authorizing our board of directors to issue preferred stock and determine its rights and preferences is to eliminate delays associated with a stockholder vote on specific issuances. The issuance </w:t>
      </w:r>
    </w:p>
    <w:p>
      <w:pPr>
        <w:pStyle w:val="HorizontalLine"/>
        <w:rPr/>
      </w:pPr>
      <w:r>
        <w:rPr/>
      </w:r>
    </w:p>
    <w:p>
      <w:pPr>
        <w:pStyle w:val="TextBody"/>
        <w:spacing w:before="0" w:after="0"/>
        <w:rPr/>
      </w:pPr>
      <w:r>
        <w:rPr/>
        <w:t> </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pStyle w:val="TextBody"/>
        <w:shd w:fill="FFFFFF" w:val="clear"/>
        <w:spacing w:before="240" w:after="240"/>
        <w:rPr>
          <w:rFonts w:ascii="Arial" w:hAnsi="Arial"/>
          <w:b/>
          <w:i w:val="false"/>
          <w:caps w:val="false"/>
          <w:smallCaps w:val="false"/>
          <w:color w:val="000000"/>
          <w:sz w:val="20"/>
        </w:rPr>
      </w:pPr>
      <w:r>
        <w:rPr>
          <w:rFonts w:ascii="Arial" w:hAnsi="Arial"/>
          <w:b/>
          <w:i w:val="false"/>
          <w:caps w:val="false"/>
          <w:smallCaps w:val="false"/>
          <w:color w:val="000000"/>
          <w:sz w:val="20"/>
        </w:rPr>
        <w:t>Registration Rights</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Certain of our stockholders are entitled to certain rights with respect to the registration of such shares for public resale under the Securities Act, pursuant to an amended and restated stockholders rights agreement by and among us and certain of our stockholders,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pStyle w:val="TextBody"/>
        <w:shd w:fill="FFFFFF" w:val="clear"/>
        <w:spacing w:before="240" w:after="240"/>
        <w:rPr>
          <w:rFonts w:ascii="Arial" w:hAnsi="Arial"/>
          <w:b w:val="false"/>
          <w:i/>
          <w:caps w:val="false"/>
          <w:smallCaps w:val="false"/>
          <w:color w:val="000000"/>
          <w:sz w:val="20"/>
        </w:rPr>
      </w:pPr>
      <w:r>
        <w:rPr>
          <w:rFonts w:ascii="Arial" w:hAnsi="Arial"/>
          <w:b w:val="false"/>
          <w:i/>
          <w:caps w:val="false"/>
          <w:smallCaps w:val="false"/>
          <w:color w:val="000000"/>
          <w:sz w:val="20"/>
        </w:rPr>
        <w:t>Form S-1 Registration Rights</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at any time beginning 180 days after the closing date of our initial public offering, the holders of a majority of registrable securities request in writing that we effect a registration with respect to all or part of such registrable securities then outstanding and having an anticipated gross aggregate offering price that would exceed $15,000,000, we may be required to register their shares; provided, however, that we will not be required to effect such a registration if, within any twelve month period, we have already effected two registrations on Form S-1 for the holders of registrable securities.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pStyle w:val="TextBody"/>
        <w:shd w:fill="FFFFFF" w:val="clear"/>
        <w:spacing w:before="240" w:after="240"/>
        <w:rPr>
          <w:rFonts w:ascii="Arial" w:hAnsi="Arial"/>
          <w:b w:val="false"/>
          <w:i/>
          <w:caps w:val="false"/>
          <w:smallCaps w:val="false"/>
          <w:color w:val="000000"/>
          <w:sz w:val="20"/>
        </w:rPr>
      </w:pPr>
      <w:r>
        <w:rPr>
          <w:rFonts w:ascii="Arial" w:hAnsi="Arial"/>
          <w:b w:val="false"/>
          <w:i/>
          <w:caps w:val="false"/>
          <w:smallCaps w:val="false"/>
          <w:color w:val="000000"/>
          <w:sz w:val="20"/>
        </w:rPr>
        <w:t>Piggyback Registration Rights</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pStyle w:val="TextBody"/>
        <w:shd w:fill="FFFFFF" w:val="clear"/>
        <w:spacing w:before="0" w:after="240"/>
        <w:rPr>
          <w:rFonts w:ascii="Arial" w:hAnsi="Arial"/>
          <w:b w:val="false"/>
          <w:i/>
          <w:caps w:val="false"/>
          <w:smallCaps w:val="false"/>
          <w:color w:val="000000"/>
          <w:sz w:val="20"/>
        </w:rPr>
      </w:pPr>
      <w:r>
        <w:rPr>
          <w:rFonts w:ascii="Arial" w:hAnsi="Arial"/>
          <w:b w:val="false"/>
          <w:i/>
          <w:caps w:val="false"/>
          <w:smallCaps w:val="false"/>
          <w:color w:val="000000"/>
          <w:sz w:val="20"/>
        </w:rPr>
        <w:t>Form S-3 Registration Rights</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at any time after we become entitled under the Securities Act to register our shares on a registration statement on Form S-3, the holders of at least 30% of the then outstanding registrable securities request in writing that we effect a registration with respect to registrable securities at an aggregate price to the public in the offering of at least $5,000,000, we will be required to effect such registration; provided, however, that we will not be required to effect such a registration if, within any twelve month period, we have already effected two registrations on Form S-3 for the holders of registrable securities.</w:t>
      </w:r>
    </w:p>
    <w:p>
      <w:pPr>
        <w:pStyle w:val="TextBody"/>
        <w:shd w:fill="FFFFFF" w:val="clear"/>
        <w:spacing w:before="240" w:after="240"/>
        <w:rPr>
          <w:rFonts w:ascii="Arial" w:hAnsi="Arial"/>
          <w:b w:val="false"/>
          <w:i/>
          <w:caps w:val="false"/>
          <w:smallCaps w:val="false"/>
          <w:color w:val="000000"/>
          <w:sz w:val="20"/>
        </w:rPr>
      </w:pPr>
      <w:r>
        <w:rPr>
          <w:rFonts w:ascii="Arial" w:hAnsi="Arial"/>
          <w:b w:val="false"/>
          <w:i/>
          <w:caps w:val="false"/>
          <w:smallCaps w:val="false"/>
          <w:color w:val="000000"/>
          <w:sz w:val="20"/>
        </w:rPr>
        <w:t>Expenses and Indemnification</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Ordinarily, other than underwriting discounts and commissions and subject to certain exceptions,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not to exceed $20,000, of a counsel for the selling security holders and blue sky fees and expenses. Additionally, we have agreed to indemnify selling stockholders for damages, and any legal or other expenses reasonably incurred, arising from or based upon any untrue statement of a material fact contained in any registration statement, an omission or alleged omission to state a material fact in any registration statement or </w:t>
      </w:r>
    </w:p>
    <w:p>
      <w:pPr>
        <w:pStyle w:val="TextBody"/>
        <w:spacing w:before="240" w:after="0"/>
        <w:rPr/>
      </w:pPr>
      <w:r>
        <w:rPr/>
        <w:t> </w:t>
      </w:r>
    </w:p>
    <w:p>
      <w:pPr>
        <w:pStyle w:val="HorizontalLine"/>
        <w:rPr/>
      </w:pPr>
      <w:r>
        <w:rPr/>
      </w:r>
    </w:p>
    <w:p>
      <w:pPr>
        <w:pStyle w:val="TextBody"/>
        <w:spacing w:before="0" w:after="0"/>
        <w:rPr/>
      </w:pPr>
      <w:r>
        <w:rPr/>
        <w:t> </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necessary to make the statements therein not misleading, or any violation or alleged violation by the indemnifying party of securities laws, subject to certain exceptions.</w:t>
      </w:r>
    </w:p>
    <w:p>
      <w:pPr>
        <w:pStyle w:val="TextBody"/>
        <w:shd w:fill="FFFFFF" w:val="clear"/>
        <w:spacing w:before="240" w:after="240"/>
        <w:rPr>
          <w:rFonts w:ascii="Arial" w:hAnsi="Arial"/>
          <w:b w:val="false"/>
          <w:i/>
          <w:caps w:val="false"/>
          <w:smallCaps w:val="false"/>
          <w:color w:val="000000"/>
          <w:sz w:val="20"/>
        </w:rPr>
      </w:pPr>
      <w:r>
        <w:rPr>
          <w:rFonts w:ascii="Arial" w:hAnsi="Arial"/>
          <w:b w:val="false"/>
          <w:i/>
          <w:caps w:val="false"/>
          <w:smallCaps w:val="false"/>
          <w:color w:val="000000"/>
          <w:sz w:val="20"/>
        </w:rPr>
        <w:t>Termination of Registration Rights</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registration rights terminate upon the earliest to occur of three years after the effective date of the registration statement for our initial public offering, the closing of a deemed liquidation event, or such time as an exemption under the Securities Act is available for the sale of all of the registrable securities.</w:t>
      </w:r>
    </w:p>
    <w:p>
      <w:pPr>
        <w:pStyle w:val="TextBody"/>
        <w:shd w:fill="FFFFFF" w:val="clear"/>
        <w:spacing w:before="240" w:after="240"/>
        <w:rPr>
          <w:rFonts w:ascii="Arial" w:hAnsi="Arial"/>
          <w:b/>
          <w:i w:val="false"/>
          <w:caps w:val="false"/>
          <w:smallCaps w:val="false"/>
          <w:color w:val="000000"/>
          <w:sz w:val="20"/>
        </w:rPr>
      </w:pPr>
      <w:r>
        <w:rPr>
          <w:rFonts w:ascii="Arial" w:hAnsi="Arial"/>
          <w:b/>
          <w:i w:val="false"/>
          <w:caps w:val="false"/>
          <w:smallCaps w:val="false"/>
          <w:color w:val="000000"/>
          <w:sz w:val="20"/>
        </w:rPr>
        <w:t>Anti-Takeover Effects of Delaware Law and Our Certificate of Incorporation and Bylaws</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shd w:fill="FFFFFF" w:val="clear"/>
        <w:spacing w:before="240" w:after="240"/>
        <w:rPr>
          <w:rFonts w:ascii="Arial" w:hAnsi="Arial"/>
          <w:b/>
          <w:i/>
          <w:caps w:val="false"/>
          <w:smallCaps w:val="false"/>
          <w:color w:val="000000"/>
          <w:sz w:val="20"/>
        </w:rPr>
      </w:pPr>
      <w:r>
        <w:rPr>
          <w:rFonts w:ascii="Arial" w:hAnsi="Arial"/>
          <w:b/>
          <w:i/>
          <w:caps w:val="false"/>
          <w:smallCaps w:val="false"/>
          <w:color w:val="000000"/>
          <w:sz w:val="20"/>
        </w:rPr>
        <w:t>Undesignated Preferred Stock</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pStyle w:val="TextBody"/>
        <w:shd w:fill="FFFFFF" w:val="clear"/>
        <w:spacing w:before="0" w:after="240"/>
        <w:rPr>
          <w:rFonts w:ascii="Arial" w:hAnsi="Arial"/>
          <w:b/>
          <w:i/>
          <w:caps w:val="false"/>
          <w:smallCaps w:val="false"/>
          <w:color w:val="000000"/>
          <w:sz w:val="20"/>
        </w:rPr>
      </w:pPr>
      <w:r>
        <w:rPr>
          <w:rFonts w:ascii="Arial" w:hAnsi="Arial"/>
          <w:b/>
          <w:i/>
          <w:caps w:val="false"/>
          <w:smallCaps w:val="false"/>
          <w:color w:val="000000"/>
          <w:sz w:val="20"/>
        </w:rPr>
        <w:t>Stockholder Meetings</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amended and restated bylaws provide that a special meeting of stockholders may be called only by our chairman of the board, chief executive officer or president (in the absence of a chief executive officer), or by a resolution adopted by a majority of our board of directors.</w:t>
      </w:r>
    </w:p>
    <w:p>
      <w:pPr>
        <w:pStyle w:val="TextBody"/>
        <w:shd w:fill="FFFFFF" w:val="clear"/>
        <w:spacing w:before="240" w:after="240"/>
        <w:rPr>
          <w:rFonts w:ascii="Arial" w:hAnsi="Arial"/>
          <w:b/>
          <w:i/>
          <w:caps w:val="false"/>
          <w:smallCaps w:val="false"/>
          <w:color w:val="000000"/>
          <w:sz w:val="20"/>
        </w:rPr>
      </w:pPr>
      <w:r>
        <w:rPr>
          <w:rFonts w:ascii="Arial" w:hAnsi="Arial"/>
          <w:b/>
          <w:i/>
          <w:caps w:val="false"/>
          <w:smallCaps w:val="false"/>
          <w:color w:val="000000"/>
          <w:sz w:val="20"/>
        </w:rPr>
        <w:t>Requirements for Advance Notification of Stockholder Nominations and Proposals</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pStyle w:val="TextBody"/>
        <w:shd w:fill="FFFFFF" w:val="clear"/>
        <w:spacing w:before="240" w:after="240"/>
        <w:rPr>
          <w:rFonts w:ascii="Arial" w:hAnsi="Arial"/>
          <w:b/>
          <w:i/>
          <w:caps w:val="false"/>
          <w:smallCaps w:val="false"/>
          <w:color w:val="000000"/>
          <w:sz w:val="20"/>
        </w:rPr>
      </w:pPr>
      <w:r>
        <w:rPr>
          <w:rFonts w:ascii="Arial" w:hAnsi="Arial"/>
          <w:b/>
          <w:i/>
          <w:caps w:val="false"/>
          <w:smallCaps w:val="false"/>
          <w:color w:val="000000"/>
          <w:sz w:val="20"/>
        </w:rPr>
        <w:t>Elimination of Stockholder Action by Written Consent</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restated certificate of incorporation eliminates the right of stockholders to act by written consent without a meeting.</w:t>
      </w:r>
    </w:p>
    <w:p>
      <w:pPr>
        <w:pStyle w:val="TextBody"/>
        <w:shd w:fill="FFFFFF" w:val="clear"/>
        <w:spacing w:before="240" w:after="240"/>
        <w:rPr>
          <w:rFonts w:ascii="Arial" w:hAnsi="Arial"/>
          <w:b/>
          <w:i/>
          <w:caps w:val="false"/>
          <w:smallCaps w:val="false"/>
          <w:color w:val="000000"/>
          <w:sz w:val="20"/>
        </w:rPr>
      </w:pPr>
      <w:r>
        <w:rPr>
          <w:rFonts w:ascii="Arial" w:hAnsi="Arial"/>
          <w:b/>
          <w:i/>
          <w:caps w:val="false"/>
          <w:smallCaps w:val="false"/>
          <w:color w:val="000000"/>
          <w:sz w:val="20"/>
        </w:rPr>
        <w:t>Staggered Board</w:t>
      </w:r>
    </w:p>
    <w:p>
      <w:pPr>
        <w:pStyle w:val="TextBody"/>
        <w:spacing w:before="240" w:after="0"/>
        <w:rPr/>
      </w:pPr>
      <w:r>
        <w:rPr/>
        <w:t> </w:t>
      </w:r>
    </w:p>
    <w:p>
      <w:pPr>
        <w:pStyle w:val="HorizontalLine"/>
        <w:rPr/>
      </w:pPr>
      <w:r>
        <w:rPr/>
      </w:r>
    </w:p>
    <w:p>
      <w:pPr>
        <w:pStyle w:val="TextBody"/>
        <w:spacing w:before="0" w:after="0"/>
        <w:rPr/>
      </w:pPr>
      <w:r>
        <w:rPr/>
        <w:t> </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board of directors is divided into three classes. The directors in each class serve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pStyle w:val="TextBody"/>
        <w:shd w:fill="FFFFFF" w:val="clear"/>
        <w:spacing w:before="240" w:after="240"/>
        <w:rPr>
          <w:rFonts w:ascii="Arial" w:hAnsi="Arial"/>
          <w:b/>
          <w:i/>
          <w:caps w:val="false"/>
          <w:smallCaps w:val="false"/>
          <w:color w:val="000000"/>
          <w:sz w:val="20"/>
        </w:rPr>
      </w:pPr>
      <w:r>
        <w:rPr>
          <w:rFonts w:ascii="Arial" w:hAnsi="Arial"/>
          <w:b/>
          <w:i/>
          <w:caps w:val="false"/>
          <w:smallCaps w:val="false"/>
          <w:color w:val="000000"/>
          <w:sz w:val="20"/>
        </w:rPr>
        <w:t>Removal of Directors</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pStyle w:val="TextBody"/>
        <w:shd w:fill="FFFFFF" w:val="clear"/>
        <w:spacing w:before="240" w:after="240"/>
        <w:rPr>
          <w:rFonts w:ascii="Arial" w:hAnsi="Arial"/>
          <w:b/>
          <w:i/>
          <w:caps w:val="false"/>
          <w:smallCaps w:val="false"/>
          <w:color w:val="000000"/>
          <w:sz w:val="20"/>
        </w:rPr>
      </w:pPr>
      <w:r>
        <w:rPr>
          <w:rFonts w:ascii="Arial" w:hAnsi="Arial"/>
          <w:b/>
          <w:i/>
          <w:caps w:val="false"/>
          <w:smallCaps w:val="false"/>
          <w:color w:val="000000"/>
          <w:sz w:val="20"/>
        </w:rPr>
        <w:t>Stockholders Not Entitled to Cumulative Voting</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pStyle w:val="TextBody"/>
        <w:shd w:fill="FFFFFF" w:val="clear"/>
        <w:spacing w:before="240" w:after="240"/>
        <w:rPr>
          <w:rFonts w:ascii="Arial" w:hAnsi="Arial"/>
          <w:b/>
          <w:i/>
          <w:caps w:val="false"/>
          <w:smallCaps w:val="false"/>
          <w:color w:val="000000"/>
          <w:sz w:val="20"/>
        </w:rPr>
      </w:pPr>
      <w:r>
        <w:rPr>
          <w:rFonts w:ascii="Arial" w:hAnsi="Arial"/>
          <w:b/>
          <w:i/>
          <w:caps w:val="false"/>
          <w:smallCaps w:val="false"/>
          <w:color w:val="000000"/>
          <w:sz w:val="20"/>
        </w:rPr>
        <w:t>Delaware Anti-Takeover Statute</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pStyle w:val="TextBody"/>
        <w:shd w:fill="FFFFFF" w:val="clear"/>
        <w:spacing w:before="0" w:after="240"/>
        <w:rPr>
          <w:rFonts w:ascii="Arial" w:hAnsi="Arial"/>
          <w:b/>
          <w:i/>
          <w:caps w:val="false"/>
          <w:smallCaps w:val="false"/>
          <w:color w:val="000000"/>
          <w:sz w:val="20"/>
        </w:rPr>
      </w:pPr>
      <w:r>
        <w:rPr>
          <w:rFonts w:ascii="Arial" w:hAnsi="Arial"/>
          <w:b/>
          <w:i/>
          <w:caps w:val="false"/>
          <w:smallCaps w:val="false"/>
          <w:color w:val="000000"/>
          <w:sz w:val="20"/>
        </w:rPr>
        <w:t>Choice of Forum</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restated certificate of incorporation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For instance, the provision would not apply to actions arising under federal securities laws, including suits brought to enforce any liability or duty created by the Securities Act, Exchange Act, or the rules and regulations thereunder. Our restated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pStyle w:val="TextBody"/>
        <w:spacing w:before="240" w:after="0"/>
        <w:rPr/>
      </w:pPr>
      <w:r>
        <w:rPr/>
        <w:t> </w:t>
      </w:r>
    </w:p>
    <w:p>
      <w:pPr>
        <w:pStyle w:val="HorizontalLine"/>
        <w:rPr/>
      </w:pPr>
      <w:r>
        <w:rPr/>
      </w:r>
    </w:p>
    <w:p>
      <w:pPr>
        <w:pStyle w:val="TextBody"/>
        <w:spacing w:before="0" w:after="0"/>
        <w:rPr/>
      </w:pPr>
      <w:r>
        <w:rPr/>
        <w:t> </w:t>
      </w:r>
    </w:p>
    <w:p>
      <w:pPr>
        <w:pStyle w:val="TextBody"/>
        <w:shd w:fill="FFFFFF" w:val="clear"/>
        <w:spacing w:before="240" w:after="240"/>
        <w:rPr>
          <w:rFonts w:ascii="Arial" w:hAnsi="Arial"/>
          <w:b/>
          <w:i/>
          <w:caps w:val="false"/>
          <w:smallCaps w:val="false"/>
          <w:color w:val="000000"/>
          <w:sz w:val="20"/>
        </w:rPr>
      </w:pPr>
      <w:r>
        <w:rPr>
          <w:rFonts w:ascii="Arial" w:hAnsi="Arial"/>
          <w:b/>
          <w:i/>
          <w:caps w:val="false"/>
          <w:smallCaps w:val="false"/>
          <w:color w:val="000000"/>
          <w:sz w:val="20"/>
        </w:rPr>
        <w:t>Amendment of Charter Provisions</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pStyle w:val="TextBody"/>
        <w:shd w:fill="FFFFFF" w:val="clear"/>
        <w:spacing w:before="240" w:after="240"/>
        <w:rPr>
          <w:rFonts w:ascii="Arial" w:hAnsi="Arial"/>
          <w:b/>
          <w:i w:val="false"/>
          <w:caps w:val="false"/>
          <w:smallCaps w:val="false"/>
          <w:color w:val="000000"/>
          <w:sz w:val="20"/>
        </w:rPr>
      </w:pPr>
      <w:r>
        <w:rPr>
          <w:rFonts w:ascii="Arial" w:hAnsi="Arial"/>
          <w:b/>
          <w:i w:val="false"/>
          <w:caps w:val="false"/>
          <w:smallCaps w:val="false"/>
          <w:color w:val="000000"/>
          <w:sz w:val="20"/>
        </w:rPr>
        <w:t>Transfer Agent and Registrar</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transfer agent and registrar for our common stock is American Stock Transfer &amp; Trust Company, LLC.</w:t>
      </w:r>
    </w:p>
    <w:p>
      <w:pPr>
        <w:pStyle w:val="TextBody"/>
        <w:shd w:fill="FFFFFF" w:val="clear"/>
        <w:spacing w:before="240" w:after="240"/>
        <w:rPr>
          <w:rFonts w:ascii="Arial" w:hAnsi="Arial"/>
          <w:b/>
          <w:i w:val="false"/>
          <w:caps w:val="false"/>
          <w:smallCaps w:val="false"/>
          <w:color w:val="000000"/>
          <w:sz w:val="20"/>
        </w:rPr>
      </w:pPr>
      <w:r>
        <w:rPr>
          <w:rFonts w:ascii="Arial" w:hAnsi="Arial"/>
          <w:b/>
          <w:i w:val="false"/>
          <w:caps w:val="false"/>
          <w:smallCaps w:val="false"/>
          <w:color w:val="000000"/>
          <w:sz w:val="20"/>
        </w:rPr>
        <w:t>Stock Exchange Listing</w:t>
      </w:r>
    </w:p>
    <w:p>
      <w:pPr>
        <w:pStyle w:val="TextBody"/>
        <w:shd w:fill="FFFFFF" w:val="clear"/>
        <w:spacing w:before="12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common stock are listed on The Nasdaq Global Select Market under the symbol “AVIR.”</w:t>
      </w:r>
    </w:p>
    <w:p>
      <w:pPr>
        <w:pStyle w:val="TextBody"/>
        <w:spacing w:before="0" w:after="240"/>
        <w:rPr/>
      </w:pPr>
      <w:r>
        <w:rPr/>
        <w:t> </w:t>
      </w:r>
    </w:p>
    <w:p>
      <w:pPr>
        <w:pStyle w:val="TextBody"/>
        <w:spacing w:before="0" w:after="240"/>
        <w:rPr/>
      </w:pPr>
      <w:r>
        <w:rPr/>
        <w:t> </w:t>
      </w:r>
    </w:p>
    <w:p>
      <w:pPr>
        <w:pStyle w:val="TextBody"/>
        <w:spacing w:before="24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2"/>
        </w:rPr>
      </w:pPr>
      <w:bookmarkStart w:id="73" w:name="avir-ex108_178.htm"/>
      <w:bookmarkStart w:id="74" w:name="ksavirex108_178"/>
      <w:bookmarkEnd w:id="73"/>
      <w:bookmarkEnd w:id="74"/>
      <w:r>
        <w:rPr>
          <w:rFonts w:ascii="Times New Roman" w:hAnsi="Times New Roman"/>
          <w:b/>
          <w:i w:val="false"/>
          <w:caps w:val="false"/>
          <w:smallCaps w:val="false"/>
          <w:color w:val="000000"/>
          <w:sz w:val="22"/>
        </w:rPr>
        <w:t>Exhibit 10.8</w:t>
      </w:r>
    </w:p>
    <w:p>
      <w:pPr>
        <w:pStyle w:val="TextBody"/>
        <w:spacing w:before="0" w:after="0"/>
        <w:jc w:val="right"/>
        <w:rPr/>
      </w:pPr>
      <w:r>
        <w:rPr/>
        <w:t> </w:t>
      </w:r>
    </w:p>
    <w:p>
      <w:pPr>
        <w:pStyle w:val="TextBody"/>
        <w:spacing w:before="0" w:after="240"/>
        <w:jc w:val="center"/>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Employment Agreement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This Employment Agreement (this “</w:t>
      </w:r>
      <w:r>
        <w:rPr>
          <w:rFonts w:ascii="Times New Roman" w:hAnsi="Times New Roman"/>
          <w:b w:val="false"/>
          <w:i w:val="false"/>
          <w:caps w:val="false"/>
          <w:smallCaps w:val="false"/>
          <w:sz w:val="22"/>
          <w:u w:val="single"/>
        </w:rPr>
        <w:t>Agreement</w:t>
      </w:r>
      <w:r>
        <w:rPr>
          <w:rFonts w:ascii="Times New Roman" w:hAnsi="Times New Roman"/>
          <w:b w:val="false"/>
          <w:i w:val="false"/>
          <w:caps w:val="false"/>
          <w:smallCaps w:val="false"/>
          <w:sz w:val="22"/>
        </w:rPr>
        <w:t>”), dated as of November 3, 2020 (the “</w:t>
      </w:r>
      <w:r>
        <w:rPr>
          <w:rFonts w:ascii="Times New Roman" w:hAnsi="Times New Roman"/>
          <w:b w:val="false"/>
          <w:i w:val="false"/>
          <w:caps w:val="false"/>
          <w:smallCaps w:val="false"/>
          <w:sz w:val="22"/>
          <w:u w:val="single"/>
        </w:rPr>
        <w:t>Effective Date</w:t>
      </w:r>
      <w:r>
        <w:rPr>
          <w:rFonts w:ascii="Times New Roman" w:hAnsi="Times New Roman"/>
          <w:b w:val="false"/>
          <w:i w:val="false"/>
          <w:caps w:val="false"/>
          <w:smallCaps w:val="false"/>
          <w:sz w:val="22"/>
        </w:rPr>
        <w:t>”), is made by and between Atea Pharmaceuticals, Inc., a Delaware corporation (together with any successor thereto, the “</w:t>
      </w:r>
      <w:r>
        <w:rPr>
          <w:rFonts w:ascii="Times New Roman" w:hAnsi="Times New Roman"/>
          <w:b w:val="false"/>
          <w:i w:val="false"/>
          <w:caps w:val="false"/>
          <w:smallCaps w:val="false"/>
          <w:sz w:val="22"/>
          <w:u w:val="single"/>
        </w:rPr>
        <w:t>Company</w:t>
      </w:r>
      <w:r>
        <w:rPr>
          <w:rFonts w:ascii="Times New Roman" w:hAnsi="Times New Roman"/>
          <w:b w:val="false"/>
          <w:i w:val="false"/>
          <w:caps w:val="false"/>
          <w:smallCaps w:val="false"/>
          <w:sz w:val="22"/>
        </w:rPr>
        <w:t>”), and Janet Hammond, M.D., Ph.D. (“</w:t>
      </w:r>
      <w:r>
        <w:rPr>
          <w:rFonts w:ascii="Times New Roman" w:hAnsi="Times New Roman"/>
          <w:b w:val="false"/>
          <w:i w:val="false"/>
          <w:caps w:val="false"/>
          <w:smallCaps w:val="false"/>
          <w:sz w:val="22"/>
          <w:u w:val="single"/>
        </w:rPr>
        <w:t>Executive</w:t>
      </w:r>
      <w:r>
        <w:rPr>
          <w:rFonts w:ascii="Times New Roman" w:hAnsi="Times New Roman"/>
          <w:b w:val="false"/>
          <w:i w:val="false"/>
          <w:caps w:val="false"/>
          <w:smallCaps w:val="false"/>
          <w:sz w:val="22"/>
        </w:rPr>
        <w:t>”) (collectively referred to herein as the “</w:t>
      </w:r>
      <w:r>
        <w:rPr>
          <w:rFonts w:ascii="Times New Roman" w:hAnsi="Times New Roman"/>
          <w:b w:val="false"/>
          <w:i w:val="false"/>
          <w:caps w:val="false"/>
          <w:smallCaps w:val="false"/>
          <w:sz w:val="22"/>
          <w:u w:val="single"/>
        </w:rPr>
        <w:t>Parties</w:t>
      </w:r>
      <w:r>
        <w:rPr>
          <w:rFonts w:ascii="Times New Roman" w:hAnsi="Times New Roman"/>
          <w:b w:val="false"/>
          <w:i w:val="false"/>
          <w:caps w:val="false"/>
          <w:smallCaps w:val="false"/>
          <w:sz w:val="22"/>
        </w:rPr>
        <w:t>” or individually referred to as a “</w:t>
      </w:r>
      <w:r>
        <w:rPr>
          <w:rFonts w:ascii="Times New Roman" w:hAnsi="Times New Roman"/>
          <w:b w:val="false"/>
          <w:i w:val="false"/>
          <w:caps w:val="false"/>
          <w:smallCaps w:val="false"/>
          <w:sz w:val="22"/>
          <w:u w:val="single"/>
        </w:rPr>
        <w:t>Party</w:t>
      </w:r>
      <w:r>
        <w:rPr>
          <w:rFonts w:ascii="Times New Roman" w:hAnsi="Times New Roman"/>
          <w:b w:val="false"/>
          <w:i w:val="false"/>
          <w:caps w:val="false"/>
          <w:smallCaps w:val="false"/>
          <w:sz w:val="22"/>
        </w:rPr>
        <w:t xml:space="preserve">”).   </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RECITALS</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w:t>
            </w:r>
          </w:p>
        </w:tc>
        <w:tc>
          <w:tcPr>
            <w:tcW w:w="9960" w:type="dxa"/>
            <w:tcBorders/>
            <w:shd w:fill="auto" w:val="clear"/>
          </w:tcPr>
          <w:p>
            <w:pPr>
              <w:pStyle w:val="TableContents"/>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It is the desire of the Company to assure itself of the services of Executive as of the Effective Date and thereafter by entering into this Agreement.</w:t>
            </w:r>
          </w:p>
        </w:tc>
      </w:tr>
    </w:tbl>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w:t>
            </w:r>
          </w:p>
        </w:tc>
        <w:tc>
          <w:tcPr>
            <w:tcW w:w="9975" w:type="dxa"/>
            <w:tcBorders/>
            <w:shd w:fill="auto" w:val="clear"/>
          </w:tcPr>
          <w:p>
            <w:pPr>
              <w:pStyle w:val="TableContents"/>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Executive and the Company mutually desire that Executive provide services to the Company on the terms herein provided. </w:t>
            </w:r>
          </w:p>
        </w:tc>
      </w:tr>
    </w:tbl>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AGREEMENT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NOW, THEREFORE, in consideration of the foregoing and of the respective covenants and agreements set forth below, the Parties hereto agree as follows:</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1.</w:t>
      </w:r>
      <w:r>
        <w:rPr>
          <w:rFonts w:ascii="Times New Roman" w:hAnsi="Times New Roman"/>
          <w:b/>
          <w:i w:val="false"/>
          <w:caps w:val="false"/>
          <w:smallCaps w:val="false"/>
          <w:color w:val="000000"/>
          <w:spacing w:val="0"/>
          <w:sz w:val="22"/>
          <w:u w:val="single"/>
        </w:rPr>
        <w:t>Employment</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General</w:t>
      </w:r>
      <w:r>
        <w:rPr>
          <w:rFonts w:ascii="Times New Roman" w:hAnsi="Times New Roman"/>
          <w:b w:val="false"/>
          <w:i w:val="false"/>
          <w:caps w:val="false"/>
          <w:smallCaps w:val="false"/>
          <w:color w:val="000000"/>
          <w:spacing w:val="0"/>
          <w:sz w:val="22"/>
        </w:rPr>
        <w:t xml:space="preserve">.  Effective on the Effective Date, the Company shall employ Executive, and Executive shall be employed by the Company, for the period and in the positions set forth in this </w:t>
      </w:r>
      <w:r>
        <w:rPr>
          <w:rFonts w:ascii="Times New Roman" w:hAnsi="Times New Roman"/>
          <w:b w:val="false"/>
          <w:i w:val="false"/>
          <w:caps w:val="false"/>
          <w:smallCaps w:val="false"/>
          <w:color w:val="000000"/>
          <w:spacing w:val="0"/>
          <w:sz w:val="22"/>
          <w:u w:val="single"/>
        </w:rPr>
        <w:t>Section 1</w:t>
      </w:r>
      <w:r>
        <w:rPr>
          <w:rFonts w:ascii="Times New Roman" w:hAnsi="Times New Roman"/>
          <w:b w:val="false"/>
          <w:i w:val="false"/>
          <w:caps w:val="false"/>
          <w:smallCaps w:val="false"/>
          <w:color w:val="000000"/>
          <w:spacing w:val="0"/>
          <w:sz w:val="22"/>
        </w:rPr>
        <w:t>, and subject to the other terms and conditions herein provided.</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At-Will Employment</w:t>
      </w:r>
      <w:r>
        <w:rPr>
          <w:rFonts w:ascii="Times New Roman" w:hAnsi="Times New Roman"/>
          <w:b w:val="false"/>
          <w:i w:val="false"/>
          <w:caps w:val="false"/>
          <w:smallCaps w:val="false"/>
          <w:color w:val="000000"/>
          <w:spacing w:val="0"/>
          <w:sz w:val="22"/>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 w:hAnsi="Times New Roman"/>
          <w:b w:val="false"/>
          <w:i w:val="false"/>
          <w:caps w:val="false"/>
          <w:smallCaps w:val="false"/>
          <w:color w:val="000000"/>
          <w:spacing w:val="0"/>
          <w:sz w:val="22"/>
          <w:u w:val="single"/>
        </w:rPr>
        <w:t>Section 3(b)</w:t>
      </w:r>
      <w:r>
        <w:rPr>
          <w:rFonts w:ascii="Times New Roman" w:hAnsi="Times New Roman"/>
          <w:b w:val="false"/>
          <w:i w:val="false"/>
          <w:caps w:val="false"/>
          <w:smallCaps w:val="false"/>
          <w:color w:val="000000"/>
          <w:spacing w:val="0"/>
          <w:sz w:val="22"/>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hAnsi="Times New Roman"/>
          <w:b w:val="false"/>
          <w:i w:val="false"/>
          <w:caps w:val="false"/>
          <w:smallCaps w:val="false"/>
          <w:color w:val="000000"/>
          <w:spacing w:val="0"/>
          <w:sz w:val="22"/>
          <w:u w:val="single"/>
        </w:rPr>
        <w:t>Term</w:t>
      </w:r>
      <w:r>
        <w:rPr>
          <w:rFonts w:ascii="Times New Roman" w:hAnsi="Times New Roman"/>
          <w:b w:val="false"/>
          <w:i w:val="false"/>
          <w:caps w:val="false"/>
          <w:smallCaps w:val="false"/>
          <w:color w:val="000000"/>
          <w:spacing w:val="0"/>
          <w:sz w:val="22"/>
        </w:rPr>
        <w:t xml:space="preserve">”) shall commence on the Effective Date and end on the date this Agreement is terminated under </w:t>
      </w:r>
      <w:r>
        <w:rPr>
          <w:rFonts w:ascii="Times New Roman" w:hAnsi="Times New Roman"/>
          <w:b w:val="false"/>
          <w:i w:val="false"/>
          <w:caps w:val="false"/>
          <w:smallCaps w:val="false"/>
          <w:color w:val="000000"/>
          <w:spacing w:val="0"/>
          <w:sz w:val="22"/>
          <w:u w:val="single"/>
        </w:rPr>
        <w:t>Section 3</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Positions and Duties</w:t>
      </w:r>
      <w:r>
        <w:rPr>
          <w:rFonts w:ascii="Times New Roman" w:hAnsi="Times New Roman"/>
          <w:b w:val="false"/>
          <w:i w:val="false"/>
          <w:caps w:val="false"/>
          <w:smallCaps w:val="false"/>
          <w:color w:val="000000"/>
          <w:spacing w:val="0"/>
          <w:sz w:val="22"/>
        </w:rPr>
        <w:t>.  During the Term, Executive shall serve as Chief Development Officer of the Company, with such responsibilities, duties and authority normally associated with such position and as may from time to time be assigned to Executive by the Chief Executive Officer of the Company (the “</w:t>
      </w:r>
      <w:r>
        <w:rPr>
          <w:rFonts w:ascii="Times New Roman" w:hAnsi="Times New Roman"/>
          <w:b w:val="false"/>
          <w:i w:val="false"/>
          <w:caps w:val="false"/>
          <w:smallCaps w:val="false"/>
          <w:color w:val="000000"/>
          <w:spacing w:val="0"/>
          <w:sz w:val="22"/>
          <w:u w:val="single"/>
        </w:rPr>
        <w:t>CEO</w:t>
      </w:r>
      <w:r>
        <w:rPr>
          <w:rFonts w:ascii="Times New Roman" w:hAnsi="Times New Roman"/>
          <w:b w:val="false"/>
          <w:i w:val="false"/>
          <w:caps w:val="false"/>
          <w:smallCaps w:val="false"/>
          <w:color w:val="000000"/>
          <w:spacing w:val="0"/>
          <w:sz w:val="22"/>
        </w:rPr>
        <w:t>”) or Executive’s direct supervisor.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provided that Executive shall be permitted to (i) manage Executive’s personal, financial and legal affairs, (ii) participate in trade associations, and (iii) serve on the board of directors of not-for-profit or tax-exempt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and as delivered or made available to Executive (each, a “</w:t>
      </w:r>
      <w:r>
        <w:rPr>
          <w:rFonts w:ascii="Times New Roman" w:hAnsi="Times New Roman"/>
          <w:b w:val="false"/>
          <w:i w:val="false"/>
          <w:caps w:val="false"/>
          <w:smallCaps w:val="false"/>
          <w:color w:val="000000"/>
          <w:spacing w:val="0"/>
          <w:sz w:val="22"/>
          <w:u w:val="single"/>
        </w:rPr>
        <w:t>Policy</w:t>
      </w:r>
      <w:r>
        <w:rPr>
          <w:rFonts w:ascii="Times New Roman" w:hAnsi="Times New Roman"/>
          <w:b w:val="false"/>
          <w:i w:val="false"/>
          <w:caps w:val="false"/>
          <w:smallCaps w:val="false"/>
          <w:color w:val="000000"/>
          <w:spacing w:val="0"/>
          <w:sz w:val="22"/>
        </w:rPr>
        <w:t xml:space="preserve">”).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strike w:val="false"/>
          <w:dstrike w:val="false"/>
          <w:color w:val="000000"/>
          <w:spacing w:val="0"/>
          <w:sz w:val="24"/>
          <w:u w:val="none"/>
          <w:effect w:val="none"/>
        </w:rPr>
        <w:t>2.</w:t>
      </w:r>
      <w:r>
        <w:rPr>
          <w:rFonts w:ascii="Times New Roman" w:hAnsi="Times New Roman"/>
          <w:b/>
          <w:i w:val="false"/>
          <w:caps w:val="false"/>
          <w:smallCaps w:val="false"/>
          <w:color w:val="000000"/>
          <w:spacing w:val="0"/>
          <w:sz w:val="22"/>
          <w:u w:val="single"/>
        </w:rPr>
        <w:t>Compensation and Related Matters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Annual Base Salary</w:t>
      </w:r>
      <w:r>
        <w:rPr>
          <w:rFonts w:ascii="Times New Roman" w:hAnsi="Times New Roman"/>
          <w:b w:val="false"/>
          <w:i w:val="false"/>
          <w:caps w:val="false"/>
          <w:smallCaps w:val="false"/>
          <w:color w:val="000000"/>
          <w:spacing w:val="0"/>
          <w:sz w:val="22"/>
        </w:rPr>
        <w:t>.  During the Term, Executive shall receive a base salary at a rate of $500,000 per annum, which shall be paid in accordance with the customary payroll practices of the Company and shall be pro-rated for partial years of employment.  Such annual base salary shall be reviewed (and may be adjusted) from time to time by the Board of Directors of the Company or an authorized committee thereof (in either case, the “</w:t>
      </w:r>
      <w:r>
        <w:rPr>
          <w:rFonts w:ascii="Times New Roman" w:hAnsi="Times New Roman"/>
          <w:b w:val="false"/>
          <w:i w:val="false"/>
          <w:caps w:val="false"/>
          <w:smallCaps w:val="false"/>
          <w:color w:val="000000"/>
          <w:spacing w:val="0"/>
          <w:sz w:val="22"/>
          <w:u w:val="single"/>
        </w:rPr>
        <w:t>Board</w:t>
      </w:r>
      <w:r>
        <w:rPr>
          <w:rFonts w:ascii="Times New Roman" w:hAnsi="Times New Roman"/>
          <w:b w:val="false"/>
          <w:i w:val="false"/>
          <w:caps w:val="false"/>
          <w:smallCaps w:val="false"/>
          <w:color w:val="000000"/>
          <w:spacing w:val="0"/>
          <w:sz w:val="22"/>
        </w:rPr>
        <w:t>”) (such annual base salary, as it may be adjusted from time to time, the “</w:t>
      </w:r>
      <w:r>
        <w:rPr>
          <w:rFonts w:ascii="Times New Roman" w:hAnsi="Times New Roman"/>
          <w:b w:val="false"/>
          <w:i w:val="false"/>
          <w:caps w:val="false"/>
          <w:smallCaps w:val="false"/>
          <w:color w:val="000000"/>
          <w:spacing w:val="0"/>
          <w:sz w:val="22"/>
          <w:u w:val="single"/>
        </w:rPr>
        <w:t>Annual Base Salary</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Annual Cash Bonus Opportunity</w:t>
      </w:r>
      <w:r>
        <w:rPr>
          <w:rFonts w:ascii="Times New Roman" w:hAnsi="Times New Roman"/>
          <w:b w:val="false"/>
          <w:i w:val="false"/>
          <w:caps w:val="false"/>
          <w:smallCaps w:val="false"/>
          <w:color w:val="000000"/>
          <w:spacing w:val="0"/>
          <w:sz w:val="22"/>
        </w:rPr>
        <w:t>.  During the Term, Executive will be eligible to participate in an annual incentive program established by the Board.  Executive’s annual incentive compensation under such incentive program (the “</w:t>
      </w:r>
      <w:r>
        <w:rPr>
          <w:rFonts w:ascii="Times New Roman" w:hAnsi="Times New Roman"/>
          <w:b w:val="false"/>
          <w:i w:val="false"/>
          <w:caps w:val="false"/>
          <w:smallCaps w:val="false"/>
          <w:color w:val="000000"/>
          <w:spacing w:val="0"/>
          <w:sz w:val="22"/>
          <w:u w:val="single"/>
        </w:rPr>
        <w:t>Annual Bonus</w:t>
      </w:r>
      <w:r>
        <w:rPr>
          <w:rFonts w:ascii="Times New Roman" w:hAnsi="Times New Roman"/>
          <w:b w:val="false"/>
          <w:i w:val="false"/>
          <w:caps w:val="false"/>
          <w:smallCaps w:val="false"/>
          <w:color w:val="000000"/>
          <w:spacing w:val="0"/>
          <w:sz w:val="22"/>
        </w:rPr>
        <w:t>”) shall be targeted at 45% of Executive’s Annual Base Salary (such target, as may be adjusted by the Board from time to time, the “</w:t>
      </w:r>
      <w:r>
        <w:rPr>
          <w:rFonts w:ascii="Times New Roman" w:hAnsi="Times New Roman"/>
          <w:b w:val="false"/>
          <w:i w:val="false"/>
          <w:caps w:val="false"/>
          <w:smallCaps w:val="false"/>
          <w:color w:val="000000"/>
          <w:spacing w:val="0"/>
          <w:sz w:val="22"/>
          <w:u w:val="single"/>
        </w:rPr>
        <w:t>Target Annual Bonus</w:t>
      </w:r>
      <w:r>
        <w:rPr>
          <w:rFonts w:ascii="Times New Roman" w:hAnsi="Times New Roman"/>
          <w:b w:val="false"/>
          <w:i w:val="false"/>
          <w:caps w:val="false"/>
          <w:smallCaps w:val="false"/>
          <w:color w:val="000000"/>
          <w:spacing w:val="0"/>
          <w:sz w:val="22"/>
        </w:rPr>
        <w:t xml:space="preserve">”).  The Annual Bonus payable under the incentive program shall be based on the achievement of performance goals to be determined by the Board and may in the Board’s discretion be calculated in a manner intended to reflect any mid-year changes in Annual Base Salary or Target Annual Bonus.  The payment of any Annual Bonus pursuant to the incentive program shall be subject to Executive’s continued employment with the Company through the date of payment, except as otherwise provided in </w:t>
      </w:r>
      <w:r>
        <w:rPr>
          <w:rFonts w:ascii="Times New Roman" w:hAnsi="Times New Roman"/>
          <w:b w:val="false"/>
          <w:i w:val="false"/>
          <w:caps w:val="false"/>
          <w:smallCaps w:val="false"/>
          <w:color w:val="000000"/>
          <w:spacing w:val="0"/>
          <w:sz w:val="22"/>
          <w:u w:val="single"/>
        </w:rPr>
        <w:t>Section 4(b)</w:t>
      </w:r>
      <w:r>
        <w:rPr>
          <w:rFonts w:ascii="Times New Roman" w:hAnsi="Times New Roman"/>
          <w:b w:val="false"/>
          <w:i w:val="false"/>
          <w:caps w:val="false"/>
          <w:smallCaps w:val="false"/>
          <w:color w:val="000000"/>
          <w:spacing w:val="0"/>
          <w:sz w:val="22"/>
        </w:rPr>
        <w:t xml:space="preserv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Benefits</w:t>
      </w:r>
      <w:r>
        <w:rPr>
          <w:rFonts w:ascii="Times New Roman" w:hAnsi="Times New Roman"/>
          <w:b w:val="false"/>
          <w:i w:val="false"/>
          <w:caps w:val="false"/>
          <w:smallCaps w:val="false"/>
          <w:color w:val="000000"/>
          <w:spacing w:val="0"/>
          <w:sz w:val="22"/>
        </w:rPr>
        <w:t xml:space="preserve">.  During the Term, Executive shall be eligible to participate in employee benefit plans, programs and arrangements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 w:hAnsi="Times New Roman"/>
          <w:b w:val="false"/>
          <w:i w:val="false"/>
          <w:caps w:val="false"/>
          <w:smallCaps w:val="false"/>
          <w:color w:val="000000"/>
          <w:spacing w:val="0"/>
          <w:sz w:val="22"/>
          <w:u w:val="single"/>
        </w:rPr>
        <w:t>Section 4</w:t>
      </w:r>
      <w:r>
        <w:rPr>
          <w:rFonts w:ascii="Times New Roman" w:hAnsi="Times New Roman"/>
          <w:b w:val="false"/>
          <w:i w:val="false"/>
          <w:caps w:val="false"/>
          <w:smallCaps w:val="false"/>
          <w:color w:val="000000"/>
          <w:spacing w:val="0"/>
          <w:sz w:val="22"/>
        </w:rPr>
        <w:t xml:space="preserve"> of this Agreement.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w:t>
      </w:r>
      <w:r>
        <w:rPr>
          <w:rFonts w:ascii="Times New Roman" w:hAnsi="Times New Roman"/>
          <w:b w:val="false"/>
          <w:i w:val="false"/>
          <w:caps w:val="false"/>
          <w:smallCaps w:val="false"/>
          <w:color w:val="000000"/>
          <w:spacing w:val="0"/>
          <w:sz w:val="22"/>
          <w:u w:val="single"/>
        </w:rPr>
        <w:t>Vacation</w:t>
      </w:r>
      <w:r>
        <w:rPr>
          <w:rFonts w:ascii="Times New Roman" w:hAnsi="Times New Roman"/>
          <w:b w:val="false"/>
          <w:i w:val="false"/>
          <w:caps w:val="false"/>
          <w:smallCaps w:val="false"/>
          <w:color w:val="000000"/>
          <w:spacing w:val="0"/>
          <w:sz w:val="22"/>
        </w:rPr>
        <w:t xml:space="preserve">.  During the Term, Executive shall be entitled to paid personal leave in accordance with the Company’s Policies.  Any vacation shall be taken at the reasonable and mutual convenience of the Company and Executive.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(e)</w:t>
      </w:r>
      <w:r>
        <w:rPr>
          <w:rFonts w:ascii="Times New Roman" w:hAnsi="Times New Roman"/>
          <w:b w:val="false"/>
          <w:i w:val="false"/>
          <w:caps w:val="false"/>
          <w:smallCaps w:val="false"/>
          <w:color w:val="000000"/>
          <w:spacing w:val="0"/>
          <w:sz w:val="22"/>
          <w:u w:val="single"/>
        </w:rPr>
        <w:t>Business Expenses</w:t>
      </w:r>
      <w:r>
        <w:rPr>
          <w:rFonts w:ascii="Times New Roman" w:hAnsi="Times New Roman"/>
          <w:b w:val="false"/>
          <w:i w:val="false"/>
          <w:caps w:val="false"/>
          <w:smallCaps w:val="false"/>
          <w:color w:val="000000"/>
          <w:spacing w:val="0"/>
          <w:sz w:val="22"/>
        </w:rPr>
        <w:t>.  During the Term, the Company shall reimburse Executive for all reasonable travel and other business expenses incurred by Executive in the performance of Executive’s duties to the Company in accordance with the Company’s expense reimbursement Policy.</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(f)</w:t>
      </w:r>
      <w:r>
        <w:rPr>
          <w:rFonts w:ascii="Times New Roman" w:hAnsi="Times New Roman"/>
          <w:b w:val="false"/>
          <w:i w:val="false"/>
          <w:caps w:val="false"/>
          <w:smallCaps w:val="false"/>
          <w:color w:val="000000"/>
          <w:spacing w:val="0"/>
          <w:sz w:val="22"/>
          <w:u w:val="single"/>
        </w:rPr>
        <w:t>Key Person Insurance</w:t>
      </w:r>
      <w:r>
        <w:rPr>
          <w:rFonts w:ascii="Times New Roman" w:hAnsi="Times New Roman"/>
          <w:b w:val="false"/>
          <w:i w:val="false"/>
          <w:caps w:val="false"/>
          <w:smallCaps w:val="false"/>
          <w:color w:val="000000"/>
          <w:spacing w:val="0"/>
          <w:sz w:val="22"/>
        </w:rPr>
        <w:t xml:space="preserve">.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3.</w:t>
      </w:r>
      <w:r>
        <w:rPr>
          <w:rFonts w:ascii="Times New Roman" w:hAnsi="Times New Roman"/>
          <w:b/>
          <w:i w:val="false"/>
          <w:caps w:val="false"/>
          <w:smallCaps w:val="false"/>
          <w:color w:val="000000"/>
          <w:spacing w:val="0"/>
          <w:sz w:val="22"/>
          <w:u w:val="single"/>
        </w:rPr>
        <w:t>Termination</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Executive’s employment hereunder and the Term may be terminated by the Company or Executive, as applicable, without any breach of this Agreement under the following circumstances and the Term will end on the Date of Termination: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Circumstances</w:t>
      </w:r>
      <w:r>
        <w:rPr>
          <w:rFonts w:ascii="Times New Roman" w:hAnsi="Times New Roman"/>
          <w:b w:val="false"/>
          <w:i w:val="false"/>
          <w:caps w:val="false"/>
          <w:smallCaps w:val="false"/>
          <w:color w:val="000000"/>
          <w:spacing w:val="0"/>
          <w:sz w:val="22"/>
        </w:rPr>
        <w:t>.</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w:t>
      </w:r>
      <w:r>
        <w:rPr>
          <w:rFonts w:ascii="Times New Roman" w:hAnsi="Times New Roman"/>
          <w:b w:val="false"/>
          <w:i/>
          <w:caps w:val="false"/>
          <w:smallCaps w:val="false"/>
          <w:color w:val="000000"/>
          <w:spacing w:val="0"/>
          <w:sz w:val="22"/>
        </w:rPr>
        <w:t>Death</w:t>
      </w:r>
      <w:r>
        <w:rPr>
          <w:rFonts w:ascii="Times New Roman" w:hAnsi="Times New Roman"/>
          <w:b w:val="false"/>
          <w:i w:val="false"/>
          <w:caps w:val="false"/>
          <w:smallCaps w:val="false"/>
          <w:color w:val="000000"/>
          <w:spacing w:val="0"/>
          <w:sz w:val="22"/>
        </w:rPr>
        <w:t>.  Executive’s employment hereunder shall terminate upon Executive’s death.</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w:t>
      </w:r>
      <w:r>
        <w:rPr>
          <w:rFonts w:ascii="Times New Roman" w:hAnsi="Times New Roman"/>
          <w:b w:val="false"/>
          <w:i/>
          <w:caps w:val="false"/>
          <w:smallCaps w:val="false"/>
          <w:color w:val="000000"/>
          <w:spacing w:val="0"/>
          <w:sz w:val="22"/>
        </w:rPr>
        <w:t>Disability</w:t>
      </w:r>
      <w:r>
        <w:rPr>
          <w:rFonts w:ascii="Times New Roman" w:hAnsi="Times New Roman"/>
          <w:b w:val="false"/>
          <w:i w:val="false"/>
          <w:caps w:val="false"/>
          <w:smallCaps w:val="false"/>
          <w:color w:val="000000"/>
          <w:spacing w:val="0"/>
          <w:sz w:val="22"/>
        </w:rPr>
        <w:t>.  If Executive has incurred a Disability, as defined below, the Company may terminate Executive’s employment.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w:t>
      </w:r>
      <w:r>
        <w:rPr>
          <w:rFonts w:ascii="Times New Roman" w:hAnsi="Times New Roman"/>
          <w:b w:val="false"/>
          <w:i/>
          <w:caps w:val="false"/>
          <w:smallCaps w:val="false"/>
          <w:color w:val="000000"/>
          <w:spacing w:val="0"/>
          <w:sz w:val="22"/>
        </w:rPr>
        <w:t>Termination for Cause</w:t>
      </w:r>
      <w:r>
        <w:rPr>
          <w:rFonts w:ascii="Times New Roman" w:hAnsi="Times New Roman"/>
          <w:b w:val="false"/>
          <w:i w:val="false"/>
          <w:caps w:val="false"/>
          <w:smallCaps w:val="false"/>
          <w:color w:val="000000"/>
          <w:spacing w:val="0"/>
          <w:sz w:val="22"/>
        </w:rPr>
        <w:t>.  The Company may terminate Executive’s employment for Cause, as defined below.</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(iv)</w:t>
      </w:r>
      <w:r>
        <w:rPr>
          <w:rFonts w:ascii="Times New Roman" w:hAnsi="Times New Roman"/>
          <w:b w:val="false"/>
          <w:i/>
          <w:caps w:val="false"/>
          <w:smallCaps w:val="false"/>
          <w:color w:val="000000"/>
          <w:spacing w:val="0"/>
          <w:sz w:val="22"/>
        </w:rPr>
        <w:t>Termination without Cause</w:t>
      </w:r>
      <w:r>
        <w:rPr>
          <w:rFonts w:ascii="Times New Roman" w:hAnsi="Times New Roman"/>
          <w:b w:val="false"/>
          <w:i w:val="false"/>
          <w:caps w:val="false"/>
          <w:smallCaps w:val="false"/>
          <w:color w:val="000000"/>
          <w:spacing w:val="0"/>
          <w:sz w:val="22"/>
        </w:rPr>
        <w:t>.  The Company may terminate Executive’s employment without Cause.</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w:t>
      </w:r>
      <w:r>
        <w:rPr>
          <w:rFonts w:ascii="Times New Roman" w:hAnsi="Times New Roman"/>
          <w:b w:val="false"/>
          <w:i/>
          <w:caps w:val="false"/>
          <w:smallCaps w:val="false"/>
          <w:color w:val="000000"/>
          <w:spacing w:val="0"/>
          <w:sz w:val="22"/>
        </w:rPr>
        <w:t>Resignation from the Company with Good Reason.  </w:t>
      </w:r>
      <w:r>
        <w:rPr>
          <w:rFonts w:ascii="Times New Roman" w:hAnsi="Times New Roman"/>
          <w:b w:val="false"/>
          <w:i w:val="false"/>
          <w:caps w:val="false"/>
          <w:smallCaps w:val="false"/>
          <w:color w:val="000000"/>
          <w:spacing w:val="0"/>
          <w:sz w:val="22"/>
        </w:rPr>
        <w:t>Executive may resign Executive’s employment with the Company with Good Reason, as defined below.</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(vi)</w:t>
      </w:r>
      <w:r>
        <w:rPr>
          <w:rFonts w:ascii="Times New Roman" w:hAnsi="Times New Roman"/>
          <w:b w:val="false"/>
          <w:i/>
          <w:caps w:val="false"/>
          <w:smallCaps w:val="false"/>
          <w:color w:val="000000"/>
          <w:spacing w:val="0"/>
          <w:sz w:val="22"/>
        </w:rPr>
        <w:t>Resignation from the Company without Good Reason</w:t>
      </w:r>
      <w:r>
        <w:rPr>
          <w:rFonts w:ascii="Times New Roman" w:hAnsi="Times New Roman"/>
          <w:b w:val="false"/>
          <w:i w:val="false"/>
          <w:caps w:val="false"/>
          <w:smallCaps w:val="false"/>
          <w:color w:val="000000"/>
          <w:spacing w:val="0"/>
          <w:sz w:val="22"/>
        </w:rPr>
        <w:t>.  Executive may resign Executive’s employment with the Company for any reason other than Good Reason or for no reason.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Notice of Termination</w:t>
      </w:r>
      <w:r>
        <w:rPr>
          <w:rFonts w:ascii="Times New Roman" w:hAnsi="Times New Roman"/>
          <w:b w:val="false"/>
          <w:i w:val="false"/>
          <w:caps w:val="false"/>
          <w:smallCaps w:val="false"/>
          <w:color w:val="000000"/>
          <w:spacing w:val="0"/>
          <w:sz w:val="22"/>
        </w:rPr>
        <w:t xml:space="preserve">.  Any termination of Executive’s employment by the Company or by Executive under this </w:t>
      </w:r>
      <w:r>
        <w:rPr>
          <w:rFonts w:ascii="Times New Roman" w:hAnsi="Times New Roman"/>
          <w:b w:val="false"/>
          <w:i w:val="false"/>
          <w:caps w:val="false"/>
          <w:smallCaps w:val="false"/>
          <w:color w:val="000000"/>
          <w:spacing w:val="0"/>
          <w:sz w:val="22"/>
          <w:u w:val="single"/>
        </w:rPr>
        <w:t>Section 3</w:t>
      </w:r>
      <w:r>
        <w:rPr>
          <w:rFonts w:ascii="Times New Roman" w:hAnsi="Times New Roman"/>
          <w:b w:val="false"/>
          <w:i w:val="false"/>
          <w:caps w:val="false"/>
          <w:smallCaps w:val="false"/>
          <w:color w:val="000000"/>
          <w:spacing w:val="0"/>
          <w:sz w:val="22"/>
        </w:rPr>
        <w:t xml:space="preserve"> (other than termination pursuant to </w:t>
      </w:r>
      <w:r>
        <w:rPr>
          <w:rFonts w:ascii="Times New Roman" w:hAnsi="Times New Roman"/>
          <w:b w:val="false"/>
          <w:i w:val="false"/>
          <w:caps w:val="false"/>
          <w:smallCaps w:val="false"/>
          <w:color w:val="000000"/>
          <w:spacing w:val="0"/>
          <w:sz w:val="22"/>
          <w:u w:val="single"/>
        </w:rPr>
        <w:t>Section 3(a)(i))</w:t>
      </w:r>
      <w:r>
        <w:rPr>
          <w:rFonts w:ascii="Times New Roman" w:hAnsi="Times New Roman"/>
          <w:b w:val="false"/>
          <w:i w:val="false"/>
          <w:caps w:val="false"/>
          <w:smallCaps w:val="false"/>
          <w:color w:val="000000"/>
          <w:spacing w:val="0"/>
          <w:sz w:val="22"/>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hAnsi="Times New Roman"/>
          <w:b w:val="false"/>
          <w:i w:val="false"/>
          <w:caps w:val="false"/>
          <w:smallCaps w:val="false"/>
          <w:color w:val="000000"/>
          <w:spacing w:val="0"/>
          <w:sz w:val="22"/>
          <w:u w:val="single"/>
        </w:rPr>
        <w:t>Notice of Termination</w:t>
      </w:r>
      <w:r>
        <w:rPr>
          <w:rFonts w:ascii="Times New Roman" w:hAnsi="Times New Roman"/>
          <w:b w:val="false"/>
          <w:i w:val="false"/>
          <w:caps w:val="false"/>
          <w:smallCaps w:val="false"/>
          <w:color w:val="000000"/>
          <w:spacing w:val="0"/>
          <w:sz w:val="22"/>
        </w:rPr>
        <w:t xml:space="preserve">”); </w:t>
      </w:r>
      <w:r>
        <w:rPr>
          <w:rFonts w:ascii="Times New Roman" w:hAnsi="Times New Roman"/>
          <w:b w:val="false"/>
          <w:i/>
          <w:caps w:val="false"/>
          <w:smallCaps w:val="false"/>
          <w:color w:val="000000"/>
          <w:spacing w:val="0"/>
          <w:sz w:val="22"/>
        </w:rPr>
        <w:t>provided, however</w:t>
      </w:r>
      <w:r>
        <w:rPr>
          <w:rFonts w:ascii="Times New Roman" w:hAnsi="Times New Roman"/>
          <w:b w:val="false"/>
          <w:i w:val="false"/>
          <w:caps w:val="false"/>
          <w:smallCaps w:val="false"/>
          <w:color w:val="000000"/>
          <w:spacing w:val="0"/>
          <w:sz w:val="22"/>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Company Obligations upon Termination</w:t>
      </w:r>
      <w:r>
        <w:rPr>
          <w:rFonts w:ascii="Times New Roman" w:hAnsi="Times New Roman"/>
          <w:b w:val="false"/>
          <w:i w:val="false"/>
          <w:caps w:val="false"/>
          <w:smallCaps w:val="false"/>
          <w:color w:val="000000"/>
          <w:spacing w:val="0"/>
          <w:sz w:val="22"/>
        </w:rPr>
        <w:t xml:space="preserve">.  Upon termination of Executive’s employment pursuant to any of the circumstances listed in this </w:t>
      </w:r>
      <w:r>
        <w:rPr>
          <w:rFonts w:ascii="Times New Roman" w:hAnsi="Times New Roman"/>
          <w:b w:val="false"/>
          <w:i w:val="false"/>
          <w:caps w:val="false"/>
          <w:smallCaps w:val="false"/>
          <w:color w:val="000000"/>
          <w:spacing w:val="0"/>
          <w:sz w:val="22"/>
          <w:u w:val="single"/>
        </w:rPr>
        <w:t>Section 3</w:t>
      </w:r>
      <w:r>
        <w:rPr>
          <w:rFonts w:ascii="Times New Roman" w:hAnsi="Times New Roman"/>
          <w:b w:val="false"/>
          <w:i w:val="false"/>
          <w:caps w:val="false"/>
          <w:smallCaps w:val="false"/>
          <w:color w:val="000000"/>
          <w:spacing w:val="0"/>
          <w:sz w:val="22"/>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Times New Roman" w:hAnsi="Times New Roman"/>
          <w:b w:val="false"/>
          <w:i w:val="false"/>
          <w:caps w:val="false"/>
          <w:smallCaps w:val="false"/>
          <w:color w:val="000000"/>
          <w:spacing w:val="0"/>
          <w:sz w:val="22"/>
          <w:u w:val="single"/>
        </w:rPr>
        <w:t>Section 2(e)</w:t>
      </w:r>
      <w:r>
        <w:rPr>
          <w:rFonts w:ascii="Times New Roman" w:hAnsi="Times New Roman"/>
          <w:b w:val="false"/>
          <w:i w:val="false"/>
          <w:caps w:val="false"/>
          <w:smallCaps w:val="false"/>
          <w:color w:val="000000"/>
          <w:spacing w:val="0"/>
          <w:sz w:val="22"/>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hAnsi="Times New Roman"/>
          <w:b w:val="false"/>
          <w:i w:val="false"/>
          <w:caps w:val="false"/>
          <w:smallCaps w:val="false"/>
          <w:color w:val="000000"/>
          <w:spacing w:val="0"/>
          <w:sz w:val="22"/>
          <w:u w:val="single"/>
        </w:rPr>
        <w:t>Company Arrangements</w:t>
      </w:r>
      <w:r>
        <w:rPr>
          <w:rFonts w:ascii="Times New Roman" w:hAnsi="Times New Roman"/>
          <w:b w:val="false"/>
          <w:i w:val="false"/>
          <w:caps w:val="false"/>
          <w:smallCaps w:val="false"/>
          <w:color w:val="000000"/>
          <w:spacing w:val="0"/>
          <w:sz w:val="22"/>
        </w:rPr>
        <w:t>”).  Except as otherwise expressly required by law (</w:t>
      </w:r>
      <w:r>
        <w:rPr>
          <w:rFonts w:ascii="Times New Roman" w:hAnsi="Times New Roman"/>
          <w:b w:val="false"/>
          <w:i w:val="false"/>
          <w:caps w:val="false"/>
          <w:smallCaps w:val="false"/>
          <w:color w:val="000000"/>
          <w:spacing w:val="0"/>
          <w:sz w:val="22"/>
          <w:u w:val="single"/>
        </w:rPr>
        <w:t>e.g.</w:t>
      </w:r>
      <w:r>
        <w:rPr>
          <w:rFonts w:ascii="Times New Roman" w:hAnsi="Times New Roman"/>
          <w:b w:val="false"/>
          <w:i w:val="false"/>
          <w:caps w:val="false"/>
          <w:smallCaps w:val="false"/>
          <w:color w:val="000000"/>
          <w:spacing w:val="0"/>
          <w:sz w:val="22"/>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Times New Roman" w:hAnsi="Times New Roman"/>
          <w:b w:val="false"/>
          <w:i w:val="false"/>
          <w:caps w:val="false"/>
          <w:smallCaps w:val="false"/>
          <w:color w:val="000000"/>
          <w:spacing w:val="0"/>
          <w:sz w:val="22"/>
          <w:u w:val="single"/>
        </w:rPr>
        <w:t xml:space="preserve">Section 3(c) </w:t>
      </w:r>
      <w:r>
        <w:rPr>
          <w:rFonts w:ascii="Times New Roman" w:hAnsi="Times New Roman"/>
          <w:b w:val="false"/>
          <w:i w:val="false"/>
          <w:caps w:val="false"/>
          <w:smallCaps w:val="false"/>
          <w:color w:val="000000"/>
          <w:spacing w:val="0"/>
          <w:sz w:val="22"/>
        </w:rPr>
        <w:t xml:space="preserve">or </w:t>
      </w:r>
      <w:r>
        <w:rPr>
          <w:rFonts w:ascii="Times New Roman" w:hAnsi="Times New Roman"/>
          <w:b w:val="false"/>
          <w:i w:val="false"/>
          <w:caps w:val="false"/>
          <w:smallCaps w:val="false"/>
          <w:color w:val="000000"/>
          <w:spacing w:val="0"/>
          <w:sz w:val="22"/>
          <w:u w:val="single"/>
        </w:rPr>
        <w:t>Section 4</w:t>
      </w:r>
      <w:r>
        <w:rPr>
          <w:rFonts w:ascii="Times New Roman" w:hAnsi="Times New Roman"/>
          <w:b w:val="false"/>
          <w:i w:val="false"/>
          <w:caps w:val="false"/>
          <w:smallCaps w:val="false"/>
          <w:color w:val="000000"/>
          <w:spacing w:val="0"/>
          <w:sz w:val="22"/>
        </w:rPr>
        <w:t>, as applicable.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strike w:val="false"/>
          <w:dstrike w:val="false"/>
          <w:color w:val="000000"/>
          <w:spacing w:val="0"/>
          <w:sz w:val="22"/>
          <w:u w:val="none"/>
          <w:effect w:val="none"/>
        </w:rPr>
        <w:t>(d)</w:t>
      </w:r>
      <w:r>
        <w:rPr>
          <w:rFonts w:ascii="Times New Roman" w:hAnsi="Times New Roman"/>
          <w:b w:val="false"/>
          <w:i w:val="false"/>
          <w:caps w:val="false"/>
          <w:smallCaps w:val="false"/>
          <w:color w:val="000000"/>
          <w:spacing w:val="0"/>
          <w:sz w:val="22"/>
          <w:u w:val="single"/>
        </w:rPr>
        <w:t>Deemed Resignation</w:t>
      </w:r>
      <w:r>
        <w:rPr>
          <w:rFonts w:ascii="Times New Roman" w:hAnsi="Times New Roman"/>
          <w:b w:val="false"/>
          <w:i w:val="false"/>
          <w:caps w:val="false"/>
          <w:smallCaps w:val="false"/>
          <w:color w:val="000000"/>
          <w:spacing w:val="0"/>
          <w:sz w:val="22"/>
        </w:rPr>
        <w:t>.  Upon termination of Executive’s employment for any reason, Executive shall be deemed to have resigned from all offices and directorships, if any, then held with the Company or any of its subsidiaries.</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4.</w:t>
      </w:r>
      <w:r>
        <w:rPr>
          <w:rFonts w:ascii="Times New Roman" w:hAnsi="Times New Roman"/>
          <w:b/>
          <w:i w:val="false"/>
          <w:caps w:val="false"/>
          <w:smallCaps w:val="false"/>
          <w:color w:val="000000"/>
          <w:spacing w:val="0"/>
          <w:sz w:val="22"/>
          <w:u w:val="single"/>
        </w:rPr>
        <w:t>Severance Payments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Termination for Cause, or Termination Upon Death, Disability or Resignation from the Company Without Good Reason</w:t>
      </w:r>
      <w:r>
        <w:rPr>
          <w:rFonts w:ascii="Times New Roman" w:hAnsi="Times New Roman"/>
          <w:b w:val="false"/>
          <w:i w:val="false"/>
          <w:caps w:val="false"/>
          <w:smallCaps w:val="false"/>
          <w:color w:val="000000"/>
          <w:spacing w:val="0"/>
          <w:sz w:val="22"/>
        </w:rPr>
        <w:t xml:space="preserve">.  If Executive’s employment shall terminate as a result of Executive’s death pursuant to </w:t>
      </w:r>
      <w:r>
        <w:rPr>
          <w:rFonts w:ascii="Times New Roman" w:hAnsi="Times New Roman"/>
          <w:b w:val="false"/>
          <w:i w:val="false"/>
          <w:caps w:val="false"/>
          <w:smallCaps w:val="false"/>
          <w:color w:val="000000"/>
          <w:spacing w:val="0"/>
          <w:sz w:val="22"/>
          <w:u w:val="single"/>
        </w:rPr>
        <w:t>Section 3(a)(i)</w:t>
      </w:r>
      <w:r>
        <w:rPr>
          <w:rFonts w:ascii="Times New Roman" w:hAnsi="Times New Roman"/>
          <w:b w:val="false"/>
          <w:i w:val="false"/>
          <w:caps w:val="false"/>
          <w:smallCaps w:val="false"/>
          <w:color w:val="000000"/>
          <w:spacing w:val="0"/>
          <w:sz w:val="22"/>
        </w:rPr>
        <w:t xml:space="preserve"> or Disability pursuant to </w:t>
      </w:r>
      <w:r>
        <w:rPr>
          <w:rFonts w:ascii="Times New Roman" w:hAnsi="Times New Roman"/>
          <w:b w:val="false"/>
          <w:i w:val="false"/>
          <w:caps w:val="false"/>
          <w:smallCaps w:val="false"/>
          <w:color w:val="000000"/>
          <w:spacing w:val="0"/>
          <w:sz w:val="22"/>
          <w:u w:val="single"/>
        </w:rPr>
        <w:t>Section 3(a)(ii)</w:t>
      </w:r>
      <w:r>
        <w:rPr>
          <w:rFonts w:ascii="Times New Roman" w:hAnsi="Times New Roman"/>
          <w:b w:val="false"/>
          <w:i w:val="false"/>
          <w:caps w:val="false"/>
          <w:smallCaps w:val="false"/>
          <w:color w:val="000000"/>
          <w:spacing w:val="0"/>
          <w:sz w:val="22"/>
        </w:rPr>
        <w:t xml:space="preserve">, pursuant to </w:t>
      </w:r>
      <w:r>
        <w:rPr>
          <w:rFonts w:ascii="Times New Roman" w:hAnsi="Times New Roman"/>
          <w:b w:val="false"/>
          <w:i w:val="false"/>
          <w:caps w:val="false"/>
          <w:smallCaps w:val="false"/>
          <w:color w:val="000000"/>
          <w:spacing w:val="0"/>
          <w:sz w:val="22"/>
          <w:u w:val="single"/>
        </w:rPr>
        <w:t>Section 3(a)(iii)</w:t>
      </w:r>
      <w:r>
        <w:rPr>
          <w:rFonts w:ascii="Times New Roman" w:hAnsi="Times New Roman"/>
          <w:b w:val="false"/>
          <w:i w:val="false"/>
          <w:caps w:val="false"/>
          <w:smallCaps w:val="false"/>
          <w:color w:val="000000"/>
          <w:spacing w:val="0"/>
          <w:sz w:val="22"/>
        </w:rPr>
        <w:t xml:space="preserve"> for Cause, or pursuant to </w:t>
      </w:r>
      <w:r>
        <w:rPr>
          <w:rFonts w:ascii="Times New Roman" w:hAnsi="Times New Roman"/>
          <w:b w:val="false"/>
          <w:i w:val="false"/>
          <w:caps w:val="false"/>
          <w:smallCaps w:val="false"/>
          <w:color w:val="000000"/>
          <w:spacing w:val="0"/>
          <w:sz w:val="22"/>
          <w:u w:val="single"/>
        </w:rPr>
        <w:t>Section 3(a)(vi)</w:t>
      </w:r>
      <w:r>
        <w:rPr>
          <w:rFonts w:ascii="Times New Roman" w:hAnsi="Times New Roman"/>
          <w:b w:val="false"/>
          <w:i w:val="false"/>
          <w:caps w:val="false"/>
          <w:smallCaps w:val="false"/>
          <w:color w:val="000000"/>
          <w:spacing w:val="0"/>
          <w:sz w:val="22"/>
        </w:rPr>
        <w:t xml:space="preserve"> for Executive’s resignation from the Company without Good Reason, then Executive shall not be entitled to any severance payments or benefits, except as provided in </w:t>
      </w:r>
      <w:r>
        <w:rPr>
          <w:rFonts w:ascii="Times New Roman" w:hAnsi="Times New Roman"/>
          <w:b w:val="false"/>
          <w:i w:val="false"/>
          <w:caps w:val="false"/>
          <w:smallCaps w:val="false"/>
          <w:color w:val="000000"/>
          <w:spacing w:val="0"/>
          <w:sz w:val="22"/>
          <w:u w:val="single"/>
        </w:rPr>
        <w:t>Section 3(c)</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Termination without Cause, or Resignation from the Company with Good Reason</w:t>
      </w:r>
      <w:r>
        <w:rPr>
          <w:rFonts w:ascii="Times New Roman" w:hAnsi="Times New Roman"/>
          <w:b w:val="false"/>
          <w:i w:val="false"/>
          <w:caps w:val="false"/>
          <w:smallCaps w:val="false"/>
          <w:color w:val="000000"/>
          <w:spacing w:val="0"/>
          <w:sz w:val="22"/>
        </w:rPr>
        <w:t xml:space="preserve">.  If Executive’s employment terminates without Cause pursuant to </w:t>
      </w:r>
      <w:r>
        <w:rPr>
          <w:rFonts w:ascii="Times New Roman" w:hAnsi="Times New Roman"/>
          <w:b w:val="false"/>
          <w:i w:val="false"/>
          <w:caps w:val="false"/>
          <w:smallCaps w:val="false"/>
          <w:color w:val="000000"/>
          <w:spacing w:val="0"/>
          <w:sz w:val="22"/>
          <w:u w:val="single"/>
        </w:rPr>
        <w:t>Section 3(a)(iv)</w:t>
      </w:r>
      <w:r>
        <w:rPr>
          <w:rFonts w:ascii="Times New Roman" w:hAnsi="Times New Roman"/>
          <w:b w:val="false"/>
          <w:i w:val="false"/>
          <w:caps w:val="false"/>
          <w:smallCaps w:val="false"/>
          <w:color w:val="000000"/>
          <w:spacing w:val="0"/>
          <w:sz w:val="22"/>
        </w:rPr>
        <w:t xml:space="preserve">, or pursuant to </w:t>
      </w:r>
      <w:r>
        <w:rPr>
          <w:rFonts w:ascii="Times New Roman" w:hAnsi="Times New Roman"/>
          <w:b w:val="false"/>
          <w:i w:val="false"/>
          <w:caps w:val="false"/>
          <w:smallCaps w:val="false"/>
          <w:color w:val="000000"/>
          <w:spacing w:val="0"/>
          <w:sz w:val="22"/>
          <w:u w:val="single"/>
        </w:rPr>
        <w:t>Section 3(a)(v)</w:t>
      </w:r>
      <w:r>
        <w:rPr>
          <w:rFonts w:ascii="Times New Roman" w:hAnsi="Times New Roman"/>
          <w:b w:val="false"/>
          <w:i w:val="false"/>
          <w:caps w:val="false"/>
          <w:smallCaps w:val="false"/>
          <w:color w:val="000000"/>
          <w:spacing w:val="0"/>
          <w:sz w:val="22"/>
        </w:rPr>
        <w:t xml:space="preserve"> due to Executive’s resignation with Good Reason, then except as otherwise provided under </w:t>
      </w:r>
      <w:r>
        <w:rPr>
          <w:rFonts w:ascii="Times New Roman" w:hAnsi="Times New Roman"/>
          <w:b w:val="false"/>
          <w:i w:val="false"/>
          <w:caps w:val="false"/>
          <w:smallCaps w:val="false"/>
          <w:color w:val="000000"/>
          <w:spacing w:val="0"/>
          <w:sz w:val="22"/>
          <w:u w:val="single"/>
        </w:rPr>
        <w:t>Section 4(c)</w:t>
      </w:r>
      <w:r>
        <w:rPr>
          <w:rFonts w:ascii="Times New Roman" w:hAnsi="Times New Roman"/>
          <w:b w:val="false"/>
          <w:i w:val="false"/>
          <w:caps w:val="false"/>
          <w:smallCaps w:val="false"/>
          <w:color w:val="000000"/>
          <w:spacing w:val="0"/>
          <w:sz w:val="22"/>
        </w:rPr>
        <w:t xml:space="preserve"> and subject to Executive signing on or before the 21st day following Executive’s Separation from Service (as defined below), and not revoking, a release of claims substantially in the form attached as </w:t>
      </w:r>
      <w:r>
        <w:rPr>
          <w:rFonts w:ascii="Times New Roman" w:hAnsi="Times New Roman"/>
          <w:b w:val="false"/>
          <w:i w:val="false"/>
          <w:caps w:val="false"/>
          <w:smallCaps w:val="false"/>
          <w:color w:val="000000"/>
          <w:spacing w:val="0"/>
          <w:sz w:val="22"/>
          <w:u w:val="single"/>
        </w:rPr>
        <w:t>Exhibit A</w:t>
      </w:r>
      <w:r>
        <w:rPr>
          <w:rFonts w:ascii="Times New Roman" w:hAnsi="Times New Roman"/>
          <w:b w:val="false"/>
          <w:i w:val="false"/>
          <w:caps w:val="false"/>
          <w:smallCaps w:val="false"/>
          <w:color w:val="000000"/>
          <w:spacing w:val="0"/>
          <w:sz w:val="22"/>
        </w:rPr>
        <w:t xml:space="preserve"> to this Agreement (the “</w:t>
      </w:r>
      <w:r>
        <w:rPr>
          <w:rFonts w:ascii="Times New Roman" w:hAnsi="Times New Roman"/>
          <w:b w:val="false"/>
          <w:i w:val="false"/>
          <w:caps w:val="false"/>
          <w:smallCaps w:val="false"/>
          <w:color w:val="000000"/>
          <w:spacing w:val="0"/>
          <w:sz w:val="22"/>
          <w:u w:val="single"/>
        </w:rPr>
        <w:t>Release</w:t>
      </w:r>
      <w:r>
        <w:rPr>
          <w:rFonts w:ascii="Times New Roman" w:hAnsi="Times New Roman"/>
          <w:b w:val="false"/>
          <w:i w:val="false"/>
          <w:caps w:val="false"/>
          <w:smallCaps w:val="false"/>
          <w:color w:val="000000"/>
          <w:spacing w:val="0"/>
          <w:sz w:val="22"/>
        </w:rPr>
        <w:t xml:space="preserve">”) and Executive’s continued compliance with </w:t>
      </w:r>
      <w:r>
        <w:rPr>
          <w:rFonts w:ascii="Times New Roman" w:hAnsi="Times New Roman"/>
          <w:b w:val="false"/>
          <w:i w:val="false"/>
          <w:caps w:val="false"/>
          <w:smallCaps w:val="false"/>
          <w:color w:val="000000"/>
          <w:spacing w:val="0"/>
          <w:sz w:val="22"/>
          <w:u w:val="single"/>
        </w:rPr>
        <w:t>Section 5</w:t>
      </w:r>
      <w:r>
        <w:rPr>
          <w:rFonts w:ascii="Times New Roman" w:hAnsi="Times New Roman"/>
          <w:b w:val="false"/>
          <w:i w:val="false"/>
          <w:caps w:val="false"/>
          <w:smallCaps w:val="false"/>
          <w:color w:val="000000"/>
          <w:spacing w:val="0"/>
          <w:sz w:val="22"/>
        </w:rPr>
        <w:t xml:space="preserve">, Executive shall receive, in addition to payments and benefits set forth in </w:t>
      </w:r>
      <w:r>
        <w:rPr>
          <w:rFonts w:ascii="Times New Roman" w:hAnsi="Times New Roman"/>
          <w:b w:val="false"/>
          <w:i w:val="false"/>
          <w:caps w:val="false"/>
          <w:smallCaps w:val="false"/>
          <w:color w:val="000000"/>
          <w:spacing w:val="0"/>
          <w:sz w:val="22"/>
          <w:u w:val="single"/>
        </w:rPr>
        <w:t>Section 3(c)</w:t>
      </w:r>
      <w:r>
        <w:rPr>
          <w:rFonts w:ascii="Times New Roman" w:hAnsi="Times New Roman"/>
          <w:b w:val="false"/>
          <w:i w:val="false"/>
          <w:caps w:val="false"/>
          <w:smallCaps w:val="false"/>
          <w:color w:val="000000"/>
          <w:spacing w:val="0"/>
          <w:sz w:val="22"/>
        </w:rPr>
        <w:t>, the following:</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(i)an amount in cash equal to 1.0 times the Annual Base Salary, payable in the form of salary continuation in regular installments over the 12 month period following the date of Executive’s Separation from Service (the “</w:t>
      </w:r>
      <w:r>
        <w:rPr>
          <w:rFonts w:ascii="Times New Roman" w:hAnsi="Times New Roman"/>
          <w:b w:val="false"/>
          <w:i w:val="false"/>
          <w:caps w:val="false"/>
          <w:smallCaps w:val="false"/>
          <w:color w:val="000000"/>
          <w:spacing w:val="0"/>
          <w:sz w:val="22"/>
          <w:u w:val="single"/>
        </w:rPr>
        <w:t>Severance Period</w:t>
      </w:r>
      <w:r>
        <w:rPr>
          <w:rFonts w:ascii="Times New Roman" w:hAnsi="Times New Roman"/>
          <w:b w:val="false"/>
          <w:i w:val="false"/>
          <w:caps w:val="false"/>
          <w:smallCaps w:val="false"/>
          <w:color w:val="000000"/>
          <w:spacing w:val="0"/>
          <w:sz w:val="22"/>
        </w:rPr>
        <w:t>”) in accordance with the Company’s normal payroll practices;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(ii)to the extent unpaid as of the Date of Termination, an amount of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hAnsi="Times New Roman"/>
          <w:b w:val="false"/>
          <w:i w:val="false"/>
          <w:caps w:val="false"/>
          <w:smallCaps w:val="false"/>
          <w:color w:val="000000"/>
          <w:spacing w:val="0"/>
          <w:sz w:val="22"/>
          <w:u w:val="single"/>
        </w:rPr>
        <w:t>COBRA</w:t>
      </w:r>
      <w:r>
        <w:rPr>
          <w:rFonts w:ascii="Times New Roman" w:hAnsi="Times New Roman"/>
          <w:b w:val="false"/>
          <w:i w:val="false"/>
          <w:caps w:val="false"/>
          <w:smallCaps w:val="false"/>
          <w:color w:val="000000"/>
          <w:spacing w:val="0"/>
          <w:sz w:val="22"/>
        </w:rPr>
        <w:t>”),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(A) the last day of the Severance Period,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hAnsi="Times New Roman"/>
          <w:b w:val="false"/>
          <w:i w:val="false"/>
          <w:caps w:val="false"/>
          <w:smallCaps w:val="false"/>
          <w:color w:val="000000"/>
          <w:spacing w:val="0"/>
          <w:sz w:val="22"/>
          <w:u w:val="single"/>
        </w:rPr>
        <w:t>COBRA Continuation Period</w:t>
      </w:r>
      <w:r>
        <w:rPr>
          <w:rFonts w:ascii="Times New Roman" w:hAnsi="Times New Roman"/>
          <w:b w:val="false"/>
          <w:i w:val="false"/>
          <w:caps w:val="false"/>
          <w:smallCaps w:val="false"/>
          <w:color w:val="000000"/>
          <w:spacing w:val="0"/>
          <w:sz w:val="22"/>
        </w:rPr>
        <w:t xml:space="preserve">”).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Date of Termination (which amount shall be based on the premium for the first month of COBRA coverage), less the amount Executive would have had to pay to receive such group health coverage as an active employee for Executive and his or her covered dependents based on the cost sharing levels in effect on the Date of Termination, which payments shall for the remainder of the COBRA Continuation Period.</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Change in Control</w:t>
      </w:r>
      <w:r>
        <w:rPr>
          <w:rFonts w:ascii="Times New Roman" w:hAnsi="Times New Roman"/>
          <w:b w:val="false"/>
          <w:i w:val="false"/>
          <w:caps w:val="false"/>
          <w:smallCaps w:val="false"/>
          <w:color w:val="000000"/>
          <w:spacing w:val="0"/>
          <w:sz w:val="22"/>
        </w:rPr>
        <w:t xml:space="preserve">.  In lieu of the payments and benefits set forth in </w:t>
      </w:r>
      <w:r>
        <w:rPr>
          <w:rFonts w:ascii="Times New Roman" w:hAnsi="Times New Roman"/>
          <w:b w:val="false"/>
          <w:i w:val="false"/>
          <w:caps w:val="false"/>
          <w:smallCaps w:val="false"/>
          <w:color w:val="000000"/>
          <w:spacing w:val="0"/>
          <w:sz w:val="22"/>
          <w:u w:val="single"/>
        </w:rPr>
        <w:t>Section 4(b)</w:t>
      </w:r>
      <w:r>
        <w:rPr>
          <w:rFonts w:ascii="Times New Roman" w:hAnsi="Times New Roman"/>
          <w:b w:val="false"/>
          <w:i w:val="false"/>
          <w:caps w:val="false"/>
          <w:smallCaps w:val="false"/>
          <w:color w:val="000000"/>
          <w:spacing w:val="0"/>
          <w:sz w:val="22"/>
        </w:rPr>
        <w:t xml:space="preserve">, in the event Executive’s employment terminates without Cause pursuant to </w:t>
      </w:r>
      <w:r>
        <w:rPr>
          <w:rFonts w:ascii="Times New Roman" w:hAnsi="Times New Roman"/>
          <w:b w:val="false"/>
          <w:i w:val="false"/>
          <w:caps w:val="false"/>
          <w:smallCaps w:val="false"/>
          <w:color w:val="000000"/>
          <w:spacing w:val="0"/>
          <w:sz w:val="22"/>
          <w:u w:val="single"/>
        </w:rPr>
        <w:t>Section 3(a)(iv)</w:t>
      </w:r>
      <w:r>
        <w:rPr>
          <w:rFonts w:ascii="Times New Roman" w:hAnsi="Times New Roman"/>
          <w:b w:val="false"/>
          <w:i w:val="false"/>
          <w:caps w:val="false"/>
          <w:smallCaps w:val="false"/>
          <w:color w:val="000000"/>
          <w:spacing w:val="0"/>
          <w:sz w:val="22"/>
        </w:rPr>
        <w:t xml:space="preserve">, or pursuant to </w:t>
      </w:r>
      <w:r>
        <w:rPr>
          <w:rFonts w:ascii="Times New Roman" w:hAnsi="Times New Roman"/>
          <w:b w:val="false"/>
          <w:i w:val="false"/>
          <w:caps w:val="false"/>
          <w:smallCaps w:val="false"/>
          <w:color w:val="000000"/>
          <w:spacing w:val="0"/>
          <w:sz w:val="22"/>
          <w:u w:val="single"/>
        </w:rPr>
        <w:t>Section 3(a)(v)</w:t>
      </w:r>
      <w:r>
        <w:rPr>
          <w:rFonts w:ascii="Times New Roman" w:hAnsi="Times New Roman"/>
          <w:b w:val="false"/>
          <w:i w:val="false"/>
          <w:caps w:val="false"/>
          <w:smallCaps w:val="false"/>
          <w:color w:val="000000"/>
          <w:spacing w:val="0"/>
          <w:sz w:val="22"/>
        </w:rPr>
        <w:t xml:space="preserve"> 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Times New Roman" w:hAnsi="Times New Roman"/>
          <w:b w:val="false"/>
          <w:i w:val="false"/>
          <w:caps w:val="false"/>
          <w:smallCaps w:val="false"/>
          <w:color w:val="000000"/>
          <w:spacing w:val="0"/>
          <w:sz w:val="22"/>
          <w:u w:val="single"/>
        </w:rPr>
        <w:t>Section 5</w:t>
      </w:r>
      <w:r>
        <w:rPr>
          <w:rFonts w:ascii="Times New Roman" w:hAnsi="Times New Roman"/>
          <w:b w:val="false"/>
          <w:i w:val="false"/>
          <w:caps w:val="false"/>
          <w:smallCaps w:val="false"/>
          <w:color w:val="000000"/>
          <w:spacing w:val="0"/>
          <w:sz w:val="22"/>
        </w:rPr>
        <w:t xml:space="preserve">, Executive shall receive, in addition to the payments and benefits set forth in </w:t>
      </w:r>
      <w:r>
        <w:rPr>
          <w:rFonts w:ascii="Times New Roman" w:hAnsi="Times New Roman"/>
          <w:b w:val="false"/>
          <w:i w:val="false"/>
          <w:caps w:val="false"/>
          <w:smallCaps w:val="false"/>
          <w:color w:val="000000"/>
          <w:spacing w:val="0"/>
          <w:sz w:val="22"/>
          <w:u w:val="single"/>
        </w:rPr>
        <w:t>Section 3(c)</w:t>
      </w:r>
      <w:r>
        <w:rPr>
          <w:rFonts w:ascii="Times New Roman" w:hAnsi="Times New Roman"/>
          <w:b w:val="false"/>
          <w:i w:val="false"/>
          <w:caps w:val="false"/>
          <w:smallCaps w:val="false"/>
          <w:color w:val="000000"/>
          <w:spacing w:val="0"/>
          <w:sz w:val="22"/>
        </w:rPr>
        <w:t>, the following:</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(i)an amount in cash equal to 1.5 times the Annual Base Salary, payable in equal installments over the 18 month period following the date of Executive’s Separation from Service (the “</w:t>
      </w:r>
      <w:r>
        <w:rPr>
          <w:rFonts w:ascii="Times New Roman" w:hAnsi="Times New Roman"/>
          <w:b w:val="false"/>
          <w:i w:val="false"/>
          <w:caps w:val="false"/>
          <w:smallCaps w:val="false"/>
          <w:color w:val="000000"/>
          <w:spacing w:val="0"/>
          <w:sz w:val="22"/>
          <w:u w:val="single"/>
        </w:rPr>
        <w:t>CIC Severance Period</w:t>
      </w:r>
      <w:r>
        <w:rPr>
          <w:rFonts w:ascii="Times New Roman" w:hAnsi="Times New Roman"/>
          <w:b w:val="false"/>
          <w:i w:val="false"/>
          <w:caps w:val="false"/>
          <w:smallCaps w:val="false"/>
          <w:color w:val="000000"/>
          <w:spacing w:val="0"/>
          <w:sz w:val="22"/>
        </w:rPr>
        <w:t>”) in accordance with the Company’s normal payroll practices;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(ii)the payment set forth in </w:t>
      </w:r>
      <w:r>
        <w:rPr>
          <w:rFonts w:ascii="Times New Roman" w:hAnsi="Times New Roman"/>
          <w:b w:val="false"/>
          <w:i w:val="false"/>
          <w:caps w:val="false"/>
          <w:smallCaps w:val="false"/>
          <w:color w:val="000000"/>
          <w:spacing w:val="0"/>
          <w:sz w:val="22"/>
          <w:u w:val="single"/>
        </w:rPr>
        <w:t>Section 4(b)(ii)</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(iii)the benefits set forth in </w:t>
      </w:r>
      <w:r>
        <w:rPr>
          <w:rFonts w:ascii="Times New Roman" w:hAnsi="Times New Roman"/>
          <w:b w:val="false"/>
          <w:i w:val="false"/>
          <w:caps w:val="false"/>
          <w:smallCaps w:val="false"/>
          <w:color w:val="000000"/>
          <w:spacing w:val="0"/>
          <w:sz w:val="22"/>
          <w:u w:val="single"/>
        </w:rPr>
        <w:t>Section 4(b)(iii)</w:t>
      </w:r>
      <w:r>
        <w:rPr>
          <w:rFonts w:ascii="Times New Roman" w:hAnsi="Times New Roman"/>
          <w:b w:val="false"/>
          <w:i w:val="false"/>
          <w:caps w:val="false"/>
          <w:smallCaps w:val="false"/>
          <w:color w:val="000000"/>
          <w:spacing w:val="0"/>
          <w:sz w:val="22"/>
        </w:rPr>
        <w:t xml:space="preserve">, provided that for this purpose, the “Severance Period” will mean the CIC Severance Period;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(iv)an amount in cash equal to 1.5 times the Target Annual Bonus, payable in a lump sum on the Company’s first ordinary payroll date that occurs after the Date of Termination;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(v)an amount in cash equal to a prorated portion of the Target Annual Bonus for the year in which the Date of Termination occurs, with such proration based on the portion of the year that Executive was employed by the Company prior to the Date of Termination, payable in a lump sum on the Company’s first ordinary payroll date that occurs after the Date of Termination; and</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(vi)all unvested equity or equity-based awards held by Executive under any Company equity compensation plans that vest solely based on continued employment or service shall immediately become 100% vested, with any other equity or equity-based awards being governed by the terms of the applicable award agreement.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w:t>
      </w:r>
      <w:r>
        <w:rPr>
          <w:rFonts w:ascii="Times New Roman" w:hAnsi="Times New Roman"/>
          <w:b w:val="false"/>
          <w:i w:val="false"/>
          <w:caps w:val="false"/>
          <w:smallCaps w:val="false"/>
          <w:color w:val="000000"/>
          <w:spacing w:val="0"/>
          <w:sz w:val="22"/>
          <w:u w:val="single"/>
        </w:rPr>
        <w:t>Survival</w:t>
      </w:r>
      <w:r>
        <w:rPr>
          <w:rFonts w:ascii="Times New Roman" w:hAnsi="Times New Roman"/>
          <w:b w:val="false"/>
          <w:i w:val="false"/>
          <w:caps w:val="false"/>
          <w:smallCaps w:val="false"/>
          <w:color w:val="000000"/>
          <w:spacing w:val="0"/>
          <w:sz w:val="22"/>
        </w:rPr>
        <w:t xml:space="preserve">.  Notwithstanding anything to the contrary in this Agreement, the provisions of </w:t>
      </w:r>
      <w:r>
        <w:rPr>
          <w:rFonts w:ascii="Times New Roman" w:hAnsi="Times New Roman"/>
          <w:b w:val="false"/>
          <w:i w:val="false"/>
          <w:caps w:val="false"/>
          <w:smallCaps w:val="false"/>
          <w:color w:val="000000"/>
          <w:spacing w:val="0"/>
          <w:sz w:val="22"/>
          <w:u w:val="single"/>
        </w:rPr>
        <w:t>Sections 5</w:t>
      </w:r>
      <w:r>
        <w:rPr>
          <w:rFonts w:ascii="Times New Roman" w:hAnsi="Times New Roman"/>
          <w:b w:val="false"/>
          <w:i w:val="false"/>
          <w:caps w:val="false"/>
          <w:smallCaps w:val="false"/>
          <w:color w:val="000000"/>
          <w:spacing w:val="0"/>
          <w:sz w:val="22"/>
        </w:rPr>
        <w:t xml:space="preserve"> through </w:t>
      </w:r>
      <w:r>
        <w:rPr>
          <w:rFonts w:ascii="Times New Roman" w:hAnsi="Times New Roman"/>
          <w:b w:val="false"/>
          <w:i w:val="false"/>
          <w:caps w:val="false"/>
          <w:smallCaps w:val="false"/>
          <w:color w:val="000000"/>
          <w:spacing w:val="0"/>
          <w:sz w:val="22"/>
          <w:u w:val="single"/>
        </w:rPr>
        <w:t>9</w:t>
      </w:r>
      <w:r>
        <w:rPr>
          <w:rFonts w:ascii="Times New Roman" w:hAnsi="Times New Roman"/>
          <w:b w:val="false"/>
          <w:i w:val="false"/>
          <w:caps w:val="false"/>
          <w:smallCaps w:val="false"/>
          <w:color w:val="000000"/>
          <w:spacing w:val="0"/>
          <w:sz w:val="22"/>
        </w:rPr>
        <w:t xml:space="preserve"> will survive the termination of Executive’s employment and the termination of the Term.</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5.</w:t>
      </w:r>
      <w:r>
        <w:rPr>
          <w:rFonts w:ascii="Times New Roman" w:hAnsi="Times New Roman"/>
          <w:b/>
          <w:i w:val="false"/>
          <w:caps w:val="false"/>
          <w:smallCaps w:val="false"/>
          <w:color w:val="000000"/>
          <w:spacing w:val="0"/>
          <w:sz w:val="22"/>
          <w:u w:val="single"/>
        </w:rPr>
        <w:t>Restrictive Covenants</w:t>
      </w:r>
      <w:r>
        <w:rPr>
          <w:rFonts w:ascii="Times New Roman" w:hAnsi="Times New Roman"/>
          <w:b/>
          <w:i w:val="false"/>
          <w:caps w:val="false"/>
          <w:smallCaps w:val="false"/>
          <w:strike w:val="false"/>
          <w:dstrike w:val="false"/>
          <w:color w:val="000000"/>
          <w:spacing w:val="0"/>
          <w:sz w:val="22"/>
          <w:u w:val="none"/>
          <w:effect w:val="none"/>
        </w:rPr>
        <w:t>.  </w:t>
      </w:r>
      <w:r>
        <w:rPr>
          <w:rFonts w:ascii="Times New Roman" w:hAnsi="Times New Roman"/>
          <w:b w:val="false"/>
          <w:i w:val="false"/>
          <w:caps w:val="false"/>
          <w:smallCaps w:val="false"/>
          <w:strike w:val="false"/>
          <w:dstrike w:val="false"/>
          <w:color w:val="000000"/>
          <w:spacing w:val="0"/>
          <w:sz w:val="22"/>
          <w:u w:val="none"/>
          <w:effect w:val="none"/>
        </w:rPr>
        <w:t xml:space="preserve">As a condition to the effectiveness of this Agreement, Executive will have executed and delivered to the Company no later than contemporaneously herewith the Employee Proprietary Information and Inventions Assignment Agreement attached as </w:t>
      </w:r>
      <w:r>
        <w:rPr>
          <w:rFonts w:ascii="Times New Roman" w:hAnsi="Times New Roman"/>
          <w:b w:val="false"/>
          <w:i w:val="false"/>
          <w:caps w:val="false"/>
          <w:smallCaps w:val="false"/>
          <w:color w:val="000000"/>
          <w:spacing w:val="0"/>
          <w:sz w:val="22"/>
          <w:u w:val="single"/>
        </w:rPr>
        <w:t>Exhibit B</w:t>
      </w:r>
      <w:r>
        <w:rPr>
          <w:rFonts w:ascii="Times New Roman Bold" w:hAnsi="Times New Roman Bold"/>
          <w:b/>
          <w:i w:val="false"/>
          <w:caps w:val="false"/>
          <w:smallCaps w:val="false"/>
          <w:strike w:val="false"/>
          <w:dstrike w:val="false"/>
          <w:color w:val="000000"/>
          <w:spacing w:val="0"/>
          <w:sz w:val="24"/>
          <w:u w:val="none"/>
          <w:effect w:val="none"/>
        </w:rPr>
        <w:t xml:space="preserve"> </w:t>
      </w:r>
      <w:r>
        <w:rPr>
          <w:rFonts w:ascii="Times New Roman" w:hAnsi="Times New Roman"/>
          <w:b w:val="false"/>
          <w:i w:val="false"/>
          <w:caps w:val="false"/>
          <w:smallCaps w:val="false"/>
          <w:strike w:val="false"/>
          <w:dstrike w:val="false"/>
          <w:color w:val="000000"/>
          <w:spacing w:val="0"/>
          <w:sz w:val="22"/>
          <w:u w:val="none"/>
          <w:effect w:val="none"/>
        </w:rPr>
        <w:t>(the “</w:t>
      </w:r>
      <w:r>
        <w:rPr>
          <w:rFonts w:ascii="Times New Roman" w:hAnsi="Times New Roman"/>
          <w:b w:val="false"/>
          <w:i w:val="false"/>
          <w:caps w:val="false"/>
          <w:smallCaps w:val="false"/>
          <w:color w:val="000000"/>
          <w:spacing w:val="0"/>
          <w:sz w:val="22"/>
          <w:u w:val="single"/>
        </w:rPr>
        <w:t>Restrictive Covenant Agreement</w:t>
      </w:r>
      <w:r>
        <w:rPr>
          <w:rFonts w:ascii="Times New Roman Bold" w:hAnsi="Times New Roman Bold"/>
          <w:b/>
          <w:i w:val="false"/>
          <w:caps w:val="false"/>
          <w:smallCaps w:val="false"/>
          <w:strike w:val="false"/>
          <w:dstrike w:val="false"/>
          <w:color w:val="000000"/>
          <w:spacing w:val="0"/>
          <w:sz w:val="24"/>
          <w:u w:val="none"/>
          <w:effect w:val="none"/>
        </w:rPr>
        <w:t>”</w:t>
      </w:r>
      <w:r>
        <w:rPr>
          <w:rFonts w:ascii="Times New Roman" w:hAnsi="Times New Roman"/>
          <w:b w:val="false"/>
          <w:i w:val="false"/>
          <w:caps w:val="false"/>
          <w:smallCaps w:val="false"/>
          <w:strike w:val="false"/>
          <w:dstrike w:val="false"/>
          <w:color w:val="000000"/>
          <w:spacing w:val="0"/>
          <w:sz w:val="22"/>
          <w:u w:val="none"/>
          <w:effect w:val="none"/>
        </w:rPr>
        <w: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5</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strike w:val="false"/>
          <w:dstrike w:val="false"/>
          <w:color w:val="000000"/>
          <w:spacing w:val="0"/>
          <w:sz w:val="24"/>
          <w:u w:val="none"/>
          <w:effect w:val="none"/>
        </w:rPr>
        <w:t>6.</w:t>
      </w:r>
      <w:r>
        <w:rPr>
          <w:rFonts w:ascii="Times New Roman" w:hAnsi="Times New Roman"/>
          <w:b/>
          <w:i w:val="false"/>
          <w:caps w:val="false"/>
          <w:smallCaps w:val="false"/>
          <w:color w:val="000000"/>
          <w:spacing w:val="0"/>
          <w:sz w:val="22"/>
          <w:u w:val="single"/>
        </w:rPr>
        <w:t>Assignment and Successors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7.</w:t>
      </w:r>
      <w:r>
        <w:rPr>
          <w:rFonts w:ascii="Times New Roman" w:hAnsi="Times New Roman"/>
          <w:b/>
          <w:i w:val="false"/>
          <w:caps w:val="false"/>
          <w:smallCaps w:val="false"/>
          <w:color w:val="000000"/>
          <w:spacing w:val="0"/>
          <w:sz w:val="22"/>
          <w:u w:val="single"/>
        </w:rPr>
        <w:t>Certain Definitions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Cause</w:t>
      </w:r>
      <w:r>
        <w:rPr>
          <w:rFonts w:ascii="Times New Roman" w:hAnsi="Times New Roman"/>
          <w:b w:val="false"/>
          <w:i w:val="false"/>
          <w:caps w:val="false"/>
          <w:smallCaps w:val="false"/>
          <w:color w:val="000000"/>
          <w:spacing w:val="0"/>
          <w:sz w:val="22"/>
        </w:rPr>
        <w:t>.  The Company shall have “Cause” to terminate Executive’s employment hereunder upon: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(i)The CEO’s reasonable, good faith determination that Executive has refused to (A) substantially perform the duties associated with Executive’s position with the Company or (B) carry out the reasonable and lawful instructions of the CEO concerning duties or actions consistent with the Executive’s position with the Company;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(ii)Executive’s breach of a material provision of this Agreement that, to the extent capable of cure, has remained uncured for a period of thirty (30) days following written notice from the Company;</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(iii)Executive’s conviction, plea of no contest, plea of </w:t>
      </w:r>
      <w:r>
        <w:rPr>
          <w:rFonts w:ascii="Times New Roman" w:hAnsi="Times New Roman"/>
          <w:b w:val="false"/>
          <w:i/>
          <w:caps w:val="false"/>
          <w:smallCaps w:val="false"/>
          <w:color w:val="000000"/>
          <w:spacing w:val="0"/>
          <w:sz w:val="22"/>
        </w:rPr>
        <w:t>nolo contendere</w:t>
      </w:r>
      <w:r>
        <w:rPr>
          <w:rFonts w:ascii="Times New Roman" w:hAnsi="Times New Roman"/>
          <w:b w:val="false"/>
          <w:i w:val="false"/>
          <w:caps w:val="false"/>
          <w:smallCaps w:val="false"/>
          <w:color w:val="000000"/>
          <w:spacing w:val="0"/>
          <w:sz w:val="22"/>
        </w:rPr>
        <w:t xml:space="preserve">, or imposition of unadjudicated probation for any felony or crime involving moral turpitude;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(iv)Executive’s unlawful use (including being under the influence) or possession of illegal drugs on the Company’s (or any of its affiliate’s) premises or while performing Executive’s duties and responsibilities under this Agreement; or</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(v)Executive’s commission of any act of fraud, embezzlement, misappropriation, willful misconduct, or breach of fiduciary duty against the Company or any of its affiliates.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Change in Control</w:t>
      </w:r>
      <w:r>
        <w:rPr>
          <w:rFonts w:ascii="Times New Roman" w:hAnsi="Times New Roman"/>
          <w:b w:val="false"/>
          <w:i w:val="false"/>
          <w:caps w:val="false"/>
          <w:smallCaps w:val="false"/>
          <w:color w:val="000000"/>
          <w:spacing w:val="0"/>
          <w:sz w:val="22"/>
        </w:rPr>
        <w:t xml:space="preserve">.  “Change in Control” shall have the meaning set forth in the Atea Pharmaceuticals, Inc. 2020 Incentive Award Plan, as in effect on the Effective Date.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Code</w:t>
      </w:r>
      <w:r>
        <w:rPr>
          <w:rFonts w:ascii="Times New Roman" w:hAnsi="Times New Roman"/>
          <w:b w:val="false"/>
          <w:i w:val="false"/>
          <w:caps w:val="false"/>
          <w:smallCaps w:val="false"/>
          <w:color w:val="000000"/>
          <w:spacing w:val="0"/>
          <w:sz w:val="22"/>
        </w:rPr>
        <w:t>.  “Code” shall mean the Internal Revenue Code of 1986, as amended, and the regulations and guidance promulgated thereunder.</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w:t>
      </w:r>
      <w:r>
        <w:rPr>
          <w:rFonts w:ascii="Times New Roman" w:hAnsi="Times New Roman"/>
          <w:b w:val="false"/>
          <w:i w:val="false"/>
          <w:caps w:val="false"/>
          <w:smallCaps w:val="false"/>
          <w:color w:val="000000"/>
          <w:spacing w:val="0"/>
          <w:sz w:val="22"/>
          <w:u w:val="single"/>
        </w:rPr>
        <w:t>Date of Termination</w:t>
      </w:r>
      <w:r>
        <w:rPr>
          <w:rFonts w:ascii="Times New Roman" w:hAnsi="Times New Roman"/>
          <w:b w:val="false"/>
          <w:i w:val="false"/>
          <w:caps w:val="false"/>
          <w:smallCaps w:val="false"/>
          <w:color w:val="000000"/>
          <w:spacing w:val="0"/>
          <w:sz w:val="22"/>
        </w:rPr>
        <w:t xml:space="preserve">.  “Date of Termination” shall mean (i) if Executive’s employment is terminated by Executive’s death, the date of Executive’s death; or (ii) if Executive’s employment is terminated pursuant to </w:t>
      </w:r>
      <w:r>
        <w:rPr>
          <w:rFonts w:ascii="Times New Roman" w:hAnsi="Times New Roman"/>
          <w:b w:val="false"/>
          <w:i w:val="false"/>
          <w:caps w:val="false"/>
          <w:smallCaps w:val="false"/>
          <w:color w:val="000000"/>
          <w:spacing w:val="0"/>
          <w:sz w:val="22"/>
          <w:u w:val="single"/>
        </w:rPr>
        <w:t>Section 3(a)(ii)</w:t>
      </w:r>
      <w:r>
        <w:rPr>
          <w:rFonts w:ascii="Times New Roman" w:hAnsi="Times New Roman"/>
          <w:b w:val="false"/>
          <w:i w:val="false"/>
          <w:caps w:val="false"/>
          <w:smallCaps w:val="false"/>
          <w:color w:val="000000"/>
          <w:spacing w:val="0"/>
          <w:sz w:val="22"/>
        </w:rPr>
        <w:t xml:space="preserve"> – </w:t>
      </w:r>
      <w:r>
        <w:rPr>
          <w:rFonts w:ascii="Times New Roman" w:hAnsi="Times New Roman"/>
          <w:b w:val="false"/>
          <w:i w:val="false"/>
          <w:caps w:val="false"/>
          <w:smallCaps w:val="false"/>
          <w:color w:val="000000"/>
          <w:spacing w:val="0"/>
          <w:sz w:val="22"/>
          <w:u w:val="single"/>
        </w:rPr>
        <w:t>(vi)</w:t>
      </w:r>
      <w:r>
        <w:rPr>
          <w:rFonts w:ascii="Times New Roman" w:hAnsi="Times New Roman"/>
          <w:b w:val="false"/>
          <w:i w:val="false"/>
          <w:caps w:val="false"/>
          <w:smallCaps w:val="false"/>
          <w:color w:val="000000"/>
          <w:spacing w:val="0"/>
          <w:sz w:val="22"/>
        </w:rPr>
        <w:t xml:space="preserve"> either the date indicated in the Notice of Termination or the date specified by the Company pursuant to </w:t>
      </w:r>
      <w:r>
        <w:rPr>
          <w:rFonts w:ascii="Times New Roman" w:hAnsi="Times New Roman"/>
          <w:b w:val="false"/>
          <w:i w:val="false"/>
          <w:caps w:val="false"/>
          <w:smallCaps w:val="false"/>
          <w:color w:val="000000"/>
          <w:spacing w:val="0"/>
          <w:sz w:val="22"/>
          <w:u w:val="single"/>
        </w:rPr>
        <w:t>Section 3(b)</w:t>
      </w:r>
      <w:r>
        <w:rPr>
          <w:rFonts w:ascii="Times New Roman" w:hAnsi="Times New Roman"/>
          <w:b w:val="false"/>
          <w:i w:val="false"/>
          <w:caps w:val="false"/>
          <w:smallCaps w:val="false"/>
          <w:color w:val="000000"/>
          <w:spacing w:val="0"/>
          <w:sz w:val="22"/>
        </w:rPr>
        <w:t>, whichever is earlier.</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(e)</w:t>
      </w:r>
      <w:r>
        <w:rPr>
          <w:rFonts w:ascii="Times New Roman" w:hAnsi="Times New Roman"/>
          <w:b w:val="false"/>
          <w:i w:val="false"/>
          <w:caps w:val="false"/>
          <w:smallCaps w:val="false"/>
          <w:color w:val="000000"/>
          <w:spacing w:val="0"/>
          <w:sz w:val="22"/>
          <w:u w:val="single"/>
        </w:rPr>
        <w:t>Disability</w:t>
      </w:r>
      <w:r>
        <w:rPr>
          <w:rFonts w:ascii="Times New Roman" w:hAnsi="Times New Roman"/>
          <w:b w:val="false"/>
          <w:i w:val="false"/>
          <w:caps w:val="false"/>
          <w:smallCaps w:val="false"/>
          <w:color w:val="000000"/>
          <w:spacing w:val="0"/>
          <w:sz w:val="22"/>
        </w:rPr>
        <w:t>.  “Disability” shall mean, at any time the Company or any of its affiliates sponsors a long-term disability plan for the Company’s employees, “disability” as defined in such long-</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6</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term disability plan for the purpose of determining a participant’s eligibility for benefits, </w:t>
      </w:r>
      <w:r>
        <w:rPr>
          <w:rFonts w:ascii="Times New Roman" w:hAnsi="Times New Roman"/>
          <w:b w:val="false"/>
          <w:i/>
          <w:caps w:val="false"/>
          <w:smallCaps w:val="false"/>
          <w:color w:val="000000"/>
          <w:spacing w:val="0"/>
          <w:sz w:val="22"/>
        </w:rPr>
        <w:t>provided, however</w:t>
      </w:r>
      <w:r>
        <w:rPr>
          <w:rFonts w:ascii="Times New Roman" w:hAnsi="Times New Roman"/>
          <w:b w:val="false"/>
          <w:i w:val="false"/>
          <w:caps w:val="false"/>
          <w:smallCaps w:val="false"/>
          <w:color w:val="000000"/>
          <w:spacing w:val="0"/>
          <w:sz w:val="22"/>
        </w:rPr>
        <w:t xml:space="preserve">,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(f)</w:t>
      </w:r>
      <w:r>
        <w:rPr>
          <w:rFonts w:ascii="Times New Roman" w:hAnsi="Times New Roman"/>
          <w:b w:val="false"/>
          <w:i w:val="false"/>
          <w:caps w:val="false"/>
          <w:smallCaps w:val="false"/>
          <w:color w:val="000000"/>
          <w:spacing w:val="0"/>
          <w:sz w:val="22"/>
          <w:u w:val="single"/>
        </w:rPr>
        <w:t>Good Reason</w:t>
      </w:r>
      <w:r>
        <w:rPr>
          <w:rFonts w:ascii="Times New Roman" w:hAnsi="Times New Roman"/>
          <w:b w:val="false"/>
          <w:i w:val="false"/>
          <w:caps w:val="false"/>
          <w:smallCaps w:val="false"/>
          <w:color w:val="000000"/>
          <w:spacing w:val="0"/>
          <w:sz w:val="22"/>
        </w:rPr>
        <w:t xml:space="preserve">.  For the sole purpose of determining Executive’s right to severance payments and benefits as described above, Executive’s resignation will be with “Good Reason” if Executive resigns within ninety (90) days after any of the following events, unless Executive consents in writing to the applicable event:  (i) a reduction in Executive’s Annual Base Salary or Target Annual Bonus, (ii) a material decrease in Executive’s authority or areas of responsibility as are commensurate with Executive’s title or position with the Company, (iii) the relocation of Executive’s primary office to a location more than twenty-five (25) miles from the Executive’s primary office as of the date of this Agreement (for the avoidance of doubt, other than a relocation of Executive’s primary work location to the Company’s headquarters in the Boston, Massachusetts metropolitan area) or (iv) the Company’s breach of a material provision of this Agreement.  Notwithstanding the foregoing, no Good Reason will have occurred unless and until:  (a) Executive has provided the Company, within sixty (60) 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8.</w:t>
      </w:r>
      <w:r>
        <w:rPr>
          <w:rFonts w:ascii="Times New Roman" w:hAnsi="Times New Roman"/>
          <w:b/>
          <w:i w:val="false"/>
          <w:caps w:val="false"/>
          <w:smallCaps w:val="false"/>
          <w:color w:val="000000"/>
          <w:spacing w:val="0"/>
          <w:sz w:val="22"/>
          <w:u w:val="single"/>
        </w:rPr>
        <w:t>Parachute Payments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(a)Notwithstanding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hAnsi="Times New Roman"/>
          <w:b w:val="false"/>
          <w:i w:val="false"/>
          <w:caps w:val="false"/>
          <w:smallCaps w:val="false"/>
          <w:color w:val="000000"/>
          <w:spacing w:val="0"/>
          <w:sz w:val="22"/>
          <w:u w:val="single"/>
        </w:rPr>
        <w:t>Section 4</w:t>
      </w:r>
      <w:r>
        <w:rPr>
          <w:rFonts w:ascii="Times New Roman" w:hAnsi="Times New Roman"/>
          <w:b w:val="false"/>
          <w:i w:val="false"/>
          <w:caps w:val="false"/>
          <w:smallCaps w:val="false"/>
          <w:color w:val="000000"/>
          <w:spacing w:val="0"/>
          <w:sz w:val="22"/>
        </w:rPr>
        <w:t xml:space="preserve"> hereof, being hereinafter referred to as the “</w:t>
      </w:r>
      <w:r>
        <w:rPr>
          <w:rFonts w:ascii="Times New Roman" w:hAnsi="Times New Roman"/>
          <w:b w:val="false"/>
          <w:i w:val="false"/>
          <w:caps w:val="false"/>
          <w:smallCaps w:val="false"/>
          <w:color w:val="000000"/>
          <w:spacing w:val="0"/>
          <w:sz w:val="22"/>
          <w:u w:val="single"/>
        </w:rPr>
        <w:t>Total Payments</w:t>
      </w:r>
      <w:r>
        <w:rPr>
          <w:rFonts w:ascii="Times New Roman" w:hAnsi="Times New Roman"/>
          <w:b w:val="false"/>
          <w:i w:val="false"/>
          <w:caps w:val="false"/>
          <w:smallCaps w:val="false"/>
          <w:color w:val="000000"/>
          <w:spacing w:val="0"/>
          <w:sz w:val="22"/>
        </w:rPr>
        <w:t>”), would be subject (in whole or in part) to the excise tax imposed by Section 4999 of the Code (the “</w:t>
      </w:r>
      <w:r>
        <w:rPr>
          <w:rFonts w:ascii="Times New Roman" w:hAnsi="Times New Roman"/>
          <w:b w:val="false"/>
          <w:i w:val="false"/>
          <w:caps w:val="false"/>
          <w:smallCaps w:val="false"/>
          <w:color w:val="000000"/>
          <w:spacing w:val="0"/>
          <w:sz w:val="22"/>
          <w:u w:val="single"/>
        </w:rPr>
        <w:t>Excise Tax</w:t>
      </w:r>
      <w:r>
        <w:rPr>
          <w:rFonts w:ascii="Times New Roman" w:hAnsi="Times New Roman"/>
          <w:b w:val="false"/>
          <w:i w:val="false"/>
          <w:caps w:val="false"/>
          <w:smallCaps w:val="false"/>
          <w:color w:val="000000"/>
          <w:spacing w:val="0"/>
          <w:sz w:val="22"/>
        </w:rPr>
        <w:t xml:space="preserve">”), then the Total Payments shall be reduced (in the order provided in </w:t>
      </w:r>
      <w:r>
        <w:rPr>
          <w:rFonts w:ascii="Times New Roman" w:hAnsi="Times New Roman"/>
          <w:b w:val="false"/>
          <w:i w:val="false"/>
          <w:caps w:val="false"/>
          <w:smallCaps w:val="false"/>
          <w:color w:val="000000"/>
          <w:spacing w:val="0"/>
          <w:sz w:val="22"/>
          <w:u w:val="single"/>
        </w:rPr>
        <w:t>Section 8(b)</w:t>
      </w:r>
      <w:r>
        <w:rPr>
          <w:rFonts w:ascii="Times New Roman" w:hAnsi="Times New Roman"/>
          <w:b w:val="false"/>
          <w:i w:val="false"/>
          <w:caps w:val="false"/>
          <w:smallCaps w:val="false"/>
          <w:color w:val="000000"/>
          <w:spacing w:val="0"/>
          <w:sz w:val="22"/>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(b)The Total Payments shall be reduced in the following order:  (i) reduction on a pro rata basis of any cash severance payments that are exempt from Section 409A of the Code (“</w:t>
      </w:r>
      <w:r>
        <w:rPr>
          <w:rFonts w:ascii="Times New Roman" w:hAnsi="Times New Roman"/>
          <w:b w:val="false"/>
          <w:i w:val="false"/>
          <w:caps w:val="false"/>
          <w:smallCaps w:val="false"/>
          <w:color w:val="000000"/>
          <w:spacing w:val="0"/>
          <w:sz w:val="22"/>
          <w:u w:val="single"/>
        </w:rPr>
        <w:t>Section 409A</w:t>
      </w:r>
      <w:r>
        <w:rPr>
          <w:rFonts w:ascii="Times New Roman" w:hAnsi="Times New Roman"/>
          <w:b w:val="false"/>
          <w:i w:val="false"/>
          <w:caps w:val="false"/>
          <w:smallCaps w:val="false"/>
          <w:color w:val="000000"/>
          <w:spacing w:val="0"/>
          <w:sz w:val="22"/>
        </w:rPr>
        <w:t xml:space="preserve">”),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7</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 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(c)All determinations regarding the application of this </w:t>
      </w:r>
      <w:r>
        <w:rPr>
          <w:rFonts w:ascii="Times New Roman" w:hAnsi="Times New Roman"/>
          <w:b w:val="false"/>
          <w:i w:val="false"/>
          <w:caps w:val="false"/>
          <w:smallCaps w:val="false"/>
          <w:color w:val="000000"/>
          <w:spacing w:val="0"/>
          <w:sz w:val="22"/>
          <w:u w:val="single"/>
        </w:rPr>
        <w:t>Section 8</w:t>
      </w:r>
      <w:r>
        <w:rPr>
          <w:rFonts w:ascii="Times New Roman" w:hAnsi="Times New Roman"/>
          <w:b w:val="false"/>
          <w:i w:val="false"/>
          <w:caps w:val="false"/>
          <w:smallCaps w:val="false"/>
          <w:color w:val="000000"/>
          <w:spacing w:val="0"/>
          <w:sz w:val="22"/>
        </w:rPr>
        <w:t xml:space="preserve"> shall be made by an accounting firm or consulting group with experience in performing calculations regarding the applicability of Section 280G of the Code and the Excise Tax selected by the Company (the “</w:t>
      </w:r>
      <w:r>
        <w:rPr>
          <w:rFonts w:ascii="Times New Roman" w:hAnsi="Times New Roman"/>
          <w:b w:val="false"/>
          <w:i w:val="false"/>
          <w:caps w:val="false"/>
          <w:smallCaps w:val="false"/>
          <w:color w:val="000000"/>
          <w:spacing w:val="0"/>
          <w:sz w:val="22"/>
          <w:u w:val="single"/>
        </w:rPr>
        <w:t>Independent Advisors</w:t>
      </w:r>
      <w:r>
        <w:rPr>
          <w:rFonts w:ascii="Times New Roman" w:hAnsi="Times New Roman"/>
          <w:b w:val="false"/>
          <w:i w:val="false"/>
          <w:caps w:val="false"/>
          <w:smallCaps w:val="false"/>
          <w:color w:val="000000"/>
          <w:spacing w:val="0"/>
          <w:sz w:val="22"/>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(d)In the event it is later determined that a greater reduction in the Total Payments should have been made to implement the objective and intent of this </w:t>
      </w:r>
      <w:r>
        <w:rPr>
          <w:rFonts w:ascii="Times New Roman" w:hAnsi="Times New Roman"/>
          <w:b w:val="false"/>
          <w:i w:val="false"/>
          <w:caps w:val="false"/>
          <w:smallCaps w:val="false"/>
          <w:color w:val="000000"/>
          <w:spacing w:val="0"/>
          <w:sz w:val="22"/>
          <w:u w:val="single"/>
        </w:rPr>
        <w:t>Section 8</w:t>
      </w:r>
      <w:r>
        <w:rPr>
          <w:rFonts w:ascii="Times New Roman" w:hAnsi="Times New Roman"/>
          <w:b w:val="false"/>
          <w:i w:val="false"/>
          <w:caps w:val="false"/>
          <w:smallCaps w:val="false"/>
          <w:color w:val="000000"/>
          <w:spacing w:val="0"/>
          <w:sz w:val="22"/>
        </w:rPr>
        <w:t xml:space="preserve">, the excess amount shall be returned promptly by Executive to the Company.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9.</w:t>
      </w:r>
      <w:r>
        <w:rPr>
          <w:rFonts w:ascii="Times New Roman" w:hAnsi="Times New Roman"/>
          <w:b/>
          <w:i w:val="false"/>
          <w:caps w:val="false"/>
          <w:smallCaps w:val="false"/>
          <w:color w:val="000000"/>
          <w:spacing w:val="0"/>
          <w:sz w:val="22"/>
          <w:u w:val="single"/>
        </w:rPr>
        <w:t>Miscellaneous Provisions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Governing Law</w:t>
      </w:r>
      <w:r>
        <w:rPr>
          <w:rFonts w:ascii="Times New Roman" w:hAnsi="Times New Roman"/>
          <w:b w:val="false"/>
          <w:i w:val="false"/>
          <w:caps w:val="false"/>
          <w:smallCaps w:val="false"/>
          <w:color w:val="000000"/>
          <w:spacing w:val="0"/>
          <w:sz w:val="22"/>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Validity</w:t>
      </w:r>
      <w:r>
        <w:rPr>
          <w:rFonts w:ascii="Times New Roman" w:hAnsi="Times New Roman"/>
          <w:b w:val="false"/>
          <w:i w:val="false"/>
          <w:caps w:val="false"/>
          <w:smallCaps w:val="false"/>
          <w:color w:val="000000"/>
          <w:spacing w:val="0"/>
          <w:sz w:val="22"/>
        </w:rPr>
        <w:t>.  The invalidity or unenforceability of any provision or provisions of this Agreement shall not affect the validity or enforceability of any other provision of this Agreement, which shall remain in full force and effect.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Notices</w:t>
      </w:r>
      <w:r>
        <w:rPr>
          <w:rFonts w:ascii="Times New Roman" w:hAnsi="Times New Roman"/>
          <w:b w:val="false"/>
          <w:i w:val="false"/>
          <w:caps w:val="false"/>
          <w:smallCaps w:val="false"/>
          <w:color w:val="000000"/>
          <w:spacing w:val="0"/>
          <w:sz w:val="22"/>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(i)If to the Company, to the General Counsel of the Company at the Company’s headquarters,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(ii)If to Executive, to the last address that the Company has in its personnel records for Executive, or</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(iii)At any other address as any Party shall have specified by notice in writing to the other Party.</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8</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strike w:val="false"/>
          <w:dstrike w:val="false"/>
          <w:color w:val="000000"/>
          <w:spacing w:val="0"/>
          <w:sz w:val="22"/>
          <w:u w:val="none"/>
          <w:effect w:val="none"/>
        </w:rPr>
        <w:t>(d)</w:t>
      </w:r>
      <w:r>
        <w:rPr>
          <w:rFonts w:ascii="Times New Roman" w:hAnsi="Times New Roman"/>
          <w:b w:val="false"/>
          <w:i w:val="false"/>
          <w:caps w:val="false"/>
          <w:smallCaps w:val="false"/>
          <w:color w:val="000000"/>
          <w:spacing w:val="0"/>
          <w:sz w:val="22"/>
          <w:u w:val="single"/>
        </w:rPr>
        <w:t>Counterparts</w:t>
      </w:r>
      <w:r>
        <w:rPr>
          <w:rFonts w:ascii="Times New Roman" w:hAnsi="Times New Roman"/>
          <w:b w:val="false"/>
          <w:i w:val="false"/>
          <w:caps w:val="false"/>
          <w:smallCaps w:val="false"/>
          <w:color w:val="000000"/>
          <w:spacing w:val="0"/>
          <w:sz w:val="22"/>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(e)</w:t>
      </w:r>
      <w:r>
        <w:rPr>
          <w:rFonts w:ascii="Times New Roman" w:hAnsi="Times New Roman"/>
          <w:b w:val="false"/>
          <w:i w:val="false"/>
          <w:caps w:val="false"/>
          <w:smallCaps w:val="false"/>
          <w:color w:val="000000"/>
          <w:spacing w:val="0"/>
          <w:sz w:val="22"/>
          <w:u w:val="single"/>
        </w:rPr>
        <w:t>Entire Agreement</w:t>
      </w:r>
      <w:r>
        <w:rPr>
          <w:rFonts w:ascii="Times New Roman" w:hAnsi="Times New Roman"/>
          <w:b w:val="false"/>
          <w:i w:val="false"/>
          <w:caps w:val="false"/>
          <w:smallCaps w:val="false"/>
          <w:color w:val="000000"/>
          <w:spacing w:val="0"/>
          <w:sz w:val="22"/>
        </w:rPr>
        <w:t xml:space="preserve">.  The terms of this Agreement, and the Restrictive Covenant Agreement incorporated herein by reference as set forth in </w:t>
      </w:r>
      <w:r>
        <w:rPr>
          <w:rFonts w:ascii="Times New Roman" w:hAnsi="Times New Roman"/>
          <w:b w:val="false"/>
          <w:i w:val="false"/>
          <w:caps w:val="false"/>
          <w:smallCaps w:val="false"/>
          <w:color w:val="000000"/>
          <w:spacing w:val="0"/>
          <w:sz w:val="22"/>
          <w:u w:val="single"/>
        </w:rPr>
        <w:t>Section 5</w:t>
      </w:r>
      <w:r>
        <w:rPr>
          <w:rFonts w:ascii="Times New Roman" w:hAnsi="Times New Roman"/>
          <w:b w:val="false"/>
          <w:i w:val="false"/>
          <w:caps w:val="false"/>
          <w:smallCaps w:val="false"/>
          <w:color w:val="000000"/>
          <w:spacing w:val="0"/>
          <w:sz w:val="22"/>
        </w:rPr>
        <w:t xml:space="preserve">, are intended by the Parties to be the final expression of their agreement with respect to the subject matter hereof </w:t>
      </w:r>
      <w:r>
        <w:rPr>
          <w:rFonts w:ascii="Times New Roman" w:hAnsi="Times New Roman"/>
          <w:b w:val="false"/>
          <w:i w:val="false"/>
          <w:caps w:val="false"/>
          <w:smallCaps w:val="false"/>
          <w:color w:val="000000"/>
          <w:spacing w:val="-3"/>
          <w:sz w:val="22"/>
        </w:rPr>
        <w:t>and supersede all prior understandings and agreements, whether written or oral, including any prior employment offer letter or employment agreement between Executive and the Company</w:t>
      </w:r>
      <w:r>
        <w:rPr>
          <w:rFonts w:ascii="Times New Roman" w:hAnsi="Times New Roman"/>
          <w:b w:val="false"/>
          <w:i w:val="false"/>
          <w:caps w:val="false"/>
          <w:smallCaps w:val="false"/>
          <w:color w:val="000000"/>
          <w:spacing w:val="0"/>
          <w:sz w:val="22"/>
        </w:rPr>
        <w:t xml:space="preserve">.  The Parties further intend that this Agreement shall constitute the complete and exclusive statement of their terms and that no extrinsic evidence whatsoever may be introduced in any judicial, administrative, or other legal proceeding to vary the terms of this Agreement.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(f)</w:t>
      </w:r>
      <w:r>
        <w:rPr>
          <w:rFonts w:ascii="Times New Roman" w:hAnsi="Times New Roman"/>
          <w:b w:val="false"/>
          <w:i w:val="false"/>
          <w:caps w:val="false"/>
          <w:smallCaps w:val="false"/>
          <w:color w:val="000000"/>
          <w:spacing w:val="0"/>
          <w:sz w:val="22"/>
          <w:u w:val="single"/>
        </w:rPr>
        <w:t>Amendments; Waivers</w:t>
      </w:r>
      <w:r>
        <w:rPr>
          <w:rFonts w:ascii="Times New Roman" w:hAnsi="Times New Roman"/>
          <w:b w:val="false"/>
          <w:i w:val="false"/>
          <w:caps w:val="false"/>
          <w:smallCaps w:val="false"/>
          <w:color w:val="000000"/>
          <w:spacing w:val="0"/>
          <w:sz w:val="22"/>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hAnsi="Times New Roman"/>
          <w:b w:val="false"/>
          <w:i/>
          <w:caps w:val="false"/>
          <w:smallCaps w:val="false"/>
          <w:color w:val="000000"/>
          <w:spacing w:val="0"/>
          <w:sz w:val="22"/>
        </w:rPr>
        <w:t>provided</w:t>
      </w:r>
      <w:r>
        <w:rPr>
          <w:rFonts w:ascii="Times New Roman" w:hAnsi="Times New Roman"/>
          <w:b w:val="false"/>
          <w:i w:val="false"/>
          <w:caps w:val="false"/>
          <w:smallCaps w:val="false"/>
          <w:color w:val="000000"/>
          <w:spacing w:val="0"/>
          <w:sz w:val="22"/>
        </w:rPr>
        <w:t xml:space="preserve">, </w:t>
      </w:r>
      <w:r>
        <w:rPr>
          <w:rFonts w:ascii="Times New Roman" w:hAnsi="Times New Roman"/>
          <w:b w:val="false"/>
          <w:i/>
          <w:caps w:val="false"/>
          <w:smallCaps w:val="false"/>
          <w:color w:val="000000"/>
          <w:spacing w:val="0"/>
          <w:sz w:val="22"/>
        </w:rPr>
        <w:t>however</w:t>
      </w:r>
      <w:r>
        <w:rPr>
          <w:rFonts w:ascii="Times New Roman" w:hAnsi="Times New Roman"/>
          <w:b w:val="false"/>
          <w:i w:val="false"/>
          <w:caps w:val="false"/>
          <w:smallCaps w:val="false"/>
          <w:color w:val="000000"/>
          <w:spacing w:val="0"/>
          <w:sz w:val="22"/>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(g)</w:t>
      </w:r>
      <w:r>
        <w:rPr>
          <w:rFonts w:ascii="Times New Roman" w:hAnsi="Times New Roman"/>
          <w:b w:val="false"/>
          <w:i w:val="false"/>
          <w:caps w:val="false"/>
          <w:smallCaps w:val="false"/>
          <w:color w:val="000000"/>
          <w:spacing w:val="0"/>
          <w:sz w:val="22"/>
          <w:u w:val="single"/>
        </w:rPr>
        <w:t>Construction</w:t>
      </w:r>
      <w:r>
        <w:rPr>
          <w:rFonts w:ascii="Times New Roman" w:hAnsi="Times New Roman"/>
          <w:b w:val="false"/>
          <w:i w:val="false"/>
          <w:caps w:val="false"/>
          <w:smallCaps w:val="false"/>
          <w:color w:val="000000"/>
          <w:spacing w:val="0"/>
          <w:sz w:val="22"/>
        </w:rPr>
        <w:t xml:space="preserve">.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(h)</w:t>
      </w:r>
      <w:r>
        <w:rPr>
          <w:rFonts w:ascii="Times New Roman" w:hAnsi="Times New Roman"/>
          <w:b w:val="false"/>
          <w:i w:val="false"/>
          <w:caps w:val="false"/>
          <w:smallCaps w:val="false"/>
          <w:color w:val="000000"/>
          <w:spacing w:val="0"/>
          <w:sz w:val="22"/>
          <w:u w:val="single"/>
        </w:rPr>
        <w:t>Arbitration</w:t>
      </w:r>
      <w:r>
        <w:rPr>
          <w:rFonts w:ascii="Times New Roman" w:hAnsi="Times New Roman"/>
          <w:b w:val="false"/>
          <w:i w:val="false"/>
          <w:caps w:val="false"/>
          <w:smallCaps w:val="false"/>
          <w:color w:val="000000"/>
          <w:spacing w:val="0"/>
          <w:sz w:val="22"/>
        </w:rPr>
        <w:t xml:space="preserve">.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 JAMS/Endispute; (ii) each Party to 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9</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Times New Roman" w:hAnsi="Times New Roman"/>
          <w:b w:val="false"/>
          <w:i w:val="false"/>
          <w:caps w:val="false"/>
          <w:smallCaps w:val="false"/>
          <w:color w:val="000000"/>
          <w:spacing w:val="0"/>
          <w:sz w:val="22"/>
          <w:u w:val="single"/>
        </w:rPr>
        <w:t>AAA</w:t>
      </w:r>
      <w:r>
        <w:rPr>
          <w:rFonts w:ascii="Times New Roman" w:hAnsi="Times New Roman"/>
          <w:b w:val="false"/>
          <w:i w:val="false"/>
          <w:caps w:val="false"/>
          <w:smallCaps w:val="false"/>
          <w:color w:val="000000"/>
          <w:spacing w:val="0"/>
          <w:sz w:val="22"/>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w:t>
      </w:r>
      <w:r>
        <w:rPr>
          <w:rFonts w:ascii="Times New Roman" w:hAnsi="Times New Roman"/>
          <w:b w:val="false"/>
          <w:i w:val="false"/>
          <w:caps w:val="false"/>
          <w:smallCaps w:val="false"/>
          <w:color w:val="000000"/>
          <w:spacing w:val="0"/>
          <w:sz w:val="22"/>
          <w:u w:val="single"/>
        </w:rPr>
        <w:t>Enforcement</w:t>
      </w:r>
      <w:r>
        <w:rPr>
          <w:rFonts w:ascii="Times New Roman" w:hAnsi="Times New Roman"/>
          <w:b w:val="false"/>
          <w:i w:val="false"/>
          <w:caps w:val="false"/>
          <w:smallCaps w:val="false"/>
          <w:color w:val="000000"/>
          <w:spacing w:val="0"/>
          <w:sz w:val="22"/>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(j)</w:t>
      </w:r>
      <w:r>
        <w:rPr>
          <w:rFonts w:ascii="Times New Roman" w:hAnsi="Times New Roman"/>
          <w:b w:val="false"/>
          <w:i w:val="false"/>
          <w:caps w:val="false"/>
          <w:smallCaps w:val="false"/>
          <w:color w:val="000000"/>
          <w:spacing w:val="0"/>
          <w:sz w:val="22"/>
          <w:u w:val="single"/>
        </w:rPr>
        <w:t>Withholding</w:t>
      </w:r>
      <w:r>
        <w:rPr>
          <w:rFonts w:ascii="Times New Roman" w:hAnsi="Times New Roman"/>
          <w:b w:val="false"/>
          <w:i w:val="false"/>
          <w:caps w:val="false"/>
          <w:smallCaps w:val="false"/>
          <w:color w:val="000000"/>
          <w:spacing w:val="0"/>
          <w:sz w:val="22"/>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(k)</w:t>
      </w:r>
      <w:r>
        <w:rPr>
          <w:rFonts w:ascii="Times New Roman" w:hAnsi="Times New Roman"/>
          <w:b w:val="false"/>
          <w:i w:val="false"/>
          <w:caps w:val="false"/>
          <w:smallCaps w:val="false"/>
          <w:color w:val="000000"/>
          <w:spacing w:val="0"/>
          <w:sz w:val="22"/>
          <w:u w:val="single"/>
        </w:rPr>
        <w:t>Section 409A</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w:t>
      </w:r>
      <w:r>
        <w:rPr>
          <w:rFonts w:ascii="Times New Roman" w:hAnsi="Times New Roman"/>
          <w:b w:val="false"/>
          <w:i/>
          <w:caps w:val="false"/>
          <w:smallCaps w:val="false"/>
          <w:color w:val="000000"/>
          <w:spacing w:val="0"/>
          <w:sz w:val="22"/>
        </w:rPr>
        <w:t>General.</w:t>
      </w:r>
      <w:r>
        <w:rPr>
          <w:rFonts w:ascii="Times New Roman" w:hAnsi="Times New Roman"/>
          <w:b w:val="false"/>
          <w:i w:val="false"/>
          <w:caps w:val="false"/>
          <w:smallCaps w:val="false"/>
          <w:color w:val="000000"/>
          <w:spacing w:val="0"/>
          <w:sz w:val="22"/>
        </w:rPr>
        <w:t>  The intent of the Parties is that the payments and benefits under this Agreement comply with or be exempt from Section 409A and, accordingly, to the maximum extent permitted, this Agreement shall be interpreted to be in compliance therewith.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w:t>
      </w:r>
      <w:r>
        <w:rPr>
          <w:rFonts w:ascii="Times New Roman" w:hAnsi="Times New Roman"/>
          <w:b w:val="false"/>
          <w:i/>
          <w:caps w:val="false"/>
          <w:smallCaps w:val="false"/>
          <w:color w:val="000000"/>
          <w:spacing w:val="0"/>
          <w:sz w:val="22"/>
        </w:rPr>
        <w:t>Separation from Service.  </w:t>
      </w:r>
      <w:r>
        <w:rPr>
          <w:rFonts w:ascii="Times New Roman" w:hAnsi="Times New Roman"/>
          <w:b w:val="false"/>
          <w:i w:val="false"/>
          <w:caps w:val="false"/>
          <w:smallCaps w:val="false"/>
          <w:color w:val="000000"/>
          <w:spacing w:val="0"/>
          <w:sz w:val="22"/>
        </w:rPr>
        <w:t>Notwithstanding anything in this Agreement to the contrary, any compensation or 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hAnsi="Times New Roman"/>
          <w:b w:val="false"/>
          <w:i w:val="false"/>
          <w:caps w:val="false"/>
          <w:smallCaps w:val="false"/>
          <w:color w:val="000000"/>
          <w:spacing w:val="0"/>
          <w:sz w:val="22"/>
          <w:u w:val="single"/>
        </w:rPr>
        <w:t>Separation from Service</w:t>
      </w:r>
      <w:r>
        <w:rPr>
          <w:rFonts w:ascii="Times New Roman" w:hAnsi="Times New Roman"/>
          <w:b w:val="false"/>
          <w:i w:val="false"/>
          <w:caps w:val="false"/>
          <w:smallCaps w:val="false"/>
          <w:color w:val="000000"/>
          <w:spacing w:val="0"/>
          <w:sz w:val="22"/>
        </w:rPr>
        <w:t xml:space="preserve">”) and, except as provided below, any such compensation or benefits described in </w:t>
      </w:r>
      <w:r>
        <w:rPr>
          <w:rFonts w:ascii="Times New Roman" w:hAnsi="Times New Roman"/>
          <w:b w:val="false"/>
          <w:i w:val="false"/>
          <w:caps w:val="false"/>
          <w:smallCaps w:val="false"/>
          <w:color w:val="000000"/>
          <w:spacing w:val="0"/>
          <w:sz w:val="22"/>
          <w:u w:val="single"/>
        </w:rPr>
        <w:t>Section 4</w:t>
      </w:r>
      <w:r>
        <w:rPr>
          <w:rFonts w:ascii="Times New Roman" w:hAnsi="Times New Roman"/>
          <w:b w:val="false"/>
          <w:i w:val="false"/>
          <w:caps w:val="false"/>
          <w:smallCaps w:val="false"/>
          <w:color w:val="000000"/>
          <w:spacing w:val="0"/>
          <w:sz w:val="22"/>
        </w:rPr>
        <w:t xml:space="preserve"> shall not be paid, or, in the case of installments, shall not commence payment, until the thirtieth (30th) day following Executive’s Separation from Service (the “</w:t>
      </w:r>
      <w:r>
        <w:rPr>
          <w:rFonts w:ascii="Times New Roman" w:hAnsi="Times New Roman"/>
          <w:b w:val="false"/>
          <w:i w:val="false"/>
          <w:caps w:val="false"/>
          <w:smallCaps w:val="false"/>
          <w:color w:val="000000"/>
          <w:spacing w:val="0"/>
          <w:sz w:val="22"/>
          <w:u w:val="single"/>
        </w:rPr>
        <w:t>First Payment Date</w:t>
      </w:r>
      <w:r>
        <w:rPr>
          <w:rFonts w:ascii="Times New Roman" w:hAnsi="Times New Roman"/>
          <w:b w:val="false"/>
          <w:i w:val="false"/>
          <w:caps w:val="false"/>
          <w:smallCaps w:val="false"/>
          <w:color w:val="000000"/>
          <w:spacing w:val="0"/>
          <w:sz w:val="22"/>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w:t>
      </w:r>
      <w:r>
        <w:rPr>
          <w:rFonts w:ascii="Times New Roman" w:hAnsi="Times New Roman"/>
          <w:b w:val="false"/>
          <w:i/>
          <w:caps w:val="false"/>
          <w:smallCaps w:val="false"/>
          <w:color w:val="000000"/>
          <w:spacing w:val="0"/>
          <w:sz w:val="22"/>
        </w:rPr>
        <w:t>Specified Employee.</w:t>
      </w:r>
      <w:r>
        <w:rPr>
          <w:rFonts w:ascii="Times New Roman" w:hAnsi="Times New Roman"/>
          <w:b w:val="false"/>
          <w:i w:val="false"/>
          <w:caps w:val="false"/>
          <w:smallCaps w:val="false"/>
          <w:color w:val="000000"/>
          <w:spacing w:val="0"/>
          <w:sz w:val="22"/>
        </w:rPr>
        <w:t xml:space="preserve">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10</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(iv)</w:t>
      </w:r>
      <w:r>
        <w:rPr>
          <w:rFonts w:ascii="Times New Roman" w:hAnsi="Times New Roman"/>
          <w:b w:val="false"/>
          <w:i/>
          <w:caps w:val="false"/>
          <w:smallCaps w:val="false"/>
          <w:color w:val="000000"/>
          <w:spacing w:val="0"/>
          <w:sz w:val="22"/>
        </w:rPr>
        <w:t>Expense Reimbursements.  </w:t>
      </w:r>
      <w:r>
        <w:rPr>
          <w:rFonts w:ascii="Times New Roman" w:hAnsi="Times New Roman"/>
          <w:b w:val="false"/>
          <w:i w:val="false"/>
          <w:caps w:val="false"/>
          <w:smallCaps w:val="false"/>
          <w:color w:val="000000"/>
          <w:spacing w:val="0"/>
          <w:sz w:val="22"/>
        </w:rPr>
        <w:t>To the extent that any reimbursements under this Agreement are subject to Section 409A, (i) any such reimbursements payable to Executive shall be paid to Executive no later than December 31 of the year following the year in which the expense was incurred, (ii) Executive shall submit Executive’s reimbursement request promptly following the date the expense is incurred, (iii) the amount of expenses reimbursed in one year shall not affect the amount eligible for reimbursement in any subsequent year, other than medical expenses referred to in Section 105(b) of the Code, and (iv) Executive’s right to reimbursement under this Agreement will not be subject to liquidation or exchange for another benefit.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w:t>
      </w:r>
      <w:r>
        <w:rPr>
          <w:rFonts w:ascii="Times New Roman" w:hAnsi="Times New Roman"/>
          <w:b w:val="false"/>
          <w:i/>
          <w:caps w:val="false"/>
          <w:smallCaps w:val="false"/>
          <w:color w:val="000000"/>
          <w:spacing w:val="0"/>
          <w:sz w:val="22"/>
        </w:rPr>
        <w:t>Installments.</w:t>
      </w:r>
      <w:r>
        <w:rPr>
          <w:rFonts w:ascii="Times New Roman" w:hAnsi="Times New Roman"/>
          <w:b w:val="false"/>
          <w:i w:val="false"/>
          <w:caps w:val="false"/>
          <w:smallCaps w:val="false"/>
          <w:color w:val="000000"/>
          <w:spacing w:val="0"/>
          <w:sz w:val="22"/>
        </w:rPr>
        <w:t>  Executive’s right to receive any installment payments under this Agreement, including 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10.</w:t>
      </w:r>
      <w:r>
        <w:rPr>
          <w:rFonts w:ascii="Times New Roman" w:hAnsi="Times New Roman"/>
          <w:b/>
          <w:i w:val="false"/>
          <w:caps w:val="false"/>
          <w:smallCaps w:val="false"/>
          <w:color w:val="000000"/>
          <w:spacing w:val="0"/>
          <w:sz w:val="22"/>
          <w:u w:val="single"/>
        </w:rPr>
        <w:t>Executive Acknowledgement</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t>
      </w:r>
      <w:r>
        <w:rPr>
          <w:rFonts w:ascii="Times New Roman" w:hAnsi="Times New Roman"/>
          <w:b w:val="false"/>
          <w:i/>
          <w:caps w:val="false"/>
          <w:smallCaps w:val="false"/>
          <w:sz w:val="22"/>
        </w:rPr>
        <w:t>Signature Page Follows</w:t>
      </w:r>
      <w:r>
        <w:rPr>
          <w:rFonts w:ascii="Times New Roman" w:hAnsi="Times New Roman"/>
          <w:b w:val="false"/>
          <w:i w:val="false"/>
          <w:caps w:val="false"/>
          <w:smallCaps w:val="false"/>
          <w:sz w:val="22"/>
        </w:rPr>
        <w:t>]</w:t>
      </w:r>
    </w:p>
    <w:p>
      <w:pPr>
        <w:pStyle w:val="TextBody"/>
        <w:spacing w:before="0" w:after="0"/>
        <w:rPr/>
      </w:pPr>
      <w:r>
        <w:rPr/>
        <w:t> </w:t>
      </w:r>
    </w:p>
    <w:p>
      <w:pPr>
        <w:pStyle w:val="TextBody"/>
        <w:spacing w:before="0" w:after="0"/>
        <w:jc w:val="center"/>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w:t>
      </w:r>
    </w:p>
    <w:p>
      <w:pPr>
        <w:pStyle w:val="HorizontalLine"/>
        <w:rPr/>
      </w:pPr>
      <w:r>
        <w:rPr/>
      </w:r>
    </w:p>
    <w:p>
      <w:pPr>
        <w:pStyle w:val="TextBody"/>
        <w:spacing w:before="0" w:after="240"/>
        <w:rPr/>
      </w:pPr>
      <w:r>
        <w:rPr/>
        <w:t> </w:t>
      </w:r>
    </w:p>
    <w:p>
      <w:pPr>
        <w:pStyle w:val="TextBody"/>
        <w:spacing w:before="0" w:after="0"/>
        <w:rPr/>
      </w:pPr>
      <w:r>
        <w:rPr/>
        <w:t>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IN WITNESS WHEREOF, the Parties have executed this Agreement on the date and year first above written.</w:t>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IN WITNESS WHEREOF, the Parties have executed this Agreement on the date and year first above written.</w:t>
      </w:r>
    </w:p>
    <w:p>
      <w:pPr>
        <w:pStyle w:val="TextBody"/>
        <w:spacing w:before="0" w:after="0"/>
        <w:rPr/>
      </w:pPr>
      <w:r>
        <w:rPr/>
        <w:t> </w:t>
      </w:r>
    </w:p>
    <w:tbl>
      <w:tblPr>
        <w:tblW w:w="4690" w:type="dxa"/>
        <w:jc w:val="right"/>
        <w:tblInd w:w="0" w:type="dxa"/>
        <w:tblCellMar>
          <w:top w:w="0" w:type="dxa"/>
          <w:left w:w="0" w:type="dxa"/>
          <w:bottom w:w="0" w:type="dxa"/>
          <w:right w:w="0" w:type="dxa"/>
        </w:tblCellMar>
      </w:tblPr>
      <w:tblGrid>
        <w:gridCol w:w="350"/>
        <w:gridCol w:w="4340"/>
      </w:tblGrid>
      <w:tr>
        <w:trPr/>
        <w:tc>
          <w:tcPr>
            <w:tcW w:w="4690" w:type="dxa"/>
            <w:gridSpan w:val="2"/>
            <w:tcBorders/>
            <w:shd w:fill="auto" w:val="clear"/>
          </w:tcPr>
          <w:p>
            <w:pPr>
              <w:pStyle w:val="TableContents"/>
              <w:spacing w:before="0" w:after="0"/>
              <w:ind w:left="0" w:right="0" w:hanging="0"/>
              <w:jc w:val="left"/>
              <w:rPr>
                <w:rFonts w:ascii="Times New Roman" w:hAnsi="Times New Roman"/>
                <w:b/>
                <w:i w:val="false"/>
                <w:caps w:val="false"/>
                <w:smallCaps w:val="false"/>
                <w:sz w:val="22"/>
              </w:rPr>
            </w:pPr>
            <w:r>
              <w:rPr>
                <w:rFonts w:ascii="Times New Roman" w:hAnsi="Times New Roman"/>
                <w:b/>
                <w:i w:val="false"/>
                <w:caps w:val="false"/>
                <w:smallCaps w:val="false"/>
                <w:sz w:val="22"/>
              </w:rPr>
              <w:t>ATEA PHARMACEUTICALS, INC.</w:t>
            </w:r>
          </w:p>
        </w:tc>
      </w:tr>
      <w:tr>
        <w:trPr/>
        <w:tc>
          <w:tcPr>
            <w:tcW w:w="350" w:type="dxa"/>
            <w:tcBorders/>
            <w:shd w:fill="auto" w:val="clear"/>
          </w:tcPr>
          <w:p>
            <w:pPr>
              <w:pStyle w:val="TableContents"/>
              <w:spacing w:before="0" w:after="0"/>
              <w:ind w:left="0" w:right="0" w:hanging="0"/>
              <w:jc w:val="left"/>
              <w:rPr/>
            </w:pPr>
            <w:r>
              <w:rPr/>
              <w:t> </w:t>
            </w:r>
          </w:p>
        </w:tc>
        <w:tc>
          <w:tcPr>
            <w:tcW w:w="4340" w:type="dxa"/>
            <w:tcBorders/>
            <w:shd w:fill="auto" w:val="clear"/>
          </w:tcPr>
          <w:p>
            <w:pPr>
              <w:pStyle w:val="TableContents"/>
              <w:spacing w:before="0" w:after="0"/>
              <w:ind w:left="0" w:right="0" w:hanging="0"/>
              <w:jc w:val="left"/>
              <w:rPr/>
            </w:pPr>
            <w:r>
              <w:rPr/>
              <w:t> </w:t>
            </w:r>
          </w:p>
        </w:tc>
      </w:tr>
      <w:tr>
        <w:trPr/>
        <w:tc>
          <w:tcPr>
            <w:tcW w:w="350" w:type="dxa"/>
            <w:tcBorders/>
            <w:shd w:fill="auto" w:val="clear"/>
          </w:tcPr>
          <w:p>
            <w:pPr>
              <w:pStyle w:val="TableContents"/>
              <w:spacing w:before="0" w:after="0"/>
              <w:ind w:left="0" w:right="0" w:hanging="0"/>
              <w:jc w:val="left"/>
              <w:rPr/>
            </w:pPr>
            <w:r>
              <w:rPr/>
              <w:t> </w:t>
            </w:r>
          </w:p>
        </w:tc>
        <w:tc>
          <w:tcPr>
            <w:tcW w:w="4340" w:type="dxa"/>
            <w:tcBorders/>
            <w:shd w:fill="auto" w:val="clear"/>
          </w:tcPr>
          <w:p>
            <w:pPr>
              <w:pStyle w:val="TableContents"/>
              <w:spacing w:before="0" w:after="0"/>
              <w:ind w:left="0" w:right="0" w:hanging="0"/>
              <w:jc w:val="left"/>
              <w:rPr/>
            </w:pPr>
            <w:r>
              <w:rPr/>
              <w:t> </w:t>
            </w:r>
          </w:p>
        </w:tc>
      </w:tr>
      <w:tr>
        <w:trPr/>
        <w:tc>
          <w:tcPr>
            <w:tcW w:w="350"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w:t>
            </w:r>
          </w:p>
        </w:tc>
        <w:tc>
          <w:tcPr>
            <w:tcW w:w="4340"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 Jean-Pierre Sommadossi, Ph.D.</w:t>
            </w:r>
          </w:p>
        </w:tc>
      </w:tr>
      <w:tr>
        <w:trPr/>
        <w:tc>
          <w:tcPr>
            <w:tcW w:w="350" w:type="dxa"/>
            <w:tcBorders/>
            <w:shd w:fill="auto" w:val="clear"/>
          </w:tcPr>
          <w:p>
            <w:pPr>
              <w:pStyle w:val="TableContents"/>
              <w:spacing w:before="0" w:after="0"/>
              <w:ind w:left="0" w:right="0" w:hanging="0"/>
              <w:jc w:val="left"/>
              <w:rPr/>
            </w:pPr>
            <w:r>
              <w:rPr/>
              <w:t> </w:t>
            </w:r>
          </w:p>
        </w:tc>
        <w:tc>
          <w:tcPr>
            <w:tcW w:w="4340" w:type="dxa"/>
            <w:tcBorders>
              <w:top w:val="single" w:sz="6" w:space="0" w:color="000000"/>
            </w:tcBorders>
            <w:shd w:fill="auto" w:val="clear"/>
            <w:tcMar>
              <w:top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Name:  Jean-Pierre Sommadossi, Ph.D.</w:t>
            </w:r>
          </w:p>
        </w:tc>
      </w:tr>
      <w:tr>
        <w:trPr/>
        <w:tc>
          <w:tcPr>
            <w:tcW w:w="350" w:type="dxa"/>
            <w:tcBorders/>
            <w:shd w:fill="auto" w:val="clear"/>
          </w:tcPr>
          <w:p>
            <w:pPr>
              <w:pStyle w:val="TableContents"/>
              <w:spacing w:before="0" w:after="0"/>
              <w:ind w:left="0" w:right="0" w:hanging="0"/>
              <w:jc w:val="left"/>
              <w:rPr/>
            </w:pPr>
            <w:r>
              <w:rPr/>
              <w:t> </w:t>
            </w:r>
          </w:p>
        </w:tc>
        <w:tc>
          <w:tcPr>
            <w:tcW w:w="4340" w:type="dxa"/>
            <w:tcBorders/>
            <w:shd w:fill="auto" w:val="cle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Title:    Chairman and Chief Executive Officer</w:t>
            </w:r>
          </w:p>
        </w:tc>
      </w:tr>
    </w:tbl>
    <w:p>
      <w:pPr>
        <w:pStyle w:val="TextBody"/>
        <w:spacing w:before="0" w:after="0"/>
        <w:rPr/>
      </w:pPr>
      <w:r>
        <w:rPr/>
        <w:t> </w:t>
      </w:r>
    </w:p>
    <w:tbl>
      <w:tblPr>
        <w:tblW w:w="3125" w:type="dxa"/>
        <w:jc w:val="right"/>
        <w:tblInd w:w="0" w:type="dxa"/>
        <w:tblCellMar>
          <w:top w:w="0" w:type="dxa"/>
          <w:left w:w="0" w:type="dxa"/>
          <w:bottom w:w="0" w:type="dxa"/>
          <w:right w:w="0" w:type="dxa"/>
        </w:tblCellMar>
      </w:tblPr>
      <w:tblGrid>
        <w:gridCol w:w="3125"/>
      </w:tblGrid>
      <w:tr>
        <w:trPr/>
        <w:tc>
          <w:tcPr>
            <w:tcW w:w="3125" w:type="dxa"/>
            <w:tcBorders/>
            <w:shd w:fill="auto" w:val="clear"/>
          </w:tcPr>
          <w:p>
            <w:pPr>
              <w:pStyle w:val="TableContents"/>
              <w:spacing w:before="0" w:after="0"/>
              <w:ind w:left="0" w:right="0" w:hanging="0"/>
              <w:jc w:val="left"/>
              <w:rPr>
                <w:rFonts w:ascii="Times New Roman" w:hAnsi="Times New Roman"/>
                <w:b/>
                <w:i w:val="false"/>
                <w:caps w:val="false"/>
                <w:smallCaps w:val="false"/>
                <w:sz w:val="22"/>
              </w:rPr>
            </w:pPr>
            <w:r>
              <w:rPr>
                <w:rFonts w:ascii="Times New Roman" w:hAnsi="Times New Roman"/>
                <w:b/>
                <w:i w:val="false"/>
                <w:caps w:val="false"/>
                <w:smallCaps w:val="false"/>
                <w:sz w:val="22"/>
              </w:rPr>
              <w:t>EXECUTIVE</w:t>
            </w:r>
          </w:p>
        </w:tc>
      </w:tr>
      <w:tr>
        <w:trPr/>
        <w:tc>
          <w:tcPr>
            <w:tcW w:w="3125" w:type="dxa"/>
            <w:tcBorders/>
            <w:shd w:fill="auto" w:val="clear"/>
          </w:tcPr>
          <w:p>
            <w:pPr>
              <w:pStyle w:val="TableContents"/>
              <w:spacing w:before="0" w:after="0"/>
              <w:ind w:left="0" w:right="0" w:hanging="0"/>
              <w:jc w:val="left"/>
              <w:rPr/>
            </w:pPr>
            <w:r>
              <w:rPr/>
              <w:t> </w:t>
            </w:r>
          </w:p>
        </w:tc>
      </w:tr>
      <w:tr>
        <w:trPr/>
        <w:tc>
          <w:tcPr>
            <w:tcW w:w="3125" w:type="dxa"/>
            <w:tcBorders/>
            <w:shd w:fill="auto" w:val="clear"/>
          </w:tcPr>
          <w:p>
            <w:pPr>
              <w:pStyle w:val="TableContents"/>
              <w:spacing w:before="0" w:after="0"/>
              <w:ind w:left="0" w:right="0" w:hanging="0"/>
              <w:jc w:val="left"/>
              <w:rPr/>
            </w:pPr>
            <w:r>
              <w:rPr/>
              <w:t> </w:t>
            </w:r>
          </w:p>
        </w:tc>
      </w:tr>
      <w:tr>
        <w:trPr/>
        <w:tc>
          <w:tcPr>
            <w:tcW w:w="3125"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 Janet Hammond, M.D., Ph. D.</w:t>
            </w:r>
          </w:p>
        </w:tc>
      </w:tr>
      <w:tr>
        <w:trPr/>
        <w:tc>
          <w:tcPr>
            <w:tcW w:w="3125" w:type="dxa"/>
            <w:tcBorders>
              <w:top w:val="single" w:sz="6" w:space="0" w:color="000000"/>
            </w:tcBorders>
            <w:shd w:fill="auto" w:val="clear"/>
            <w:tcMar>
              <w:top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Janet Hammond, M.D., Ph.D.</w:t>
            </w:r>
          </w:p>
        </w:tc>
      </w:tr>
    </w:tbl>
    <w:p>
      <w:pPr>
        <w:pStyle w:val="TextBody"/>
        <w:spacing w:before="0" w:after="0"/>
        <w:rPr/>
      </w:pPr>
      <w:r>
        <w:rPr/>
        <w:t> </w:t>
      </w:r>
    </w:p>
    <w:p>
      <w:pPr>
        <w:pStyle w:val="TextBody"/>
        <w:spacing w:before="0" w:after="0"/>
        <w:rPr/>
      </w:pPr>
      <w:r>
        <w:rPr/>
        <w:t> </w:t>
      </w:r>
    </w:p>
    <w:p>
      <w:pPr>
        <w:pStyle w:val="TextBody"/>
        <w:spacing w:before="240" w:after="0"/>
        <w:jc w:val="center"/>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[Signature Page to Employment Agreement]</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EXHIBIT A</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Separation Agreement and Release</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This Separation Agreement and Release (“</w:t>
      </w:r>
      <w:r>
        <w:rPr>
          <w:rFonts w:ascii="Times New Roman" w:hAnsi="Times New Roman"/>
          <w:b w:val="false"/>
          <w:i w:val="false"/>
          <w:caps w:val="false"/>
          <w:smallCaps w:val="false"/>
          <w:sz w:val="22"/>
          <w:u w:val="single"/>
        </w:rPr>
        <w:t>Agreement</w:t>
      </w:r>
      <w:r>
        <w:rPr>
          <w:rFonts w:ascii="Times New Roman" w:hAnsi="Times New Roman"/>
          <w:b w:val="false"/>
          <w:i w:val="false"/>
          <w:caps w:val="false"/>
          <w:smallCaps w:val="false"/>
          <w:sz w:val="22"/>
        </w:rPr>
        <w:t>”) is made by and between Janet Hammond, M.D., Ph.D. (“</w:t>
      </w:r>
      <w:r>
        <w:rPr>
          <w:rFonts w:ascii="Times New Roman" w:hAnsi="Times New Roman"/>
          <w:b w:val="false"/>
          <w:i w:val="false"/>
          <w:caps w:val="false"/>
          <w:smallCaps w:val="false"/>
          <w:sz w:val="22"/>
          <w:u w:val="single"/>
        </w:rPr>
        <w:t>Executive</w:t>
      </w:r>
      <w:r>
        <w:rPr>
          <w:rFonts w:ascii="Times New Roman" w:hAnsi="Times New Roman"/>
          <w:b w:val="false"/>
          <w:i w:val="false"/>
          <w:caps w:val="false"/>
          <w:smallCaps w:val="false"/>
          <w:sz w:val="22"/>
        </w:rPr>
        <w:t>”) and Atea Pharmaceuticals, Inc. (the “</w:t>
      </w:r>
      <w:r>
        <w:rPr>
          <w:rFonts w:ascii="Times New Roman" w:hAnsi="Times New Roman"/>
          <w:b w:val="false"/>
          <w:i w:val="false"/>
          <w:caps w:val="false"/>
          <w:smallCaps w:val="false"/>
          <w:sz w:val="22"/>
          <w:u w:val="single"/>
        </w:rPr>
        <w:t>Company</w:t>
      </w:r>
      <w:r>
        <w:rPr>
          <w:rFonts w:ascii="Times New Roman" w:hAnsi="Times New Roman"/>
          <w:b w:val="false"/>
          <w:i w:val="false"/>
          <w:caps w:val="false"/>
          <w:smallCaps w:val="false"/>
          <w:sz w:val="22"/>
        </w:rPr>
        <w:t>”) (collectively referred to as the “Parties” or individually referred to as a “Party”).  Capitalized terms used but not defined in this Agreement shall have the meanings set forth in the Employment Agreement (as defined below).</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WHEREAS, the Parties have previously entered into that certain Employment Agreement, dated as of _____, 2020 (the “</w:t>
      </w:r>
      <w:r>
        <w:rPr>
          <w:rFonts w:ascii="Times New Roman" w:hAnsi="Times New Roman"/>
          <w:b w:val="false"/>
          <w:i w:val="false"/>
          <w:caps w:val="false"/>
          <w:smallCaps w:val="false"/>
          <w:sz w:val="22"/>
          <w:u w:val="single"/>
        </w:rPr>
        <w:t>Employment Agreement</w:t>
      </w:r>
      <w:r>
        <w:rPr>
          <w:rFonts w:ascii="Times New Roman" w:hAnsi="Times New Roman"/>
          <w:b w:val="false"/>
          <w:i w:val="false"/>
          <w:caps w:val="false"/>
          <w:smallCaps w:val="false"/>
          <w:sz w:val="22"/>
        </w:rPr>
        <w:t>”) and that certain Employee Proprietary Information and Inventions Assignment Agreement, dated as of ________, 2020 (the “</w:t>
      </w:r>
      <w:r>
        <w:rPr>
          <w:rFonts w:ascii="Times New Roman" w:hAnsi="Times New Roman"/>
          <w:b w:val="false"/>
          <w:i w:val="false"/>
          <w:caps w:val="false"/>
          <w:smallCaps w:val="false"/>
          <w:sz w:val="22"/>
          <w:u w:val="single"/>
        </w:rPr>
        <w:t>Restrictive Covenant Agreement</w:t>
      </w:r>
      <w:r>
        <w:rPr>
          <w:rFonts w:ascii="Times New Roman" w:hAnsi="Times New Roman"/>
          <w:b w:val="false"/>
          <w:i w:val="false"/>
          <w:caps w:val="false"/>
          <w:smallCaps w:val="false"/>
          <w:sz w:val="22"/>
        </w:rPr>
        <w:t xml:space="preserve">”); and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WHEREAS, in connection with Executive’s termination of employment with the Company or a subsidiary or affiliate of the Company effective ________, 20__,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pursuant to contract or applicable law (collectively, the “</w:t>
      </w:r>
      <w:r>
        <w:rPr>
          <w:rFonts w:ascii="Times New Roman" w:hAnsi="Times New Roman"/>
          <w:b w:val="false"/>
          <w:i w:val="false"/>
          <w:caps w:val="false"/>
          <w:smallCaps w:val="false"/>
          <w:sz w:val="22"/>
          <w:u w:val="single"/>
        </w:rPr>
        <w:t>Retained Claims</w:t>
      </w:r>
      <w:r>
        <w:rPr>
          <w:rFonts w:ascii="Times New Roman" w:hAnsi="Times New Roman"/>
          <w:b w:val="false"/>
          <w:i w:val="false"/>
          <w:caps w:val="false"/>
          <w:smallCaps w:val="false"/>
          <w:sz w:val="22"/>
        </w:rPr>
        <w:t xml:space="preserve">”).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w:t>
      </w:r>
      <w:r>
        <w:rPr>
          <w:rFonts w:ascii="Times New Roman" w:hAnsi="Times New Roman"/>
          <w:b w:val="false"/>
          <w:i w:val="false"/>
          <w:caps w:val="false"/>
          <w:smallCaps w:val="false"/>
          <w:sz w:val="22"/>
          <w:u w:val="single"/>
        </w:rPr>
        <w:t>Severance Payments and Benefits; Salary and Benefits</w:t>
      </w:r>
      <w:r>
        <w:rPr>
          <w:rFonts w:ascii="Times New Roman" w:hAnsi="Times New Roman"/>
          <w:b w:val="false"/>
          <w:i w:val="false"/>
          <w:caps w:val="false"/>
          <w:smallCaps w:val="false"/>
          <w:sz w:val="22"/>
        </w:rPr>
        <w:t xml:space="preserve">.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r>
        <w:rPr>
          <w:rFonts w:ascii="Times New Roman" w:hAnsi="Times New Roman"/>
          <w:b w:val="false"/>
          <w:i w:val="false"/>
          <w:caps w:val="false"/>
          <w:smallCaps w:val="false"/>
          <w:sz w:val="22"/>
          <w:u w:val="single"/>
        </w:rPr>
        <w:t>3(c)</w:t>
      </w:r>
      <w:r>
        <w:rPr>
          <w:rFonts w:ascii="Times New Roman" w:hAnsi="Times New Roman"/>
          <w:b w:val="false"/>
          <w:i w:val="false"/>
          <w:caps w:val="false"/>
          <w:smallCaps w:val="false"/>
          <w:sz w:val="22"/>
        </w:rPr>
        <w:t xml:space="preserve"> of the Employment Agreement, subject to and in accordance with the terms thereof.</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w:t>
      </w:r>
      <w:r>
        <w:rPr>
          <w:rFonts w:ascii="Times New Roman" w:hAnsi="Times New Roman"/>
          <w:b w:val="false"/>
          <w:i w:val="false"/>
          <w:caps w:val="false"/>
          <w:smallCaps w:val="false"/>
          <w:sz w:val="22"/>
          <w:u w:val="single"/>
        </w:rPr>
        <w:t>Release of Claims</w:t>
      </w:r>
      <w:r>
        <w:rPr>
          <w:rFonts w:ascii="Times New Roman" w:hAnsi="Times New Roman"/>
          <w:b w:val="false"/>
          <w:i w:val="false"/>
          <w:caps w:val="false"/>
          <w:smallCaps w:val="false"/>
          <w:sz w:val="22"/>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hAnsi="Times New Roman"/>
          <w:b w:val="false"/>
          <w:i w:val="false"/>
          <w:caps w:val="false"/>
          <w:smallCaps w:val="false"/>
          <w:sz w:val="22"/>
          <w:u w:val="single"/>
        </w:rPr>
        <w:t>Releasees</w:t>
      </w:r>
      <w:r>
        <w:rPr>
          <w:rFonts w:ascii="Times New Roman" w:hAnsi="Times New Roman"/>
          <w:b w:val="false"/>
          <w:i w:val="false"/>
          <w:caps w:val="false"/>
          <w:smallCaps w:val="false"/>
          <w:sz w:val="22"/>
        </w:rPr>
        <w:t xml:space="preserve">”).  Executive, on Executive’s own behalf and on behalf of any of Executive’s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w:t>
      </w:r>
    </w:p>
    <w:p>
      <w:pPr>
        <w:pStyle w:val="TextBody"/>
        <w:spacing w:before="24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US-DOCS\118415886.2</w:t>
      </w:r>
    </w:p>
    <w:p>
      <w:pPr>
        <w:pStyle w:val="HorizontalLine"/>
        <w:rPr/>
      </w:pPr>
      <w:r>
        <w:rPr/>
      </w:r>
    </w:p>
    <w:p>
      <w:pPr>
        <w:pStyle w:val="TextBody"/>
        <w:spacing w:before="0" w:after="0"/>
        <w:rPr/>
      </w:pPr>
      <w:r>
        <w:rPr/>
        <w:t>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Releasees arising from any omissions, acts, facts, or damages that have occurred up until and including the date Executive signs this Agreement, including, without limitation:</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(a)any and all claims relating to or arising from Executive’s employment or service relationship with the Company or any of its direct or indirect subsidiaries or affiliates and the termination of that relationship;</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(e)any and all claims for violation of the federal or any state constitution;</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 any and all claims arising out of any other laws and regulations relating to employment or employment discrimination;</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(g)any claim for any loss, cost, damage, or expense arising out of any dispute over the non-withholding or other tax treatment of any of the proceeds received by Executive as a result of this Agreement; </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(h)any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(i)any and all claims for attorneys’ fees and costs.</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A-2</w:t>
      </w:r>
    </w:p>
    <w:p>
      <w:pPr>
        <w:pStyle w:val="HorizontalLine"/>
        <w:rPr/>
      </w:pPr>
      <w:r>
        <w:rPr/>
      </w:r>
    </w:p>
    <w:p>
      <w:pPr>
        <w:pStyle w:val="TextBody"/>
        <w:spacing w:before="0" w:after="0"/>
        <w:rPr/>
      </w:pPr>
      <w:r>
        <w:rPr/>
        <w:t>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w:t>
      </w:r>
      <w:r>
        <w:rPr>
          <w:rFonts w:ascii="Times New Roman" w:hAnsi="Times New Roman"/>
          <w:b w:val="false"/>
          <w:i w:val="false"/>
          <w:caps w:val="false"/>
          <w:smallCaps w:val="false"/>
          <w:sz w:val="22"/>
          <w:u w:val="single"/>
        </w:rPr>
        <w:t>Acknowledgment of Waiver of Claims under ADEA</w:t>
      </w:r>
      <w:r>
        <w:rPr>
          <w:rFonts w:ascii="Times New Roman" w:hAnsi="Times New Roman"/>
          <w:b w:val="false"/>
          <w:i w:val="false"/>
          <w:caps w:val="false"/>
          <w:smallCaps w:val="false"/>
          <w:sz w:val="22"/>
        </w:rPr>
        <w:t>.  Executive understands and acknowledges that Executive is waiving and releasing any rights Executive may have under the Age Discrimination in Employment Act of 1967 (“</w:t>
      </w:r>
      <w:r>
        <w:rPr>
          <w:rFonts w:ascii="Times New Roman" w:hAnsi="Times New Roman"/>
          <w:b w:val="false"/>
          <w:i w:val="false"/>
          <w:caps w:val="false"/>
          <w:smallCaps w:val="false"/>
          <w:sz w:val="22"/>
          <w:u w:val="single"/>
        </w:rPr>
        <w:t>ADEA</w:t>
      </w:r>
      <w:r>
        <w:rPr>
          <w:rFonts w:ascii="Times New Roman" w:hAnsi="Times New Roman"/>
          <w:b w:val="false"/>
          <w:i w:val="false"/>
          <w:caps w:val="false"/>
          <w:smallCaps w:val="false"/>
          <w:sz w:val="22"/>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w:t>
      </w:r>
      <w:r>
        <w:rPr>
          <w:rFonts w:ascii="Times New Roman" w:hAnsi="Times New Roman"/>
          <w:b w:val="false"/>
          <w:i w:val="false"/>
          <w:caps w:val="false"/>
          <w:smallCaps w:val="false"/>
          <w:sz w:val="22"/>
          <w:u w:val="single"/>
        </w:rPr>
        <w:t>Restrictive Covenants</w:t>
      </w:r>
      <w:r>
        <w:rPr>
          <w:rFonts w:ascii="Times New Roman" w:hAnsi="Times New Roman"/>
          <w:b w:val="false"/>
          <w:i w:val="false"/>
          <w:caps w:val="false"/>
          <w:smallCaps w:val="false"/>
          <w:sz w:val="22"/>
        </w:rPr>
        <w: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 Executive acknowledges and agrees that the restrictive covenants and other post-termination obligations set forth in the Restrictive Covenant Agreement, including without limitation Executive’s obligations relating to confidentiality, non-use and non-disclosure of Proprietary Information (as defined in the Restrictive Covenant Agreement), non-solicitation, cooperation, and return of property, are hereby incorporated by reference and shall remain in full force and effect pursuant to their terms to the maximum extent permitted by applicable law, except that the Parties expressly agree to modify the Restrictive Covenant Agreement by removing Section 6.1, and each subpart thereto, of the Restrictive Covenant Agreement, which shall be of no further force or effect upon the Effective Date (as defined below). Executive represents and warrants that Executive has complied with all provisions of the Restrictive Covenant Agreement at all times through the Effective Date.</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(b)In consideration for the severance payments and benefits set forth in Section 1 of this Agreement, Executive agrees for a period of one year after the Effective Date (the “</w:t>
      </w:r>
      <w:r>
        <w:rPr>
          <w:rFonts w:ascii="Times New Roman" w:hAnsi="Times New Roman"/>
          <w:b w:val="false"/>
          <w:i w:val="false"/>
          <w:caps w:val="false"/>
          <w:smallCaps w:val="false"/>
          <w:sz w:val="22"/>
          <w:u w:val="single"/>
        </w:rPr>
        <w:t>Non-Competition Restricted Period</w:t>
      </w:r>
      <w:r>
        <w:rPr>
          <w:rFonts w:ascii="Times New Roman" w:hAnsi="Times New Roman"/>
          <w:b w:val="false"/>
          <w:i w:val="false"/>
          <w:caps w:val="false"/>
          <w:smallCaps w:val="false"/>
          <w:sz w:val="22"/>
        </w:rPr>
        <w:t xml:space="preserve">”) to not, directly or indirectly, on Executive’s own behalf or for the benefit of any other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A-3</w:t>
      </w:r>
    </w:p>
    <w:p>
      <w:pPr>
        <w:pStyle w:val="HorizontalLine"/>
        <w:rPr/>
      </w:pPr>
      <w:r>
        <w:rPr/>
      </w:r>
    </w:p>
    <w:p>
      <w:pPr>
        <w:pStyle w:val="TextBody"/>
        <w:spacing w:before="0" w:after="0"/>
        <w:rPr/>
      </w:pPr>
      <w:r>
        <w:rPr/>
        <w:t>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individual or entity other than the Company: (i) operate, conduct, or engage in, or prepare to operate, conduct, or engage in the Business (as defined below); (ii) own, finance, or invest in (except as the holder of not more than one percent of the outstanding stock of a publicly-held company) any Business; or (iii) participate in, render services to, or assist any person or entity that engages in or is preparing to engage in the Business in any capacity (whether as an employee, consultant, contractor, partner, officer, director, or otherwise) (x) which involves the same or similar types of services Executive performed for the Company at any time during the last two years of Executive’s employment with the Company or (y) in which Executive could reasonably be expected to use or disclose Proprietary Information, in each case (i), (ii) or (iii) in the Restricted Territory (as defined below). Without limiting the Company’s ability to seek other remedies available in law or equity, if Executive violates this Section 4(b), the Non-Competition Restricted Period shall be extended by one day for each day that Executive is in violation of such provisions, up to a maximum extension equal to the length of the Non-Competition Restricted Period, so as to give the Company the full benefit of the bargained-for length of forbearance.</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(c)Executive’s continued compliance with the terms of the Restrictive Covenant Agreement (as modified in Section 4(a) above) and the noncompetition obligations set forth in Section 4(b) above (collectively, the “</w:t>
      </w:r>
      <w:r>
        <w:rPr>
          <w:rFonts w:ascii="Times New Roman" w:hAnsi="Times New Roman"/>
          <w:b w:val="false"/>
          <w:i w:val="false"/>
          <w:caps w:val="false"/>
          <w:smallCaps w:val="false"/>
          <w:sz w:val="22"/>
          <w:u w:val="single"/>
        </w:rPr>
        <w:t>Restrictive Covenants</w:t>
      </w:r>
      <w:r>
        <w:rPr>
          <w:rFonts w:ascii="Times New Roman" w:hAnsi="Times New Roman"/>
          <w:b w:val="false"/>
          <w:i w:val="false"/>
          <w:caps w:val="false"/>
          <w:smallCaps w:val="false"/>
          <w:sz w:val="22"/>
        </w:rPr>
        <w:t>”) is a material condition to receipt of the severance payments and benefits set forth in Section 1 of this Agreement. In the event Executive breaches any part of such Restrictive Covenants, then, in addition to any remedies and enforcement mechanisms set forth in the Restrictive Covenant Agreement, the Employment Agreement and this Agreement, and any other remedies available to the Company (including equitable and injunctive remedies), Executive shall forfeit any additional consideration owing and shall be obligated to promptly return to the Company (within fifteen (15) business days of any breach) the full gross amount of all severance payments and benefits provided.</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(d)If any provision of the Restrictive Covenants shall be determined to be unenforceable by any court of competent jurisdiction or arbitrator by reason of its extending for too great a period of time or over too large a geographic area or over too great a range of activities, it shall be interpreted to extend only over the maximum period of time, geographic area or range of activities as to which it may be enforceable.</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(e)As used in this Agreement: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(i)The term “</w:t>
      </w:r>
      <w:r>
        <w:rPr>
          <w:rFonts w:ascii="Times New Roman" w:hAnsi="Times New Roman"/>
          <w:b w:val="false"/>
          <w:i w:val="false"/>
          <w:caps w:val="false"/>
          <w:smallCaps w:val="false"/>
          <w:sz w:val="22"/>
          <w:u w:val="single"/>
        </w:rPr>
        <w:t>Business</w:t>
      </w:r>
      <w:r>
        <w:rPr>
          <w:rFonts w:ascii="Times New Roman" w:hAnsi="Times New Roman"/>
          <w:b w:val="false"/>
          <w:i w:val="false"/>
          <w:caps w:val="false"/>
          <w:smallCaps w:val="false"/>
          <w:sz w:val="22"/>
        </w:rPr>
        <w:t>” means any business or part thereof that develops, manufactures, markets, licenses, sells or provides any product or service related to or comprising small molecules for the treatment of or prevention of diseases resulting from infection with coronaviruses, flavivirus or respiratory syncytial virus that competes with any product or service (i) being discovered, developed, manufactured, marketed, licensed, sold or provided by the Company or (ii) as to which the Company has taken substantial steps toward or invested substantial resources in developing, manufacturing, marketing, licensing, selling or providing, in each case, at any time during Executive’s employment or engagement with the Company.</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(ii)The term “</w:t>
      </w:r>
      <w:r>
        <w:rPr>
          <w:rFonts w:ascii="Times New Roman" w:hAnsi="Times New Roman"/>
          <w:b w:val="false"/>
          <w:i w:val="false"/>
          <w:caps w:val="false"/>
          <w:smallCaps w:val="false"/>
          <w:sz w:val="22"/>
          <w:u w:val="single"/>
        </w:rPr>
        <w:t>Restricted Territory</w:t>
      </w:r>
      <w:r>
        <w:rPr>
          <w:rFonts w:ascii="Times New Roman" w:hAnsi="Times New Roman"/>
          <w:b w:val="false"/>
          <w:i w:val="false"/>
          <w:caps w:val="false"/>
          <w:smallCaps w:val="false"/>
          <w:sz w:val="22"/>
        </w:rPr>
        <w:t>” means each city, county, state, territory and country in which (i) Executive provided services or had a material presence or influence at any time during the last two years of Executive’s employment or engagement with the Company or (ii) the Company is engaged in or has plans to engage in the Business as of the termination of Executive’s employment or engagement with the Company.</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A-4</w:t>
      </w:r>
    </w:p>
    <w:p>
      <w:pPr>
        <w:pStyle w:val="HorizontalLine"/>
        <w:rPr/>
      </w:pPr>
      <w:r>
        <w:rPr/>
      </w:r>
    </w:p>
    <w:p>
      <w:pPr>
        <w:pStyle w:val="TextBody"/>
        <w:spacing w:before="0" w:after="0"/>
        <w:rPr/>
      </w:pPr>
      <w:r>
        <w:rPr/>
        <w:t> </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5.</w:t>
      </w:r>
      <w:r>
        <w:rPr>
          <w:rFonts w:ascii="Times New Roman" w:hAnsi="Times New Roman"/>
          <w:b w:val="false"/>
          <w:i w:val="false"/>
          <w:caps w:val="false"/>
          <w:smallCaps w:val="false"/>
          <w:sz w:val="22"/>
          <w:u w:val="single"/>
        </w:rPr>
        <w:t>Severability</w:t>
      </w:r>
      <w:r>
        <w:rPr>
          <w:rFonts w:ascii="Times New Roman" w:hAnsi="Times New Roman"/>
          <w:b w:val="false"/>
          <w:i w:val="false"/>
          <w:caps w:val="false"/>
          <w:smallCaps w:val="false"/>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6.</w:t>
      </w:r>
      <w:r>
        <w:rPr>
          <w:rFonts w:ascii="Times New Roman" w:hAnsi="Times New Roman"/>
          <w:b w:val="false"/>
          <w:i w:val="false"/>
          <w:caps w:val="false"/>
          <w:smallCaps w:val="false"/>
          <w:sz w:val="22"/>
          <w:u w:val="single"/>
        </w:rPr>
        <w:t>No Oral Modification</w:t>
      </w:r>
      <w:r>
        <w:rPr>
          <w:rFonts w:ascii="Times New Roman" w:hAnsi="Times New Roman"/>
          <w:b w:val="false"/>
          <w:i w:val="false"/>
          <w:caps w:val="false"/>
          <w:smallCaps w:val="false"/>
          <w:sz w:val="22"/>
        </w:rPr>
        <w:t>.  This Agreement may only be amended in a writing signed by Executive and a duly authorized officer of the Company.</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7.</w:t>
      </w:r>
      <w:r>
        <w:rPr>
          <w:rFonts w:ascii="Times New Roman" w:hAnsi="Times New Roman"/>
          <w:b w:val="false"/>
          <w:i w:val="false"/>
          <w:caps w:val="false"/>
          <w:smallCaps w:val="false"/>
          <w:sz w:val="22"/>
          <w:u w:val="single"/>
        </w:rPr>
        <w:t>Governing Law; Dispute Resolution</w:t>
      </w:r>
      <w:r>
        <w:rPr>
          <w:rFonts w:ascii="Times New Roman" w:hAnsi="Times New Roman"/>
          <w:b w:val="false"/>
          <w:i w:val="false"/>
          <w:caps w:val="false"/>
          <w:smallCaps w:val="false"/>
          <w:sz w:val="22"/>
        </w:rPr>
        <w:t>.  This Agreement shall be subject to the provisions of Sections 9(a), 9(c), and 9(h) of the Employment Agreement.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8.</w:t>
      </w:r>
      <w:r>
        <w:rPr>
          <w:rFonts w:ascii="Times New Roman" w:hAnsi="Times New Roman"/>
          <w:b w:val="false"/>
          <w:i w:val="false"/>
          <w:caps w:val="false"/>
          <w:smallCaps w:val="false"/>
          <w:sz w:val="22"/>
          <w:u w:val="single"/>
        </w:rPr>
        <w:t>Effective Date</w:t>
      </w:r>
      <w:r>
        <w:rPr>
          <w:rFonts w:ascii="Times New Roman" w:hAnsi="Times New Roman"/>
          <w:b w:val="false"/>
          <w:i w:val="false"/>
          <w:caps w:val="false"/>
          <w:smallCaps w:val="false"/>
          <w:sz w:val="22"/>
        </w:rPr>
        <w:t>.  Executive has seven business days after Executive signs this Agreement to revoke it and this Agreement will become effective on the day immediately following the seventh  business day after Executive signed this Agreement (the “</w:t>
      </w:r>
      <w:r>
        <w:rPr>
          <w:rFonts w:ascii="Times New Roman" w:hAnsi="Times New Roman"/>
          <w:b w:val="false"/>
          <w:i w:val="false"/>
          <w:caps w:val="false"/>
          <w:smallCaps w:val="false"/>
          <w:sz w:val="22"/>
          <w:u w:val="single"/>
        </w:rPr>
        <w:t>Effective Date</w:t>
      </w:r>
      <w:r>
        <w:rPr>
          <w:rFonts w:ascii="Times New Roman" w:hAnsi="Times New Roman"/>
          <w:b w:val="false"/>
          <w:i w:val="false"/>
          <w:caps w:val="false"/>
          <w:smallCaps w:val="false"/>
          <w:sz w:val="22"/>
        </w:rPr>
        <w:t>”).  For the avoidance of doubt, if Executive revokes this Agreement as provided herein, the Parties’ modification to the Restrictive Covenant Agreement set forth in Section 4(a) above shall be void and of no effect and, unless the Company has elected or elects in writing to expressly waive Executive’s noncompetition obligations set forth in Section 6.1(a) of the Restrictive Covenant Agreement as provided in Section 6.6 of the Restrictive Covenant Agreement, the Restrictive Covenant Agreement, including without limitation Section 6.1 of the Restrictive Covenant Agreement, shall remain in full force and effect.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9.</w:t>
      </w:r>
      <w:r>
        <w:rPr>
          <w:rFonts w:ascii="Times New Roman" w:hAnsi="Times New Roman"/>
          <w:b w:val="false"/>
          <w:i w:val="false"/>
          <w:caps w:val="false"/>
          <w:smallCaps w:val="false"/>
          <w:sz w:val="22"/>
          <w:u w:val="single"/>
        </w:rPr>
        <w:t>Voluntary Execution of Agreement</w:t>
      </w:r>
      <w:r>
        <w:rPr>
          <w:rFonts w:ascii="Times New Roman" w:hAnsi="Times New Roman"/>
          <w:b w:val="false"/>
          <w:i w:val="false"/>
          <w:caps w:val="false"/>
          <w:smallCaps w:val="false"/>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IN WITNESS WHEREOF, the Parties have executed this Agreement on the respective dates set forth below.  </w:t>
      </w:r>
    </w:p>
    <w:p>
      <w:pPr>
        <w:pStyle w:val="TextBody"/>
        <w:spacing w:before="0" w:after="0"/>
        <w:rPr/>
      </w:pPr>
      <w:r>
        <w:rPr/>
        <w:t> </w:t>
      </w:r>
    </w:p>
    <w:tbl>
      <w:tblPr>
        <w:tblW w:w="4404" w:type="dxa"/>
        <w:jc w:val="center"/>
        <w:tblInd w:w="0" w:type="dxa"/>
        <w:tblCellMar>
          <w:top w:w="0" w:type="dxa"/>
          <w:left w:w="0" w:type="dxa"/>
          <w:bottom w:w="0" w:type="dxa"/>
          <w:right w:w="0" w:type="dxa"/>
        </w:tblCellMar>
      </w:tblPr>
      <w:tblGrid>
        <w:gridCol w:w="635"/>
        <w:gridCol w:w="60"/>
        <w:gridCol w:w="60"/>
        <w:gridCol w:w="1222"/>
        <w:gridCol w:w="2427"/>
      </w:tblGrid>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shd w:fill="auto" w:val="clear"/>
          </w:tcPr>
          <w:p>
            <w:pPr>
              <w:pStyle w:val="TableContents"/>
              <w:spacing w:before="0" w:after="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EXECUTIVE</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2" w:type="dxa"/>
            <w:tcBorders/>
            <w:shd w:fill="auto" w:val="clear"/>
          </w:tcPr>
          <w:p>
            <w:pPr>
              <w:pStyle w:val="TableContents"/>
              <w:spacing w:before="0" w:after="0"/>
              <w:ind w:left="0" w:right="0" w:hanging="0"/>
              <w:rPr/>
            </w:pPr>
            <w:r>
              <w:rPr/>
              <w:t> </w:t>
            </w:r>
          </w:p>
        </w:tc>
        <w:tc>
          <w:tcPr>
            <w:tcW w:w="2427" w:type="dxa"/>
            <w:tcBorders/>
            <w:shd w:fill="auto" w:val="clear"/>
          </w:tcPr>
          <w:p>
            <w:pPr>
              <w:pStyle w:val="TableContents"/>
              <w:spacing w:before="0" w:after="0"/>
              <w:ind w:left="0" w:right="0" w:hanging="0"/>
              <w:rPr/>
            </w:pPr>
            <w:r>
              <w:rPr/>
              <w:t> </w:t>
            </w:r>
          </w:p>
        </w:tc>
      </w:tr>
      <w:tr>
        <w:trPr/>
        <w:tc>
          <w:tcPr>
            <w:tcW w:w="63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Dated:</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3649" w:type="dxa"/>
            <w:gridSpan w:val="2"/>
            <w:tcBorders>
              <w:bottom w:val="single" w:sz="6" w:space="0" w:color="000000"/>
            </w:tcBorders>
            <w:shd w:fill="auto" w:val="clear"/>
            <w:tcMar>
              <w:bottom w:w="28" w:type="dxa"/>
            </w:tcM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top w:val="single" w:sz="6" w:space="0" w:color="000000"/>
            </w:tcBorders>
            <w:shd w:fill="auto" w:val="clear"/>
            <w:tcMar>
              <w:top w:w="28" w:type="dxa"/>
            </w:tcM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Janet Hammond, M.D., Ph.D.</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2" w:type="dxa"/>
            <w:tcBorders/>
            <w:shd w:fill="auto" w:val="clear"/>
          </w:tcPr>
          <w:p>
            <w:pPr>
              <w:pStyle w:val="TableContents"/>
              <w:spacing w:before="0" w:after="0"/>
              <w:ind w:left="0" w:right="0" w:hanging="0"/>
              <w:rPr/>
            </w:pPr>
            <w:r>
              <w:rPr/>
              <w:t> </w:t>
            </w:r>
          </w:p>
        </w:tc>
        <w:tc>
          <w:tcPr>
            <w:tcW w:w="2427" w:type="dxa"/>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2" w:type="dxa"/>
            <w:tcBorders/>
            <w:shd w:fill="auto" w:val="clear"/>
          </w:tcPr>
          <w:p>
            <w:pPr>
              <w:pStyle w:val="TableContents"/>
              <w:spacing w:before="0" w:after="0"/>
              <w:ind w:left="0" w:right="0" w:hanging="0"/>
              <w:rPr/>
            </w:pPr>
            <w:r>
              <w:rPr/>
              <w:t> </w:t>
            </w:r>
          </w:p>
        </w:tc>
        <w:tc>
          <w:tcPr>
            <w:tcW w:w="2427" w:type="dxa"/>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shd w:fill="auto" w:val="clear"/>
          </w:tcPr>
          <w:p>
            <w:pPr>
              <w:pStyle w:val="TableContents"/>
              <w:spacing w:before="0" w:after="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ATEA PHARMACEUTICALS, INC.</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shd w:fill="auto" w:val="clear"/>
          </w:tcPr>
          <w:p>
            <w:pPr>
              <w:pStyle w:val="TableContents"/>
              <w:spacing w:before="0" w:after="0"/>
              <w:ind w:left="0" w:right="0" w:hanging="0"/>
              <w:rPr/>
            </w:pPr>
            <w:r>
              <w:rPr/>
              <w:t> </w:t>
            </w:r>
          </w:p>
        </w:tc>
      </w:tr>
      <w:tr>
        <w:trPr/>
        <w:tc>
          <w:tcPr>
            <w:tcW w:w="63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Dated:</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1222"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w:t>
            </w:r>
          </w:p>
        </w:tc>
        <w:tc>
          <w:tcPr>
            <w:tcW w:w="2427" w:type="dxa"/>
            <w:tcBorders>
              <w:bottom w:val="single" w:sz="6" w:space="0" w:color="000000"/>
            </w:tcBorders>
            <w:shd w:fill="auto" w:val="clear"/>
            <w:tcMar>
              <w:bottom w:w="28" w:type="dxa"/>
            </w:tcM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top w:val="single" w:sz="6" w:space="0" w:color="000000"/>
            </w:tcBorders>
            <w:shd w:fill="auto" w:val="clear"/>
            <w:tcMar>
              <w:top w:w="28" w:type="dxa"/>
            </w:tcM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2" w:type="dxa"/>
            <w:tcBorders/>
            <w:shd w:fill="auto" w:val="clear"/>
          </w:tcPr>
          <w:p>
            <w:pPr>
              <w:pStyle w:val="TableContents"/>
              <w:spacing w:before="0" w:after="0"/>
              <w:ind w:left="0" w:right="0" w:hanging="0"/>
              <w:rPr/>
            </w:pPr>
            <w:r>
              <w:rPr/>
              <w:t> </w:t>
            </w:r>
          </w:p>
        </w:tc>
        <w:tc>
          <w:tcPr>
            <w:tcW w:w="2427"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Name:</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2" w:type="dxa"/>
            <w:tcBorders/>
            <w:shd w:fill="auto" w:val="clear"/>
          </w:tcPr>
          <w:p>
            <w:pPr>
              <w:pStyle w:val="TableContents"/>
              <w:spacing w:before="0" w:after="0"/>
              <w:ind w:left="0" w:right="0" w:hanging="0"/>
              <w:rPr/>
            </w:pPr>
            <w:r>
              <w:rPr/>
              <w:t> </w:t>
            </w:r>
          </w:p>
        </w:tc>
        <w:tc>
          <w:tcPr>
            <w:tcW w:w="2427" w:type="dxa"/>
            <w:tcBorders/>
            <w:shd w:fill="auto" w:val="cle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Title:</w:t>
            </w:r>
          </w:p>
        </w:tc>
      </w:tr>
    </w:tbl>
    <w:p>
      <w:pPr>
        <w:pStyle w:val="TextBody"/>
        <w:spacing w:before="0" w:after="0"/>
        <w:rPr/>
      </w:pPr>
      <w:r>
        <w:rPr/>
        <w:t> </w:t>
      </w:r>
    </w:p>
    <w:p>
      <w:pPr>
        <w:pStyle w:val="TextBody"/>
        <w:spacing w:before="0" w:after="0"/>
        <w:jc w:val="center"/>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u w:val="single"/>
        </w:rPr>
      </w:pPr>
      <w:bookmarkStart w:id="75" w:name="_AEIOULastRenderedPageBreakAEIOU21"/>
      <w:bookmarkStart w:id="76" w:name="_AEIOULastRenderedPageBreakAEIOU1"/>
      <w:bookmarkEnd w:id="75"/>
      <w:bookmarkEnd w:id="76"/>
      <w:r>
        <w:rPr>
          <w:rFonts w:ascii="Times New Roman" w:hAnsi="Times New Roman"/>
          <w:b/>
          <w:i w:val="false"/>
          <w:caps w:val="false"/>
          <w:smallCaps w:val="false"/>
          <w:sz w:val="22"/>
          <w:u w:val="single"/>
        </w:rPr>
        <w:t>EXHIBIT B</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Restrictive Covenant Agreement</w:t>
      </w:r>
    </w:p>
    <w:p>
      <w:pPr>
        <w:pStyle w:val="TextBody"/>
        <w:spacing w:before="0" w:after="24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[attached]</w:t>
      </w:r>
    </w:p>
    <w:p>
      <w:pPr>
        <w:pStyle w:val="TextBody"/>
        <w:spacing w:before="0" w:after="0"/>
        <w:rPr/>
      </w:pPr>
      <w:r>
        <w:rPr/>
        <w:t> </w:t>
      </w:r>
    </w:p>
    <w:p>
      <w:pPr>
        <w:pStyle w:val="TextBody"/>
        <w:spacing w:before="0" w:after="0"/>
        <w:rPr/>
      </w:pPr>
      <w:bookmarkStart w:id="77" w:name="_AEIOULastRenderedPageBreakAEIOU31"/>
      <w:bookmarkEnd w:id="77"/>
      <w:r>
        <w:rPr/>
        <w:t> </w:t>
      </w:r>
    </w:p>
    <w:p>
      <w:pPr>
        <w:pStyle w:val="TextBody"/>
        <w:spacing w:before="240" w:after="0"/>
        <w:rPr/>
      </w:pPr>
      <w:r>
        <w:rPr/>
        <w:t> </w:t>
      </w:r>
      <w:r>
        <w:br w:type="page"/>
      </w:r>
    </w:p>
    <w:p>
      <w:pPr>
        <w:pStyle w:val="TextBody"/>
        <w:spacing w:before="0" w:after="0"/>
        <w:jc w:val="right"/>
        <w:rPr>
          <w:rFonts w:ascii="Times New Roman" w:hAnsi="Times New Roman"/>
          <w:b/>
          <w:i w:val="false"/>
          <w:caps w:val="false"/>
          <w:smallCaps w:val="false"/>
          <w:color w:val="000000"/>
          <w:sz w:val="22"/>
        </w:rPr>
      </w:pPr>
      <w:bookmarkStart w:id="78" w:name="avir-ex109_177.htm"/>
      <w:bookmarkStart w:id="79" w:name="ksavirex109_177"/>
      <w:bookmarkEnd w:id="78"/>
      <w:bookmarkEnd w:id="79"/>
      <w:r>
        <w:rPr>
          <w:rFonts w:ascii="Times New Roman" w:hAnsi="Times New Roman"/>
          <w:b/>
          <w:i w:val="false"/>
          <w:caps w:val="false"/>
          <w:smallCaps w:val="false"/>
          <w:color w:val="000000"/>
          <w:sz w:val="22"/>
        </w:rPr>
        <w:t>Exhibit 10.9</w:t>
      </w:r>
    </w:p>
    <w:p>
      <w:pPr>
        <w:pStyle w:val="TextBody"/>
        <w:spacing w:before="0" w:after="0"/>
        <w:jc w:val="right"/>
        <w:rPr/>
      </w:pPr>
      <w:r>
        <w:rPr/>
        <w:t> </w:t>
      </w:r>
    </w:p>
    <w:p>
      <w:pPr>
        <w:pStyle w:val="TextBody"/>
        <w:spacing w:before="0" w:after="0"/>
        <w:jc w:val="center"/>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Employment Agreement</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This Employment Agreement (this “</w:t>
      </w:r>
      <w:r>
        <w:rPr>
          <w:rFonts w:ascii="Times New Roman" w:hAnsi="Times New Roman"/>
          <w:b w:val="false"/>
          <w:i w:val="false"/>
          <w:caps w:val="false"/>
          <w:smallCaps w:val="false"/>
          <w:sz w:val="22"/>
          <w:u w:val="single"/>
        </w:rPr>
        <w:t>Agreement</w:t>
      </w:r>
      <w:r>
        <w:rPr>
          <w:rFonts w:ascii="Times New Roman" w:hAnsi="Times New Roman"/>
          <w:b w:val="false"/>
          <w:i w:val="false"/>
          <w:caps w:val="false"/>
          <w:smallCaps w:val="false"/>
          <w:sz w:val="22"/>
        </w:rPr>
        <w:t>”), dated as of November 3, 2020 (the “</w:t>
      </w:r>
      <w:r>
        <w:rPr>
          <w:rFonts w:ascii="Times New Roman" w:hAnsi="Times New Roman"/>
          <w:b w:val="false"/>
          <w:i w:val="false"/>
          <w:caps w:val="false"/>
          <w:smallCaps w:val="false"/>
          <w:sz w:val="22"/>
          <w:u w:val="single"/>
        </w:rPr>
        <w:t>Effective Date</w:t>
      </w:r>
      <w:r>
        <w:rPr>
          <w:rFonts w:ascii="Times New Roman" w:hAnsi="Times New Roman"/>
          <w:b w:val="false"/>
          <w:i w:val="false"/>
          <w:caps w:val="false"/>
          <w:smallCaps w:val="false"/>
          <w:sz w:val="22"/>
        </w:rPr>
        <w:t>”), is made by and between Atea Pharmaceuticals, Inc., a Delaware corporation (together with any successor thereto, the “</w:t>
      </w:r>
      <w:r>
        <w:rPr>
          <w:rFonts w:ascii="Times New Roman" w:hAnsi="Times New Roman"/>
          <w:b w:val="false"/>
          <w:i w:val="false"/>
          <w:caps w:val="false"/>
          <w:smallCaps w:val="false"/>
          <w:sz w:val="22"/>
          <w:u w:val="single"/>
        </w:rPr>
        <w:t>Company</w:t>
      </w:r>
      <w:r>
        <w:rPr>
          <w:rFonts w:ascii="Times New Roman" w:hAnsi="Times New Roman"/>
          <w:b w:val="false"/>
          <w:i w:val="false"/>
          <w:caps w:val="false"/>
          <w:smallCaps w:val="false"/>
          <w:sz w:val="22"/>
        </w:rPr>
        <w:t>”), and Maria Arantxa Horga, M.D. (“</w:t>
      </w:r>
      <w:r>
        <w:rPr>
          <w:rFonts w:ascii="Times New Roman" w:hAnsi="Times New Roman"/>
          <w:b w:val="false"/>
          <w:i w:val="false"/>
          <w:caps w:val="false"/>
          <w:smallCaps w:val="false"/>
          <w:sz w:val="22"/>
          <w:u w:val="single"/>
        </w:rPr>
        <w:t>Executive</w:t>
      </w:r>
      <w:r>
        <w:rPr>
          <w:rFonts w:ascii="Times New Roman" w:hAnsi="Times New Roman"/>
          <w:b w:val="false"/>
          <w:i w:val="false"/>
          <w:caps w:val="false"/>
          <w:smallCaps w:val="false"/>
          <w:sz w:val="22"/>
        </w:rPr>
        <w:t>”) (collectively referred to herein as the “</w:t>
      </w:r>
      <w:r>
        <w:rPr>
          <w:rFonts w:ascii="Times New Roman" w:hAnsi="Times New Roman"/>
          <w:b w:val="false"/>
          <w:i w:val="false"/>
          <w:caps w:val="false"/>
          <w:smallCaps w:val="false"/>
          <w:sz w:val="22"/>
          <w:u w:val="single"/>
        </w:rPr>
        <w:t>Parties</w:t>
      </w:r>
      <w:r>
        <w:rPr>
          <w:rFonts w:ascii="Times New Roman" w:hAnsi="Times New Roman"/>
          <w:b w:val="false"/>
          <w:i w:val="false"/>
          <w:caps w:val="false"/>
          <w:smallCaps w:val="false"/>
          <w:sz w:val="22"/>
        </w:rPr>
        <w:t>” or individually referred to as a “</w:t>
      </w:r>
      <w:r>
        <w:rPr>
          <w:rFonts w:ascii="Times New Roman" w:hAnsi="Times New Roman"/>
          <w:b w:val="false"/>
          <w:i w:val="false"/>
          <w:caps w:val="false"/>
          <w:smallCaps w:val="false"/>
          <w:sz w:val="22"/>
          <w:u w:val="single"/>
        </w:rPr>
        <w:t>Party</w:t>
      </w:r>
      <w:r>
        <w:rPr>
          <w:rFonts w:ascii="Times New Roman" w:hAnsi="Times New Roman"/>
          <w:b w:val="false"/>
          <w:i w:val="false"/>
          <w:caps w:val="false"/>
          <w:smallCaps w:val="false"/>
          <w:sz w:val="22"/>
        </w:rPr>
        <w:t xml:space="preserve">”).   </w:t>
      </w:r>
    </w:p>
    <w:p>
      <w:pPr>
        <w:pStyle w:val="TextBody"/>
        <w:spacing w:before="240" w:after="0"/>
        <w:jc w:val="center"/>
        <w:rPr>
          <w:rFonts w:ascii="Times New Roman" w:hAnsi="Times New Roman"/>
          <w:b/>
          <w:i w:val="false"/>
          <w:caps w:val="false"/>
          <w:smallCaps w:val="false"/>
          <w:sz w:val="22"/>
        </w:rPr>
      </w:pPr>
      <w:r>
        <w:rPr>
          <w:rFonts w:ascii="Times New Roman" w:hAnsi="Times New Roman"/>
          <w:b/>
          <w:i w:val="false"/>
          <w:caps w:val="false"/>
          <w:smallCaps w:val="false"/>
          <w:sz w:val="22"/>
        </w:rPr>
        <w:t>RECITALS</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w:t>
            </w:r>
          </w:p>
        </w:tc>
        <w:tc>
          <w:tcPr>
            <w:tcW w:w="9960" w:type="dxa"/>
            <w:tcBorders/>
            <w:shd w:fill="auto" w:val="clear"/>
          </w:tcPr>
          <w:p>
            <w:pPr>
              <w:pStyle w:val="TableContents"/>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It is the desire of the Company to assure itself of the services of Executive as of the Effective Date and thereafter by entering into this Agreement.</w:t>
            </w:r>
          </w:p>
        </w:tc>
      </w:tr>
    </w:tbl>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w:t>
            </w:r>
          </w:p>
        </w:tc>
        <w:tc>
          <w:tcPr>
            <w:tcW w:w="9975" w:type="dxa"/>
            <w:tcBorders/>
            <w:shd w:fill="auto" w:val="clear"/>
          </w:tcPr>
          <w:p>
            <w:pPr>
              <w:pStyle w:val="TableContents"/>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Executive and the Company mutually desire that Executive provide services to the Company on the terms herein provided. </w:t>
            </w:r>
          </w:p>
        </w:tc>
      </w:tr>
    </w:tbl>
    <w:p>
      <w:pPr>
        <w:pStyle w:val="TextBody"/>
        <w:spacing w:before="240" w:after="0"/>
        <w:jc w:val="center"/>
        <w:rPr>
          <w:rFonts w:ascii="Times New Roman" w:hAnsi="Times New Roman"/>
          <w:b/>
          <w:i w:val="false"/>
          <w:caps w:val="false"/>
          <w:smallCaps w:val="false"/>
          <w:sz w:val="22"/>
        </w:rPr>
      </w:pPr>
      <w:r>
        <w:rPr>
          <w:rFonts w:ascii="Times New Roman" w:hAnsi="Times New Roman"/>
          <w:b/>
          <w:i w:val="false"/>
          <w:caps w:val="false"/>
          <w:smallCaps w:val="false"/>
          <w:sz w:val="22"/>
        </w:rPr>
        <w:t>AGREEMENT</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NOW, THEREFORE, in consideration of the foregoing and of the respective covenants and agreements set forth below, the Parties hereto agree as follows:</w:t>
      </w:r>
    </w:p>
    <w:p>
      <w:pPr>
        <w:pStyle w:val="TextBody"/>
        <w:spacing w:before="240" w:after="0"/>
        <w:ind w:left="720" w:right="0" w:hanging="0"/>
        <w:rPr>
          <w:rFonts w:ascii="Times New Roman Bold" w:hAnsi="Times New Roman Bold"/>
          <w:b/>
          <w:i w:val="false"/>
          <w:caps w:val="false"/>
          <w:smallCaps w:val="false"/>
          <w:sz w:val="20"/>
        </w:rPr>
      </w:pPr>
      <w:r>
        <w:rPr>
          <w:rFonts w:ascii="Times New Roman Bold" w:hAnsi="Times New Roman Bold"/>
          <w:b/>
          <w:i w:val="false"/>
          <w:caps w:val="false"/>
          <w:smallCaps w:val="false"/>
          <w:strike w:val="false"/>
          <w:dstrike w:val="false"/>
          <w:sz w:val="20"/>
          <w:u w:val="none"/>
          <w:effect w:val="none"/>
        </w:rPr>
        <w:t>1.</w:t>
      </w:r>
      <w:r>
        <w:rPr>
          <w:rFonts w:ascii="Times New Roman" w:hAnsi="Times New Roman"/>
          <w:b/>
          <w:i w:val="false"/>
          <w:caps w:val="false"/>
          <w:smallCaps w:val="false"/>
          <w:sz w:val="22"/>
          <w:u w:val="single"/>
        </w:rPr>
        <w:t>Employment</w:t>
      </w:r>
      <w:r>
        <w:rPr>
          <w:rFonts w:ascii="Times New Roman" w:hAnsi="Times New Roman"/>
          <w:b/>
          <w:i w:val="false"/>
          <w:caps w:val="false"/>
          <w:smallCaps w:val="false"/>
          <w:strike w:val="false"/>
          <w:dstrike w:val="false"/>
          <w:sz w:val="22"/>
          <w:u w:val="none"/>
          <w:effect w:val="none"/>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w:t>
      </w:r>
      <w:r>
        <w:rPr>
          <w:rFonts w:ascii="Times New Roman" w:hAnsi="Times New Roman"/>
          <w:b w:val="false"/>
          <w:i w:val="false"/>
          <w:caps w:val="false"/>
          <w:smallCaps w:val="false"/>
          <w:sz w:val="22"/>
          <w:u w:val="single"/>
        </w:rPr>
        <w:t>General</w:t>
      </w:r>
      <w:r>
        <w:rPr>
          <w:rFonts w:ascii="Times New Roman" w:hAnsi="Times New Roman"/>
          <w:b w:val="false"/>
          <w:i w:val="false"/>
          <w:caps w:val="false"/>
          <w:smallCaps w:val="false"/>
          <w:sz w:val="22"/>
        </w:rPr>
        <w:t xml:space="preserve">.  Effective on the Effective Date, the Company shall employ Executive, and Executive shall be employed by the Company, for the period and in the positions set forth in this </w:t>
      </w:r>
      <w:r>
        <w:rPr>
          <w:rFonts w:ascii="Times New Roman" w:hAnsi="Times New Roman"/>
          <w:b w:val="false"/>
          <w:i w:val="false"/>
          <w:caps w:val="false"/>
          <w:smallCaps w:val="false"/>
          <w:sz w:val="22"/>
          <w:u w:val="single"/>
        </w:rPr>
        <w:t>Section 1</w:t>
      </w:r>
      <w:r>
        <w:rPr>
          <w:rFonts w:ascii="Times New Roman" w:hAnsi="Times New Roman"/>
          <w:b w:val="false"/>
          <w:i w:val="false"/>
          <w:caps w:val="false"/>
          <w:smallCaps w:val="false"/>
          <w:sz w:val="22"/>
        </w:rPr>
        <w:t>, and subject to the other terms and conditions herein provided.</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w:t>
      </w:r>
      <w:r>
        <w:rPr>
          <w:rFonts w:ascii="Times New Roman" w:hAnsi="Times New Roman"/>
          <w:b w:val="false"/>
          <w:i w:val="false"/>
          <w:caps w:val="false"/>
          <w:smallCaps w:val="false"/>
          <w:sz w:val="22"/>
          <w:u w:val="single"/>
        </w:rPr>
        <w:t>At-Will Employment</w:t>
      </w:r>
      <w:r>
        <w:rPr>
          <w:rFonts w:ascii="Times New Roman" w:hAnsi="Times New Roman"/>
          <w:b w:val="false"/>
          <w:i w:val="false"/>
          <w:caps w:val="false"/>
          <w:smallCaps w:val="false"/>
          <w:sz w:val="22"/>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 w:hAnsi="Times New Roman"/>
          <w:b w:val="false"/>
          <w:i w:val="false"/>
          <w:caps w:val="false"/>
          <w:smallCaps w:val="false"/>
          <w:sz w:val="22"/>
          <w:u w:val="single"/>
        </w:rPr>
        <w:t>Section 3(b)</w:t>
      </w:r>
      <w:r>
        <w:rPr>
          <w:rFonts w:ascii="Times New Roman" w:hAnsi="Times New Roman"/>
          <w:b w:val="false"/>
          <w:i w:val="false"/>
          <w:caps w:val="false"/>
          <w:smallCaps w:val="false"/>
          <w:sz w:val="22"/>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hAnsi="Times New Roman"/>
          <w:b w:val="false"/>
          <w:i w:val="false"/>
          <w:caps w:val="false"/>
          <w:smallCaps w:val="false"/>
          <w:sz w:val="22"/>
          <w:u w:val="single"/>
        </w:rPr>
        <w:t>Term</w:t>
      </w:r>
      <w:r>
        <w:rPr>
          <w:rFonts w:ascii="Times New Roman" w:hAnsi="Times New Roman"/>
          <w:b w:val="false"/>
          <w:i w:val="false"/>
          <w:caps w:val="false"/>
          <w:smallCaps w:val="false"/>
          <w:sz w:val="22"/>
        </w:rPr>
        <w:t xml:space="preserve">”) shall commence on the Effective Date and end on the date this Agreement is terminated under </w:t>
      </w:r>
      <w:r>
        <w:rPr>
          <w:rFonts w:ascii="Times New Roman" w:hAnsi="Times New Roman"/>
          <w:b w:val="false"/>
          <w:i w:val="false"/>
          <w:caps w:val="false"/>
          <w:smallCaps w:val="false"/>
          <w:sz w:val="22"/>
          <w:u w:val="single"/>
        </w:rPr>
        <w:t>Section 3</w:t>
      </w:r>
      <w:r>
        <w:rPr>
          <w:rFonts w:ascii="Times New Roman" w:hAnsi="Times New Roman"/>
          <w:b w:val="false"/>
          <w:i w:val="false"/>
          <w:caps w:val="false"/>
          <w:smallCaps w:val="false"/>
          <w:sz w:val="22"/>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w:t>
      </w:r>
      <w:r>
        <w:rPr>
          <w:rFonts w:ascii="Times New Roman" w:hAnsi="Times New Roman"/>
          <w:b w:val="false"/>
          <w:i w:val="false"/>
          <w:caps w:val="false"/>
          <w:smallCaps w:val="false"/>
          <w:sz w:val="22"/>
          <w:u w:val="single"/>
        </w:rPr>
        <w:t>Positions and Duties</w:t>
      </w:r>
      <w:r>
        <w:rPr>
          <w:rFonts w:ascii="Times New Roman" w:hAnsi="Times New Roman"/>
          <w:b w:val="false"/>
          <w:i w:val="false"/>
          <w:caps w:val="false"/>
          <w:smallCaps w:val="false"/>
          <w:sz w:val="22"/>
        </w:rPr>
        <w:t>.  During the Term, Executive shall serve as Acting Chief Medical Officer and Executive Vice President, Clinical Sciences of the Company, with such responsibilities, duties and authority normally associated with such position and as may from time to time be assigned to Executive by the Chief Executive Officer of the Company (the “</w:t>
      </w:r>
      <w:r>
        <w:rPr>
          <w:rFonts w:ascii="Times New Roman" w:hAnsi="Times New Roman"/>
          <w:b w:val="false"/>
          <w:i w:val="false"/>
          <w:caps w:val="false"/>
          <w:smallCaps w:val="false"/>
          <w:sz w:val="22"/>
          <w:u w:val="single"/>
        </w:rPr>
        <w:t>CEO</w:t>
      </w:r>
      <w:r>
        <w:rPr>
          <w:rFonts w:ascii="Times New Roman" w:hAnsi="Times New Roman"/>
          <w:b w:val="false"/>
          <w:i w:val="false"/>
          <w:caps w:val="false"/>
          <w:smallCaps w:val="false"/>
          <w:sz w:val="22"/>
        </w:rPr>
        <w:t xml:space="preserve">”) or Executive’s direct supervisor.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provided that Executive shall be permitted to (i) manage Executive’s personal, financial and legal affairs, (ii) participate in trade associations, and (iii) serve on the board of directors of not-for-profit or tax-exempt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Company as adopted by the Company from time to time, in each case, as amended from time to time, and as delivered or made available to Executive (each, a “</w:t>
      </w:r>
      <w:r>
        <w:rPr>
          <w:rFonts w:ascii="Times New Roman" w:hAnsi="Times New Roman"/>
          <w:b w:val="false"/>
          <w:i w:val="false"/>
          <w:caps w:val="false"/>
          <w:smallCaps w:val="false"/>
          <w:sz w:val="22"/>
          <w:u w:val="single"/>
        </w:rPr>
        <w:t>Policy</w:t>
      </w:r>
      <w:r>
        <w:rPr>
          <w:rFonts w:ascii="Times New Roman" w:hAnsi="Times New Roman"/>
          <w:b w:val="false"/>
          <w:i w:val="false"/>
          <w:caps w:val="false"/>
          <w:smallCaps w:val="false"/>
          <w:sz w:val="22"/>
        </w:rPr>
        <w:t xml:space="preserve">”). </w:t>
      </w:r>
    </w:p>
    <w:p>
      <w:pPr>
        <w:pStyle w:val="TextBody"/>
        <w:spacing w:before="240" w:after="0"/>
        <w:ind w:left="720" w:right="0" w:hanging="0"/>
        <w:rPr>
          <w:rFonts w:ascii="Times New Roman Bold" w:hAnsi="Times New Roman Bold"/>
          <w:b/>
          <w:i w:val="false"/>
          <w:caps w:val="false"/>
          <w:smallCaps w:val="false"/>
          <w:sz w:val="20"/>
        </w:rPr>
      </w:pPr>
      <w:r>
        <w:rPr>
          <w:rFonts w:ascii="Times New Roman Bold" w:hAnsi="Times New Roman Bold"/>
          <w:b/>
          <w:i w:val="false"/>
          <w:caps w:val="false"/>
          <w:smallCaps w:val="false"/>
          <w:strike w:val="false"/>
          <w:dstrike w:val="false"/>
          <w:sz w:val="20"/>
          <w:u w:val="none"/>
          <w:effect w:val="none"/>
        </w:rPr>
        <w:t>2.</w:t>
      </w:r>
      <w:r>
        <w:rPr>
          <w:rFonts w:ascii="Times New Roman" w:hAnsi="Times New Roman"/>
          <w:b/>
          <w:i w:val="false"/>
          <w:caps w:val="false"/>
          <w:smallCaps w:val="false"/>
          <w:sz w:val="22"/>
          <w:u w:val="single"/>
        </w:rPr>
        <w:t>Compensation and Related Matters</w:t>
      </w:r>
      <w:r>
        <w:rPr>
          <w:rFonts w:ascii="Times New Roman" w:hAnsi="Times New Roman"/>
          <w:b/>
          <w:i w:val="false"/>
          <w:caps w:val="false"/>
          <w:smallCaps w:val="false"/>
          <w:strike w:val="false"/>
          <w:dstrike w:val="false"/>
          <w:sz w:val="22"/>
          <w:u w:val="none"/>
          <w:effect w:val="none"/>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w:t>
      </w:r>
      <w:r>
        <w:rPr>
          <w:rFonts w:ascii="Times New Roman" w:hAnsi="Times New Roman"/>
          <w:b w:val="false"/>
          <w:i w:val="false"/>
          <w:caps w:val="false"/>
          <w:smallCaps w:val="false"/>
          <w:sz w:val="22"/>
          <w:u w:val="single"/>
        </w:rPr>
        <w:t>Annual Base Salary</w:t>
      </w:r>
      <w:r>
        <w:rPr>
          <w:rFonts w:ascii="Times New Roman" w:hAnsi="Times New Roman"/>
          <w:b w:val="false"/>
          <w:i w:val="false"/>
          <w:caps w:val="false"/>
          <w:smallCaps w:val="false"/>
          <w:sz w:val="22"/>
        </w:rPr>
        <w:t>.  During the Term, Executive shall receive a base salary at a rate of $400,000 per annum, which shall be paid in accordance with the customary payroll practices of the Company and shall be pro-rated for partial years of employment.  Such annual base salary shall be reviewed (and may be adjusted) from time to time by the Board of Directors of the Company or an authorized committee thereof (in either case, the “</w:t>
      </w:r>
      <w:r>
        <w:rPr>
          <w:rFonts w:ascii="Times New Roman" w:hAnsi="Times New Roman"/>
          <w:b w:val="false"/>
          <w:i w:val="false"/>
          <w:caps w:val="false"/>
          <w:smallCaps w:val="false"/>
          <w:sz w:val="22"/>
          <w:u w:val="single"/>
        </w:rPr>
        <w:t>Board</w:t>
      </w:r>
      <w:r>
        <w:rPr>
          <w:rFonts w:ascii="Times New Roman" w:hAnsi="Times New Roman"/>
          <w:b w:val="false"/>
          <w:i w:val="false"/>
          <w:caps w:val="false"/>
          <w:smallCaps w:val="false"/>
          <w:sz w:val="22"/>
        </w:rPr>
        <w:t>”) (such annual base salary, as it may be adjusted from time to time, the “</w:t>
      </w:r>
      <w:r>
        <w:rPr>
          <w:rFonts w:ascii="Times New Roman" w:hAnsi="Times New Roman"/>
          <w:b w:val="false"/>
          <w:i w:val="false"/>
          <w:caps w:val="false"/>
          <w:smallCaps w:val="false"/>
          <w:sz w:val="22"/>
          <w:u w:val="single"/>
        </w:rPr>
        <w:t>Annual Base Salary</w:t>
      </w:r>
      <w:r>
        <w:rPr>
          <w:rFonts w:ascii="Times New Roman" w:hAnsi="Times New Roman"/>
          <w:b w:val="false"/>
          <w:i w:val="false"/>
          <w:caps w:val="false"/>
          <w:smallCaps w:val="false"/>
          <w:sz w:val="22"/>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w:t>
      </w:r>
      <w:r>
        <w:rPr>
          <w:rFonts w:ascii="Times New Roman" w:hAnsi="Times New Roman"/>
          <w:b w:val="false"/>
          <w:i w:val="false"/>
          <w:caps w:val="false"/>
          <w:smallCaps w:val="false"/>
          <w:sz w:val="22"/>
          <w:u w:val="single"/>
        </w:rPr>
        <w:t>Annual Cash Bonus Opportunity</w:t>
      </w:r>
      <w:r>
        <w:rPr>
          <w:rFonts w:ascii="Times New Roman" w:hAnsi="Times New Roman"/>
          <w:b w:val="false"/>
          <w:i w:val="false"/>
          <w:caps w:val="false"/>
          <w:smallCaps w:val="false"/>
          <w:sz w:val="22"/>
        </w:rPr>
        <w:t>.  During the Term, Executive will be eligible to participate in an annual incentive program established by the Board.  Executive’s annual incentive compensation under such incentive program (the “</w:t>
      </w:r>
      <w:r>
        <w:rPr>
          <w:rFonts w:ascii="Times New Roman" w:hAnsi="Times New Roman"/>
          <w:b w:val="false"/>
          <w:i w:val="false"/>
          <w:caps w:val="false"/>
          <w:smallCaps w:val="false"/>
          <w:sz w:val="22"/>
          <w:u w:val="single"/>
        </w:rPr>
        <w:t>Annual Bonus</w:t>
      </w:r>
      <w:r>
        <w:rPr>
          <w:rFonts w:ascii="Times New Roman" w:hAnsi="Times New Roman"/>
          <w:b w:val="false"/>
          <w:i w:val="false"/>
          <w:caps w:val="false"/>
          <w:smallCaps w:val="false"/>
          <w:sz w:val="22"/>
        </w:rPr>
        <w:t>”) shall be targeted at 35% of Executive’s Annual Base Salary (such target, as may be adjusted by the Board from time to time, the “</w:t>
      </w:r>
      <w:r>
        <w:rPr>
          <w:rFonts w:ascii="Times New Roman" w:hAnsi="Times New Roman"/>
          <w:b w:val="false"/>
          <w:i w:val="false"/>
          <w:caps w:val="false"/>
          <w:smallCaps w:val="false"/>
          <w:sz w:val="22"/>
          <w:u w:val="single"/>
        </w:rPr>
        <w:t>Target Annual Bonus</w:t>
      </w:r>
      <w:r>
        <w:rPr>
          <w:rFonts w:ascii="Times New Roman" w:hAnsi="Times New Roman"/>
          <w:b w:val="false"/>
          <w:i w:val="false"/>
          <w:caps w:val="false"/>
          <w:smallCaps w:val="false"/>
          <w:sz w:val="22"/>
        </w:rPr>
        <w:t xml:space="preserve">”).  The Annual Bonus payable under the incentive program shall be based on the achievement of performance goals to be determined by the Board and may in the Board’s discretion be calculated in a manner intended to reflect any mid-year changes in Annual Base Salary or Target Annual Bonus.  The payment of any Annual Bonus pursuant to the incentive program shall be subject to Executive’s continued employment with the Company through the date of payment, except as otherwise provided in </w:t>
      </w:r>
      <w:r>
        <w:rPr>
          <w:rFonts w:ascii="Times New Roman" w:hAnsi="Times New Roman"/>
          <w:b w:val="false"/>
          <w:i w:val="false"/>
          <w:caps w:val="false"/>
          <w:smallCaps w:val="false"/>
          <w:sz w:val="22"/>
          <w:u w:val="single"/>
        </w:rPr>
        <w:t>Section 4(b)</w:t>
      </w:r>
      <w:r>
        <w:rPr>
          <w:rFonts w:ascii="Times New Roman" w:hAnsi="Times New Roman"/>
          <w:b w:val="false"/>
          <w:i w:val="false"/>
          <w:caps w:val="false"/>
          <w:smallCaps w:val="false"/>
          <w:sz w:val="22"/>
        </w:rPr>
        <w:t xml:space="preserve">.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w:t>
      </w:r>
      <w:r>
        <w:rPr>
          <w:rFonts w:ascii="Times New Roman" w:hAnsi="Times New Roman"/>
          <w:b w:val="false"/>
          <w:i w:val="false"/>
          <w:caps w:val="false"/>
          <w:smallCaps w:val="false"/>
          <w:sz w:val="22"/>
          <w:u w:val="single"/>
        </w:rPr>
        <w:t>Benefits</w:t>
      </w:r>
      <w:r>
        <w:rPr>
          <w:rFonts w:ascii="Times New Roman" w:hAnsi="Times New Roman"/>
          <w:b w:val="false"/>
          <w:i w:val="false"/>
          <w:caps w:val="false"/>
          <w:smallCaps w:val="false"/>
          <w:sz w:val="22"/>
        </w:rPr>
        <w:t xml:space="preserve">.  During the Term, Executive shall be eligible to participate in employee benefit plans, programs and arrangements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 w:hAnsi="Times New Roman"/>
          <w:b w:val="false"/>
          <w:i w:val="false"/>
          <w:caps w:val="false"/>
          <w:smallCaps w:val="false"/>
          <w:sz w:val="22"/>
          <w:u w:val="single"/>
        </w:rPr>
        <w:t>Section 4</w:t>
      </w:r>
      <w:r>
        <w:rPr>
          <w:rFonts w:ascii="Times New Roman" w:hAnsi="Times New Roman"/>
          <w:b w:val="false"/>
          <w:i w:val="false"/>
          <w:caps w:val="false"/>
          <w:smallCaps w:val="false"/>
          <w:sz w:val="22"/>
        </w:rPr>
        <w:t xml:space="preserve"> of this Agreement.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w:t>
      </w:r>
      <w:r>
        <w:rPr>
          <w:rFonts w:ascii="Times New Roman" w:hAnsi="Times New Roman"/>
          <w:b w:val="false"/>
          <w:i w:val="false"/>
          <w:caps w:val="false"/>
          <w:smallCaps w:val="false"/>
          <w:sz w:val="22"/>
          <w:u w:val="single"/>
        </w:rPr>
        <w:t>Vacation</w:t>
      </w:r>
      <w:r>
        <w:rPr>
          <w:rFonts w:ascii="Times New Roman" w:hAnsi="Times New Roman"/>
          <w:b w:val="false"/>
          <w:i w:val="false"/>
          <w:caps w:val="false"/>
          <w:smallCaps w:val="false"/>
          <w:sz w:val="22"/>
        </w:rPr>
        <w:t xml:space="preserve">.  During the Term, Executive shall be entitled to paid personal leave in accordance with the Company’s Policies.  Any vacation shall be taken at the reasonable and mutual convenience of the Company and Executive.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w:t>
      </w:r>
      <w:r>
        <w:rPr>
          <w:rFonts w:ascii="Times New Roman" w:hAnsi="Times New Roman"/>
          <w:b w:val="false"/>
          <w:i w:val="false"/>
          <w:caps w:val="false"/>
          <w:smallCaps w:val="false"/>
          <w:sz w:val="22"/>
          <w:u w:val="single"/>
        </w:rPr>
        <w:t>Business Expenses</w:t>
      </w:r>
      <w:r>
        <w:rPr>
          <w:rFonts w:ascii="Times New Roman" w:hAnsi="Times New Roman"/>
          <w:b w:val="false"/>
          <w:i w:val="false"/>
          <w:caps w:val="false"/>
          <w:smallCaps w:val="false"/>
          <w:sz w:val="22"/>
        </w:rPr>
        <w:t>.  During the Term, the Company shall reimburse Executive for all reasonable travel and other business expenses incurred by Executive in the performance of Executive’s duties to the Company in accordance with the Company’s expense reimbursement Policy.</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w:t>
      </w:r>
      <w:r>
        <w:rPr>
          <w:rFonts w:ascii="Times New Roman" w:hAnsi="Times New Roman"/>
          <w:b w:val="false"/>
          <w:i w:val="false"/>
          <w:caps w:val="false"/>
          <w:smallCaps w:val="false"/>
          <w:sz w:val="22"/>
          <w:u w:val="single"/>
        </w:rPr>
        <w:t>Key Person Insurance</w:t>
      </w:r>
      <w:r>
        <w:rPr>
          <w:rFonts w:ascii="Times New Roman" w:hAnsi="Times New Roman"/>
          <w:b w:val="false"/>
          <w:i w:val="false"/>
          <w:caps w:val="false"/>
          <w:smallCaps w:val="false"/>
          <w:sz w:val="22"/>
        </w:rPr>
        <w:t xml:space="preserve">.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w:t>
      </w:r>
    </w:p>
    <w:p>
      <w:pPr>
        <w:pStyle w:val="HorizontalLine"/>
        <w:rPr/>
      </w:pPr>
      <w:r>
        <w:rPr/>
      </w:r>
    </w:p>
    <w:p>
      <w:pPr>
        <w:pStyle w:val="TextBody"/>
        <w:spacing w:before="0" w:after="0"/>
        <w:rPr/>
      </w:pPr>
      <w:r>
        <w:rPr/>
        <w:t> </w:t>
      </w:r>
    </w:p>
    <w:p>
      <w:pPr>
        <w:pStyle w:val="TextBody"/>
        <w:spacing w:before="240" w:after="0"/>
        <w:ind w:left="720" w:right="0" w:hanging="0"/>
        <w:rPr>
          <w:rFonts w:ascii="Times New Roman Bold" w:hAnsi="Times New Roman Bold"/>
          <w:b/>
          <w:i w:val="false"/>
          <w:caps w:val="false"/>
          <w:smallCaps w:val="false"/>
          <w:sz w:val="20"/>
        </w:rPr>
      </w:pPr>
      <w:r>
        <w:rPr>
          <w:rFonts w:ascii="Times New Roman Bold" w:hAnsi="Times New Roman Bold"/>
          <w:b/>
          <w:i w:val="false"/>
          <w:caps w:val="false"/>
          <w:smallCaps w:val="false"/>
          <w:strike w:val="false"/>
          <w:dstrike w:val="false"/>
          <w:sz w:val="20"/>
          <w:u w:val="none"/>
          <w:effect w:val="none"/>
        </w:rPr>
        <w:t>3.</w:t>
      </w:r>
      <w:r>
        <w:rPr>
          <w:rFonts w:ascii="Times New Roman" w:hAnsi="Times New Roman"/>
          <w:b/>
          <w:i w:val="false"/>
          <w:caps w:val="false"/>
          <w:smallCaps w:val="false"/>
          <w:sz w:val="22"/>
          <w:u w:val="single"/>
        </w:rPr>
        <w:t>Termination</w:t>
      </w:r>
      <w:r>
        <w:rPr>
          <w:rFonts w:ascii="Times New Roman" w:hAnsi="Times New Roman"/>
          <w:b/>
          <w:i w:val="false"/>
          <w:caps w:val="false"/>
          <w:smallCaps w:val="false"/>
          <w:strike w:val="false"/>
          <w:dstrike w:val="false"/>
          <w:sz w:val="22"/>
          <w:u w:val="none"/>
          <w:effect w:val="none"/>
        </w:rPr>
        <w:t>.</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Executive’s employment hereunder and the Term may be terminated by the Company or Executive, as applicable, without any breach of this Agreement under the following circumstances and the Term will end on the Date of Termination:</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w:t>
      </w:r>
      <w:r>
        <w:rPr>
          <w:rFonts w:ascii="Times New Roman" w:hAnsi="Times New Roman"/>
          <w:b w:val="false"/>
          <w:i w:val="false"/>
          <w:caps w:val="false"/>
          <w:smallCaps w:val="false"/>
          <w:sz w:val="22"/>
          <w:u w:val="single"/>
        </w:rPr>
        <w:t>Circumstances</w:t>
      </w:r>
      <w:r>
        <w:rPr>
          <w:rFonts w:ascii="Times New Roman" w:hAnsi="Times New Roman"/>
          <w:b w:val="false"/>
          <w:i w:val="false"/>
          <w:caps w:val="false"/>
          <w:smallCaps w:val="false"/>
          <w:sz w:val="22"/>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w:t>
      </w:r>
      <w:r>
        <w:rPr>
          <w:rFonts w:ascii="Times New Roman" w:hAnsi="Times New Roman"/>
          <w:b w:val="false"/>
          <w:i/>
          <w:caps w:val="false"/>
          <w:smallCaps w:val="false"/>
          <w:sz w:val="22"/>
        </w:rPr>
        <w:t>Death</w:t>
      </w:r>
      <w:r>
        <w:rPr>
          <w:rFonts w:ascii="Times New Roman" w:hAnsi="Times New Roman"/>
          <w:b w:val="false"/>
          <w:i w:val="false"/>
          <w:caps w:val="false"/>
          <w:smallCaps w:val="false"/>
          <w:sz w:val="22"/>
        </w:rPr>
        <w:t>.  Executive’s employment hereunder shall terminate upon Executive’s death.</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w:t>
      </w:r>
      <w:r>
        <w:rPr>
          <w:rFonts w:ascii="Times New Roman" w:hAnsi="Times New Roman"/>
          <w:b w:val="false"/>
          <w:i/>
          <w:caps w:val="false"/>
          <w:smallCaps w:val="false"/>
          <w:sz w:val="22"/>
        </w:rPr>
        <w:t>Disability</w:t>
      </w:r>
      <w:r>
        <w:rPr>
          <w:rFonts w:ascii="Times New Roman" w:hAnsi="Times New Roman"/>
          <w:b w:val="false"/>
          <w:i w:val="false"/>
          <w:caps w:val="false"/>
          <w:smallCaps w:val="false"/>
          <w:sz w:val="22"/>
        </w:rPr>
        <w:t>.  If Executive has incurred a Disability, as defined below, the Company may terminate Executive’s employment.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(iii)</w:t>
      </w:r>
      <w:r>
        <w:rPr>
          <w:rFonts w:ascii="Times New Roman" w:hAnsi="Times New Roman"/>
          <w:b w:val="false"/>
          <w:i/>
          <w:caps w:val="false"/>
          <w:smallCaps w:val="false"/>
          <w:sz w:val="22"/>
        </w:rPr>
        <w:t>Termination for Cause</w:t>
      </w:r>
      <w:r>
        <w:rPr>
          <w:rFonts w:ascii="Times New Roman" w:hAnsi="Times New Roman"/>
          <w:b w:val="false"/>
          <w:i w:val="false"/>
          <w:caps w:val="false"/>
          <w:smallCaps w:val="false"/>
          <w:sz w:val="22"/>
        </w:rPr>
        <w:t>.  The Company may terminate Executive’s employment for Cause, as defined below.</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(iv)</w:t>
      </w:r>
      <w:r>
        <w:rPr>
          <w:rFonts w:ascii="Times New Roman" w:hAnsi="Times New Roman"/>
          <w:b w:val="false"/>
          <w:i/>
          <w:caps w:val="false"/>
          <w:smallCaps w:val="false"/>
          <w:sz w:val="22"/>
        </w:rPr>
        <w:t>Termination without Cause</w:t>
      </w:r>
      <w:r>
        <w:rPr>
          <w:rFonts w:ascii="Times New Roman" w:hAnsi="Times New Roman"/>
          <w:b w:val="false"/>
          <w:i w:val="false"/>
          <w:caps w:val="false"/>
          <w:smallCaps w:val="false"/>
          <w:sz w:val="22"/>
        </w:rPr>
        <w:t>.  The Company may terminate Executive’s employment without Cause.</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(v)</w:t>
      </w:r>
      <w:r>
        <w:rPr>
          <w:rFonts w:ascii="Times New Roman" w:hAnsi="Times New Roman"/>
          <w:b w:val="false"/>
          <w:i/>
          <w:caps w:val="false"/>
          <w:smallCaps w:val="false"/>
          <w:sz w:val="22"/>
        </w:rPr>
        <w:t>Resignation from the Company with Good Reason.  </w:t>
      </w:r>
      <w:r>
        <w:rPr>
          <w:rFonts w:ascii="Times New Roman" w:hAnsi="Times New Roman"/>
          <w:b w:val="false"/>
          <w:i w:val="false"/>
          <w:caps w:val="false"/>
          <w:smallCaps w:val="false"/>
          <w:sz w:val="22"/>
        </w:rPr>
        <w:t>Executive may resign Executive’s employment with the Company with Good Reason, as defined below.</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(vi)</w:t>
      </w:r>
      <w:r>
        <w:rPr>
          <w:rFonts w:ascii="Times New Roman" w:hAnsi="Times New Roman"/>
          <w:b w:val="false"/>
          <w:i/>
          <w:caps w:val="false"/>
          <w:smallCaps w:val="false"/>
          <w:sz w:val="22"/>
        </w:rPr>
        <w:t>Resignation from the Company without Good Reason</w:t>
      </w:r>
      <w:r>
        <w:rPr>
          <w:rFonts w:ascii="Times New Roman" w:hAnsi="Times New Roman"/>
          <w:b w:val="false"/>
          <w:i w:val="false"/>
          <w:caps w:val="false"/>
          <w:smallCaps w:val="false"/>
          <w:sz w:val="22"/>
        </w:rPr>
        <w:t>.  Executive may resign Executive’s employment with the Company for any reason other than Good Reason or for no reason.</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w:t>
      </w:r>
      <w:r>
        <w:rPr>
          <w:rFonts w:ascii="Times New Roman" w:hAnsi="Times New Roman"/>
          <w:b w:val="false"/>
          <w:i w:val="false"/>
          <w:caps w:val="false"/>
          <w:smallCaps w:val="false"/>
          <w:sz w:val="22"/>
          <w:u w:val="single"/>
        </w:rPr>
        <w:t>Notice of Termination</w:t>
      </w:r>
      <w:r>
        <w:rPr>
          <w:rFonts w:ascii="Times New Roman" w:hAnsi="Times New Roman"/>
          <w:b w:val="false"/>
          <w:i w:val="false"/>
          <w:caps w:val="false"/>
          <w:smallCaps w:val="false"/>
          <w:sz w:val="22"/>
        </w:rPr>
        <w:t xml:space="preserve">.  Any termination of Executive’s employment by the Company or by Executive under this </w:t>
      </w:r>
      <w:r>
        <w:rPr>
          <w:rFonts w:ascii="Times New Roman" w:hAnsi="Times New Roman"/>
          <w:b w:val="false"/>
          <w:i w:val="false"/>
          <w:caps w:val="false"/>
          <w:smallCaps w:val="false"/>
          <w:sz w:val="22"/>
          <w:u w:val="single"/>
        </w:rPr>
        <w:t>Section 3</w:t>
      </w:r>
      <w:r>
        <w:rPr>
          <w:rFonts w:ascii="Times New Roman" w:hAnsi="Times New Roman"/>
          <w:b w:val="false"/>
          <w:i w:val="false"/>
          <w:caps w:val="false"/>
          <w:smallCaps w:val="false"/>
          <w:sz w:val="22"/>
        </w:rPr>
        <w:t xml:space="preserve"> (other than termination pursuant to </w:t>
      </w:r>
      <w:r>
        <w:rPr>
          <w:rFonts w:ascii="Times New Roman" w:hAnsi="Times New Roman"/>
          <w:b w:val="false"/>
          <w:i w:val="false"/>
          <w:caps w:val="false"/>
          <w:smallCaps w:val="false"/>
          <w:sz w:val="22"/>
          <w:u w:val="single"/>
        </w:rPr>
        <w:t>Section 3(a)(i))</w:t>
      </w:r>
      <w:r>
        <w:rPr>
          <w:rFonts w:ascii="Times New Roman" w:hAnsi="Times New Roman"/>
          <w:b w:val="false"/>
          <w:i w:val="false"/>
          <w:caps w:val="false"/>
          <w:smallCaps w:val="false"/>
          <w:sz w:val="22"/>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hAnsi="Times New Roman"/>
          <w:b w:val="false"/>
          <w:i w:val="false"/>
          <w:caps w:val="false"/>
          <w:smallCaps w:val="false"/>
          <w:sz w:val="22"/>
          <w:u w:val="single"/>
        </w:rPr>
        <w:t>Notice of Termination</w:t>
      </w:r>
      <w:r>
        <w:rPr>
          <w:rFonts w:ascii="Times New Roman" w:hAnsi="Times New Roman"/>
          <w:b w:val="false"/>
          <w:i w:val="false"/>
          <w:caps w:val="false"/>
          <w:smallCaps w:val="false"/>
          <w:sz w:val="22"/>
        </w:rPr>
        <w:t xml:space="preserve">”); </w:t>
      </w:r>
      <w:r>
        <w:rPr>
          <w:rFonts w:ascii="Times New Roman" w:hAnsi="Times New Roman"/>
          <w:b w:val="false"/>
          <w:i/>
          <w:caps w:val="false"/>
          <w:smallCaps w:val="false"/>
          <w:sz w:val="22"/>
        </w:rPr>
        <w:t>provided, however</w:t>
      </w:r>
      <w:r>
        <w:rPr>
          <w:rFonts w:ascii="Times New Roman" w:hAnsi="Times New Roman"/>
          <w:b w:val="false"/>
          <w:i w:val="false"/>
          <w:caps w:val="false"/>
          <w:smallCaps w:val="false"/>
          <w:sz w:val="22"/>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w:t>
      </w:r>
      <w:r>
        <w:rPr>
          <w:rFonts w:ascii="Times New Roman" w:hAnsi="Times New Roman"/>
          <w:b w:val="false"/>
          <w:i w:val="false"/>
          <w:caps w:val="false"/>
          <w:smallCaps w:val="false"/>
          <w:sz w:val="22"/>
          <w:u w:val="single"/>
        </w:rPr>
        <w:t>Company Obligations upon Termination</w:t>
      </w:r>
      <w:r>
        <w:rPr>
          <w:rFonts w:ascii="Times New Roman" w:hAnsi="Times New Roman"/>
          <w:b w:val="false"/>
          <w:i w:val="false"/>
          <w:caps w:val="false"/>
          <w:smallCaps w:val="false"/>
          <w:sz w:val="22"/>
        </w:rPr>
        <w:t xml:space="preserve">.  Upon termination of Executive’s employment pursuant to any of the circumstances listed in this </w:t>
      </w:r>
      <w:r>
        <w:rPr>
          <w:rFonts w:ascii="Times New Roman" w:hAnsi="Times New Roman"/>
          <w:b w:val="false"/>
          <w:i w:val="false"/>
          <w:caps w:val="false"/>
          <w:smallCaps w:val="false"/>
          <w:sz w:val="22"/>
          <w:u w:val="single"/>
        </w:rPr>
        <w:t>Section 3</w:t>
      </w:r>
      <w:r>
        <w:rPr>
          <w:rFonts w:ascii="Times New Roman" w:hAnsi="Times New Roman"/>
          <w:b w:val="false"/>
          <w:i w:val="false"/>
          <w:caps w:val="false"/>
          <w:smallCaps w:val="false"/>
          <w:sz w:val="22"/>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Times New Roman" w:hAnsi="Times New Roman"/>
          <w:b w:val="false"/>
          <w:i w:val="false"/>
          <w:caps w:val="false"/>
          <w:smallCaps w:val="false"/>
          <w:sz w:val="22"/>
          <w:u w:val="single"/>
        </w:rPr>
        <w:t>Section 2(e)</w:t>
      </w:r>
      <w:r>
        <w:rPr>
          <w:rFonts w:ascii="Times New Roman" w:hAnsi="Times New Roman"/>
          <w:b w:val="false"/>
          <w:i w:val="false"/>
          <w:caps w:val="false"/>
          <w:smallCaps w:val="false"/>
          <w:sz w:val="22"/>
        </w:rPr>
        <w:t xml:space="preserve">; and (iii) any amount accrued and arising from Executive’s participation in, or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benefits accrued under any employee benefit plans, programs or arrangements, which amounts shall be payable in accordance with the terms and conditions of such employee benefit plans, programs or arrangements (collectively, the “</w:t>
      </w:r>
      <w:r>
        <w:rPr>
          <w:rFonts w:ascii="Times New Roman" w:hAnsi="Times New Roman"/>
          <w:b w:val="false"/>
          <w:i w:val="false"/>
          <w:caps w:val="false"/>
          <w:smallCaps w:val="false"/>
          <w:sz w:val="22"/>
          <w:u w:val="single"/>
        </w:rPr>
        <w:t>Company Arrangements</w:t>
      </w:r>
      <w:r>
        <w:rPr>
          <w:rFonts w:ascii="Times New Roman" w:hAnsi="Times New Roman"/>
          <w:b w:val="false"/>
          <w:i w:val="false"/>
          <w:caps w:val="false"/>
          <w:smallCaps w:val="false"/>
          <w:sz w:val="22"/>
        </w:rPr>
        <w:t>”).  Except as otherwise expressly required by law (</w:t>
      </w:r>
      <w:r>
        <w:rPr>
          <w:rFonts w:ascii="Times New Roman" w:hAnsi="Times New Roman"/>
          <w:b w:val="false"/>
          <w:i w:val="false"/>
          <w:caps w:val="false"/>
          <w:smallCaps w:val="false"/>
          <w:sz w:val="22"/>
          <w:u w:val="single"/>
        </w:rPr>
        <w:t>e.g.</w:t>
      </w:r>
      <w:r>
        <w:rPr>
          <w:rFonts w:ascii="Times New Roman" w:hAnsi="Times New Roman"/>
          <w:b w:val="false"/>
          <w:i w:val="false"/>
          <w:caps w:val="false"/>
          <w:smallCaps w:val="false"/>
          <w:sz w:val="22"/>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Times New Roman" w:hAnsi="Times New Roman"/>
          <w:b w:val="false"/>
          <w:i w:val="false"/>
          <w:caps w:val="false"/>
          <w:smallCaps w:val="false"/>
          <w:sz w:val="22"/>
          <w:u w:val="single"/>
        </w:rPr>
        <w:t xml:space="preserve">Section 3(c) </w:t>
      </w:r>
      <w:r>
        <w:rPr>
          <w:rFonts w:ascii="Times New Roman" w:hAnsi="Times New Roman"/>
          <w:b w:val="false"/>
          <w:i w:val="false"/>
          <w:caps w:val="false"/>
          <w:smallCaps w:val="false"/>
          <w:sz w:val="22"/>
        </w:rPr>
        <w:t xml:space="preserve">or </w:t>
      </w:r>
      <w:r>
        <w:rPr>
          <w:rFonts w:ascii="Times New Roman" w:hAnsi="Times New Roman"/>
          <w:b w:val="false"/>
          <w:i w:val="false"/>
          <w:caps w:val="false"/>
          <w:smallCaps w:val="false"/>
          <w:sz w:val="22"/>
          <w:u w:val="single"/>
        </w:rPr>
        <w:t>Section 4</w:t>
      </w:r>
      <w:r>
        <w:rPr>
          <w:rFonts w:ascii="Times New Roman" w:hAnsi="Times New Roman"/>
          <w:b w:val="false"/>
          <w:i w:val="false"/>
          <w:caps w:val="false"/>
          <w:smallCaps w:val="false"/>
          <w:sz w:val="22"/>
        </w:rPr>
        <w:t>, as applicable.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w:t>
      </w:r>
      <w:r>
        <w:rPr>
          <w:rFonts w:ascii="Times New Roman" w:hAnsi="Times New Roman"/>
          <w:b w:val="false"/>
          <w:i w:val="false"/>
          <w:caps w:val="false"/>
          <w:smallCaps w:val="false"/>
          <w:sz w:val="22"/>
          <w:u w:val="single"/>
        </w:rPr>
        <w:t>Deemed Resignation</w:t>
      </w:r>
      <w:r>
        <w:rPr>
          <w:rFonts w:ascii="Times New Roman" w:hAnsi="Times New Roman"/>
          <w:b w:val="false"/>
          <w:i w:val="false"/>
          <w:caps w:val="false"/>
          <w:smallCaps w:val="false"/>
          <w:sz w:val="22"/>
        </w:rPr>
        <w:t>.  Upon termination of Executive’s employment for any reason, Executive shall be deemed to have resigned from all offices and directorships, if any, then held with the Company or any of its subsidiaries.</w:t>
      </w:r>
    </w:p>
    <w:p>
      <w:pPr>
        <w:pStyle w:val="TextBody"/>
        <w:spacing w:before="240" w:after="0"/>
        <w:ind w:left="720" w:right="0" w:hanging="0"/>
        <w:rPr>
          <w:rFonts w:ascii="Times New Roman Bold" w:hAnsi="Times New Roman Bold"/>
          <w:b/>
          <w:i w:val="false"/>
          <w:caps w:val="false"/>
          <w:smallCaps w:val="false"/>
          <w:sz w:val="20"/>
        </w:rPr>
      </w:pPr>
      <w:r>
        <w:rPr>
          <w:rFonts w:ascii="Times New Roman Bold" w:hAnsi="Times New Roman Bold"/>
          <w:b/>
          <w:i w:val="false"/>
          <w:caps w:val="false"/>
          <w:smallCaps w:val="false"/>
          <w:strike w:val="false"/>
          <w:dstrike w:val="false"/>
          <w:sz w:val="20"/>
          <w:u w:val="none"/>
          <w:effect w:val="none"/>
        </w:rPr>
        <w:t>4.</w:t>
      </w:r>
      <w:r>
        <w:rPr>
          <w:rFonts w:ascii="Times New Roman" w:hAnsi="Times New Roman"/>
          <w:b/>
          <w:i w:val="false"/>
          <w:caps w:val="false"/>
          <w:smallCaps w:val="false"/>
          <w:sz w:val="22"/>
          <w:u w:val="single"/>
        </w:rPr>
        <w:t>Severance Payments</w:t>
      </w:r>
      <w:r>
        <w:rPr>
          <w:rFonts w:ascii="Times New Roman" w:hAnsi="Times New Roman"/>
          <w:b/>
          <w:i w:val="false"/>
          <w:caps w:val="false"/>
          <w:smallCaps w:val="false"/>
          <w:strike w:val="false"/>
          <w:dstrike w:val="false"/>
          <w:sz w:val="22"/>
          <w:u w:val="none"/>
          <w:effect w:val="none"/>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w:t>
      </w:r>
      <w:r>
        <w:rPr>
          <w:rFonts w:ascii="Times New Roman" w:hAnsi="Times New Roman"/>
          <w:b w:val="false"/>
          <w:i w:val="false"/>
          <w:caps w:val="false"/>
          <w:smallCaps w:val="false"/>
          <w:sz w:val="22"/>
          <w:u w:val="single"/>
        </w:rPr>
        <w:t>Termination for Cause, or Termination Upon Death, Disability or Resignation from the Company Without Good Reason</w:t>
      </w:r>
      <w:r>
        <w:rPr>
          <w:rFonts w:ascii="Times New Roman" w:hAnsi="Times New Roman"/>
          <w:b w:val="false"/>
          <w:i w:val="false"/>
          <w:caps w:val="false"/>
          <w:smallCaps w:val="false"/>
          <w:sz w:val="22"/>
        </w:rPr>
        <w:t xml:space="preserve">.  If Executive’s employment shall terminate as a result of Executive’s death pursuant to </w:t>
      </w:r>
      <w:r>
        <w:rPr>
          <w:rFonts w:ascii="Times New Roman" w:hAnsi="Times New Roman"/>
          <w:b w:val="false"/>
          <w:i w:val="false"/>
          <w:caps w:val="false"/>
          <w:smallCaps w:val="false"/>
          <w:sz w:val="22"/>
          <w:u w:val="single"/>
        </w:rPr>
        <w:t>Section 3(a)(i)</w:t>
      </w:r>
      <w:r>
        <w:rPr>
          <w:rFonts w:ascii="Times New Roman" w:hAnsi="Times New Roman"/>
          <w:b w:val="false"/>
          <w:i w:val="false"/>
          <w:caps w:val="false"/>
          <w:smallCaps w:val="false"/>
          <w:sz w:val="22"/>
        </w:rPr>
        <w:t xml:space="preserve"> or Disability pursuant to </w:t>
      </w:r>
      <w:r>
        <w:rPr>
          <w:rFonts w:ascii="Times New Roman" w:hAnsi="Times New Roman"/>
          <w:b w:val="false"/>
          <w:i w:val="false"/>
          <w:caps w:val="false"/>
          <w:smallCaps w:val="false"/>
          <w:sz w:val="22"/>
          <w:u w:val="single"/>
        </w:rPr>
        <w:t>Section 3(a)(ii)</w:t>
      </w:r>
      <w:r>
        <w:rPr>
          <w:rFonts w:ascii="Times New Roman" w:hAnsi="Times New Roman"/>
          <w:b w:val="false"/>
          <w:i w:val="false"/>
          <w:caps w:val="false"/>
          <w:smallCaps w:val="false"/>
          <w:sz w:val="22"/>
        </w:rPr>
        <w:t xml:space="preserve">, pursuant to </w:t>
      </w:r>
      <w:r>
        <w:rPr>
          <w:rFonts w:ascii="Times New Roman" w:hAnsi="Times New Roman"/>
          <w:b w:val="false"/>
          <w:i w:val="false"/>
          <w:caps w:val="false"/>
          <w:smallCaps w:val="false"/>
          <w:sz w:val="22"/>
          <w:u w:val="single"/>
        </w:rPr>
        <w:t>Section 3(a)(iii)</w:t>
      </w:r>
      <w:r>
        <w:rPr>
          <w:rFonts w:ascii="Times New Roman" w:hAnsi="Times New Roman"/>
          <w:b w:val="false"/>
          <w:i w:val="false"/>
          <w:caps w:val="false"/>
          <w:smallCaps w:val="false"/>
          <w:sz w:val="22"/>
        </w:rPr>
        <w:t xml:space="preserve"> for Cause, or pursuant to </w:t>
      </w:r>
      <w:r>
        <w:rPr>
          <w:rFonts w:ascii="Times New Roman" w:hAnsi="Times New Roman"/>
          <w:b w:val="false"/>
          <w:i w:val="false"/>
          <w:caps w:val="false"/>
          <w:smallCaps w:val="false"/>
          <w:sz w:val="22"/>
          <w:u w:val="single"/>
        </w:rPr>
        <w:t>Section 3(a)(vi)</w:t>
      </w:r>
      <w:r>
        <w:rPr>
          <w:rFonts w:ascii="Times New Roman" w:hAnsi="Times New Roman"/>
          <w:b w:val="false"/>
          <w:i w:val="false"/>
          <w:caps w:val="false"/>
          <w:smallCaps w:val="false"/>
          <w:sz w:val="22"/>
        </w:rPr>
        <w:t xml:space="preserve"> for Executive’s resignation from the Company without Good Reason, then Executive shall not be entitled to any severance payments or benefits, except as provided in </w:t>
      </w:r>
      <w:r>
        <w:rPr>
          <w:rFonts w:ascii="Times New Roman" w:hAnsi="Times New Roman"/>
          <w:b w:val="false"/>
          <w:i w:val="false"/>
          <w:caps w:val="false"/>
          <w:smallCaps w:val="false"/>
          <w:sz w:val="22"/>
          <w:u w:val="single"/>
        </w:rPr>
        <w:t>Section 3(c)</w:t>
      </w:r>
      <w:r>
        <w:rPr>
          <w:rFonts w:ascii="Times New Roman" w:hAnsi="Times New Roman"/>
          <w:b w:val="false"/>
          <w:i w:val="false"/>
          <w:caps w:val="false"/>
          <w:smallCaps w:val="false"/>
          <w:sz w:val="22"/>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w:t>
      </w:r>
      <w:r>
        <w:rPr>
          <w:rFonts w:ascii="Times New Roman" w:hAnsi="Times New Roman"/>
          <w:b w:val="false"/>
          <w:i w:val="false"/>
          <w:caps w:val="false"/>
          <w:smallCaps w:val="false"/>
          <w:sz w:val="22"/>
          <w:u w:val="single"/>
        </w:rPr>
        <w:t>Termination without Cause, or Resignation from the Company with Good Reason</w:t>
      </w:r>
      <w:r>
        <w:rPr>
          <w:rFonts w:ascii="Times New Roman" w:hAnsi="Times New Roman"/>
          <w:b w:val="false"/>
          <w:i w:val="false"/>
          <w:caps w:val="false"/>
          <w:smallCaps w:val="false"/>
          <w:sz w:val="22"/>
        </w:rPr>
        <w:t xml:space="preserve">.  If Executive’s employment terminates without Cause pursuant to </w:t>
      </w:r>
      <w:r>
        <w:rPr>
          <w:rFonts w:ascii="Times New Roman" w:hAnsi="Times New Roman"/>
          <w:b w:val="false"/>
          <w:i w:val="false"/>
          <w:caps w:val="false"/>
          <w:smallCaps w:val="false"/>
          <w:sz w:val="22"/>
          <w:u w:val="single"/>
        </w:rPr>
        <w:t>Section 3(a)(iv)</w:t>
      </w:r>
      <w:r>
        <w:rPr>
          <w:rFonts w:ascii="Times New Roman" w:hAnsi="Times New Roman"/>
          <w:b w:val="false"/>
          <w:i w:val="false"/>
          <w:caps w:val="false"/>
          <w:smallCaps w:val="false"/>
          <w:sz w:val="22"/>
        </w:rPr>
        <w:t xml:space="preserve">, or pursuant to </w:t>
      </w:r>
      <w:r>
        <w:rPr>
          <w:rFonts w:ascii="Times New Roman" w:hAnsi="Times New Roman"/>
          <w:b w:val="false"/>
          <w:i w:val="false"/>
          <w:caps w:val="false"/>
          <w:smallCaps w:val="false"/>
          <w:sz w:val="22"/>
          <w:u w:val="single"/>
        </w:rPr>
        <w:t>Section 3(a)(v)</w:t>
      </w:r>
      <w:r>
        <w:rPr>
          <w:rFonts w:ascii="Times New Roman" w:hAnsi="Times New Roman"/>
          <w:b w:val="false"/>
          <w:i w:val="false"/>
          <w:caps w:val="false"/>
          <w:smallCaps w:val="false"/>
          <w:sz w:val="22"/>
        </w:rPr>
        <w:t xml:space="preserve"> due to Executive’s resignation with Good Reason, then except as otherwise provided under </w:t>
      </w:r>
      <w:r>
        <w:rPr>
          <w:rFonts w:ascii="Times New Roman" w:hAnsi="Times New Roman"/>
          <w:b w:val="false"/>
          <w:i w:val="false"/>
          <w:caps w:val="false"/>
          <w:smallCaps w:val="false"/>
          <w:sz w:val="22"/>
          <w:u w:val="single"/>
        </w:rPr>
        <w:t>Section 4(c)</w:t>
      </w:r>
      <w:r>
        <w:rPr>
          <w:rFonts w:ascii="Times New Roman" w:hAnsi="Times New Roman"/>
          <w:b w:val="false"/>
          <w:i w:val="false"/>
          <w:caps w:val="false"/>
          <w:smallCaps w:val="false"/>
          <w:sz w:val="22"/>
        </w:rPr>
        <w:t xml:space="preserve"> and subject to Executive signing on or before the 21st day following Executive’s Separation from Service (as defined below), and not revoking, a release of claims substantially in the form attached as </w:t>
      </w:r>
      <w:r>
        <w:rPr>
          <w:rFonts w:ascii="Times New Roman" w:hAnsi="Times New Roman"/>
          <w:b w:val="false"/>
          <w:i w:val="false"/>
          <w:caps w:val="false"/>
          <w:smallCaps w:val="false"/>
          <w:sz w:val="22"/>
          <w:u w:val="single"/>
        </w:rPr>
        <w:t>Exhibit A</w:t>
      </w:r>
      <w:r>
        <w:rPr>
          <w:rFonts w:ascii="Times New Roman" w:hAnsi="Times New Roman"/>
          <w:b w:val="false"/>
          <w:i w:val="false"/>
          <w:caps w:val="false"/>
          <w:smallCaps w:val="false"/>
          <w:sz w:val="22"/>
        </w:rPr>
        <w:t xml:space="preserve"> to this Agreement (the “</w:t>
      </w:r>
      <w:r>
        <w:rPr>
          <w:rFonts w:ascii="Times New Roman" w:hAnsi="Times New Roman"/>
          <w:b w:val="false"/>
          <w:i w:val="false"/>
          <w:caps w:val="false"/>
          <w:smallCaps w:val="false"/>
          <w:sz w:val="22"/>
          <w:u w:val="single"/>
        </w:rPr>
        <w:t>Release</w:t>
      </w:r>
      <w:r>
        <w:rPr>
          <w:rFonts w:ascii="Times New Roman" w:hAnsi="Times New Roman"/>
          <w:b w:val="false"/>
          <w:i w:val="false"/>
          <w:caps w:val="false"/>
          <w:smallCaps w:val="false"/>
          <w:sz w:val="22"/>
        </w:rPr>
        <w:t xml:space="preserve">”) and Executive’s continued compliance with </w:t>
      </w:r>
      <w:r>
        <w:rPr>
          <w:rFonts w:ascii="Times New Roman" w:hAnsi="Times New Roman"/>
          <w:b w:val="false"/>
          <w:i w:val="false"/>
          <w:caps w:val="false"/>
          <w:smallCaps w:val="false"/>
          <w:sz w:val="22"/>
          <w:u w:val="single"/>
        </w:rPr>
        <w:t>Section 5</w:t>
      </w:r>
      <w:r>
        <w:rPr>
          <w:rFonts w:ascii="Times New Roman" w:hAnsi="Times New Roman"/>
          <w:b w:val="false"/>
          <w:i w:val="false"/>
          <w:caps w:val="false"/>
          <w:smallCaps w:val="false"/>
          <w:sz w:val="22"/>
        </w:rPr>
        <w:t xml:space="preserve">, Executive shall receive, in addition to payments and benefits set forth in </w:t>
      </w:r>
      <w:r>
        <w:rPr>
          <w:rFonts w:ascii="Times New Roman" w:hAnsi="Times New Roman"/>
          <w:b w:val="false"/>
          <w:i w:val="false"/>
          <w:caps w:val="false"/>
          <w:smallCaps w:val="false"/>
          <w:sz w:val="22"/>
          <w:u w:val="single"/>
        </w:rPr>
        <w:t>Section 3(c)</w:t>
      </w:r>
      <w:r>
        <w:rPr>
          <w:rFonts w:ascii="Times New Roman" w:hAnsi="Times New Roman"/>
          <w:b w:val="false"/>
          <w:i w:val="false"/>
          <w:caps w:val="false"/>
          <w:smallCaps w:val="false"/>
          <w:sz w:val="22"/>
        </w:rPr>
        <w:t>, the following:</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(i)an amount in cash equal to 1.0 times the Annual Base Salary, payable in the form of salary continuation in regular installments over the 12 month period following the date of Executive’s Separation from Service (the “</w:t>
      </w:r>
      <w:r>
        <w:rPr>
          <w:rFonts w:ascii="Times New Roman" w:hAnsi="Times New Roman"/>
          <w:b w:val="false"/>
          <w:i w:val="false"/>
          <w:caps w:val="false"/>
          <w:smallCaps w:val="false"/>
          <w:sz w:val="22"/>
          <w:u w:val="single"/>
        </w:rPr>
        <w:t>Severance Period</w:t>
      </w:r>
      <w:r>
        <w:rPr>
          <w:rFonts w:ascii="Times New Roman" w:hAnsi="Times New Roman"/>
          <w:b w:val="false"/>
          <w:i w:val="false"/>
          <w:caps w:val="false"/>
          <w:smallCaps w:val="false"/>
          <w:sz w:val="22"/>
        </w:rPr>
        <w:t>”) in accordance with the Company’s normal payroll practices;</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(ii)to the extent unpaid as of the Date of Termination, an amount of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(iii)if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hAnsi="Times New Roman"/>
          <w:b w:val="false"/>
          <w:i w:val="false"/>
          <w:caps w:val="false"/>
          <w:smallCaps w:val="false"/>
          <w:sz w:val="22"/>
          <w:u w:val="single"/>
        </w:rPr>
        <w:t>COBRA</w:t>
      </w:r>
      <w:r>
        <w:rPr>
          <w:rFonts w:ascii="Times New Roman" w:hAnsi="Times New Roman"/>
          <w:b w:val="false"/>
          <w:i w:val="false"/>
          <w:caps w:val="false"/>
          <w:smallCaps w:val="false"/>
          <w:sz w:val="22"/>
        </w:rPr>
        <w:t xml:space="preserve">”),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on the Date of Termination, during the period commencing on Executive’s Separation from Service and ending upon the earliest of (A) the last day of the Severance Period,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hAnsi="Times New Roman"/>
          <w:b w:val="false"/>
          <w:i w:val="false"/>
          <w:caps w:val="false"/>
          <w:smallCaps w:val="false"/>
          <w:sz w:val="22"/>
          <w:u w:val="single"/>
        </w:rPr>
        <w:t>COBRA Continuation Period</w:t>
      </w:r>
      <w:r>
        <w:rPr>
          <w:rFonts w:ascii="Times New Roman" w:hAnsi="Times New Roman"/>
          <w:b w:val="false"/>
          <w:i w:val="false"/>
          <w:caps w:val="false"/>
          <w:smallCaps w:val="false"/>
          <w:sz w:val="22"/>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such group health coverage as an active employee for Executive and his or her covered dependents based on the cost sharing levels in effect on the Date of Termination, which payments shall for the remainder of the COBRA Continuation Period.</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w:t>
      </w:r>
      <w:r>
        <w:rPr>
          <w:rFonts w:ascii="Times New Roman" w:hAnsi="Times New Roman"/>
          <w:b w:val="false"/>
          <w:i w:val="false"/>
          <w:caps w:val="false"/>
          <w:smallCaps w:val="false"/>
          <w:sz w:val="22"/>
          <w:u w:val="single"/>
        </w:rPr>
        <w:t>Change in Control</w:t>
      </w:r>
      <w:r>
        <w:rPr>
          <w:rFonts w:ascii="Times New Roman" w:hAnsi="Times New Roman"/>
          <w:b w:val="false"/>
          <w:i w:val="false"/>
          <w:caps w:val="false"/>
          <w:smallCaps w:val="false"/>
          <w:sz w:val="22"/>
        </w:rPr>
        <w:t xml:space="preserve">.  In lieu of the payments and benefits set forth in </w:t>
      </w:r>
      <w:r>
        <w:rPr>
          <w:rFonts w:ascii="Times New Roman" w:hAnsi="Times New Roman"/>
          <w:b w:val="false"/>
          <w:i w:val="false"/>
          <w:caps w:val="false"/>
          <w:smallCaps w:val="false"/>
          <w:sz w:val="22"/>
          <w:u w:val="single"/>
        </w:rPr>
        <w:t>Section 4(b)</w:t>
      </w:r>
      <w:r>
        <w:rPr>
          <w:rFonts w:ascii="Times New Roman" w:hAnsi="Times New Roman"/>
          <w:b w:val="false"/>
          <w:i w:val="false"/>
          <w:caps w:val="false"/>
          <w:smallCaps w:val="false"/>
          <w:sz w:val="22"/>
        </w:rPr>
        <w:t xml:space="preserve">, in the event Executive’s employment terminates without Cause pursuant to </w:t>
      </w:r>
      <w:r>
        <w:rPr>
          <w:rFonts w:ascii="Times New Roman" w:hAnsi="Times New Roman"/>
          <w:b w:val="false"/>
          <w:i w:val="false"/>
          <w:caps w:val="false"/>
          <w:smallCaps w:val="false"/>
          <w:sz w:val="22"/>
          <w:u w:val="single"/>
        </w:rPr>
        <w:t>Section 3(a)(iv)</w:t>
      </w:r>
      <w:r>
        <w:rPr>
          <w:rFonts w:ascii="Times New Roman" w:hAnsi="Times New Roman"/>
          <w:b w:val="false"/>
          <w:i w:val="false"/>
          <w:caps w:val="false"/>
          <w:smallCaps w:val="false"/>
          <w:sz w:val="22"/>
        </w:rPr>
        <w:t xml:space="preserve">, or pursuant to </w:t>
      </w:r>
      <w:r>
        <w:rPr>
          <w:rFonts w:ascii="Times New Roman" w:hAnsi="Times New Roman"/>
          <w:b w:val="false"/>
          <w:i w:val="false"/>
          <w:caps w:val="false"/>
          <w:smallCaps w:val="false"/>
          <w:sz w:val="22"/>
          <w:u w:val="single"/>
        </w:rPr>
        <w:t>Section 3(a)(v)</w:t>
      </w:r>
      <w:r>
        <w:rPr>
          <w:rFonts w:ascii="Times New Roman" w:hAnsi="Times New Roman"/>
          <w:b w:val="false"/>
          <w:i w:val="false"/>
          <w:caps w:val="false"/>
          <w:smallCaps w:val="false"/>
          <w:sz w:val="22"/>
        </w:rPr>
        <w:t xml:space="preserve"> 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Times New Roman" w:hAnsi="Times New Roman"/>
          <w:b w:val="false"/>
          <w:i w:val="false"/>
          <w:caps w:val="false"/>
          <w:smallCaps w:val="false"/>
          <w:sz w:val="22"/>
          <w:u w:val="single"/>
        </w:rPr>
        <w:t>Section 5</w:t>
      </w:r>
      <w:r>
        <w:rPr>
          <w:rFonts w:ascii="Times New Roman" w:hAnsi="Times New Roman"/>
          <w:b w:val="false"/>
          <w:i w:val="false"/>
          <w:caps w:val="false"/>
          <w:smallCaps w:val="false"/>
          <w:sz w:val="22"/>
        </w:rPr>
        <w:t xml:space="preserve">, Executive shall receive, in addition to the payments and benefits set forth in </w:t>
      </w:r>
      <w:r>
        <w:rPr>
          <w:rFonts w:ascii="Times New Roman" w:hAnsi="Times New Roman"/>
          <w:b w:val="false"/>
          <w:i w:val="false"/>
          <w:caps w:val="false"/>
          <w:smallCaps w:val="false"/>
          <w:sz w:val="22"/>
          <w:u w:val="single"/>
        </w:rPr>
        <w:t>Section 3(c)</w:t>
      </w:r>
      <w:r>
        <w:rPr>
          <w:rFonts w:ascii="Times New Roman" w:hAnsi="Times New Roman"/>
          <w:b w:val="false"/>
          <w:i w:val="false"/>
          <w:caps w:val="false"/>
          <w:smallCaps w:val="false"/>
          <w:sz w:val="22"/>
        </w:rPr>
        <w:t>, the following:</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(i)an amount in cash equal to 1.5 times the Annual Base Salary, payable in equal installments over the 18 month period following the date of Executive’s Separation from Service (the “</w:t>
      </w:r>
      <w:r>
        <w:rPr>
          <w:rFonts w:ascii="Times New Roman" w:hAnsi="Times New Roman"/>
          <w:b w:val="false"/>
          <w:i w:val="false"/>
          <w:caps w:val="false"/>
          <w:smallCaps w:val="false"/>
          <w:sz w:val="22"/>
          <w:u w:val="single"/>
        </w:rPr>
        <w:t>CIC Severance Period</w:t>
      </w:r>
      <w:r>
        <w:rPr>
          <w:rFonts w:ascii="Times New Roman" w:hAnsi="Times New Roman"/>
          <w:b w:val="false"/>
          <w:i w:val="false"/>
          <w:caps w:val="false"/>
          <w:smallCaps w:val="false"/>
          <w:sz w:val="22"/>
        </w:rPr>
        <w:t>”) in accordance with the Company’s normal payroll practices;</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(ii)the payment set forth in </w:t>
      </w:r>
      <w:r>
        <w:rPr>
          <w:rFonts w:ascii="Times New Roman" w:hAnsi="Times New Roman"/>
          <w:b w:val="false"/>
          <w:i w:val="false"/>
          <w:caps w:val="false"/>
          <w:smallCaps w:val="false"/>
          <w:sz w:val="22"/>
          <w:u w:val="single"/>
        </w:rPr>
        <w:t>Section 4(b)(ii)</w:t>
      </w:r>
      <w:r>
        <w:rPr>
          <w:rFonts w:ascii="Times New Roman" w:hAnsi="Times New Roman"/>
          <w:b w:val="false"/>
          <w:i w:val="false"/>
          <w:caps w:val="false"/>
          <w:smallCaps w:val="false"/>
          <w:sz w:val="22"/>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(iii)the benefits set forth in </w:t>
      </w:r>
      <w:r>
        <w:rPr>
          <w:rFonts w:ascii="Times New Roman" w:hAnsi="Times New Roman"/>
          <w:b w:val="false"/>
          <w:i w:val="false"/>
          <w:caps w:val="false"/>
          <w:smallCaps w:val="false"/>
          <w:sz w:val="22"/>
          <w:u w:val="single"/>
        </w:rPr>
        <w:t>Section 4(b)(iii)</w:t>
      </w:r>
      <w:r>
        <w:rPr>
          <w:rFonts w:ascii="Times New Roman" w:hAnsi="Times New Roman"/>
          <w:b w:val="false"/>
          <w:i w:val="false"/>
          <w:caps w:val="false"/>
          <w:smallCaps w:val="false"/>
          <w:sz w:val="22"/>
        </w:rPr>
        <w:t xml:space="preserve">, provided that for this purpose, the “Severance Period” will mean the CIC Severance Period;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(iv)an amount in cash equal to 1.5 times the Target Annual Bonus, payable in a lump sum on the Company’s first ordinary payroll date that occurs after the Date of Termination;</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(v)an amount in cash equal to a prorated portion of the Target Annual Bonus for the year in which the Date of Termination occurs, with such proration based on the portion of the year that Executive was employed by the Company prior to the Date of Termination, payable in a lump sum on the Company’s first ordinary payroll date that occurs after the Date of Termination; and</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(vi)all unvested equity or equity-based awards held by Executive under any Company equity compensation plans that vest solely based on continued employment or service shall immediately become 100% vested, with any other equity or equity-based awards being governed by the terms of the applicable award agreement.</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5</w:t>
      </w:r>
    </w:p>
    <w:p>
      <w:pPr>
        <w:pStyle w:val="HorizontalLine"/>
        <w:rPr/>
      </w:pPr>
      <w:r>
        <w:rPr/>
      </w:r>
    </w:p>
    <w:p>
      <w:pPr>
        <w:pStyle w:val="TextBody"/>
        <w:spacing w:before="0" w:after="0"/>
        <w:rPr/>
      </w:pPr>
      <w:r>
        <w:rPr/>
        <w:t>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w:t>
      </w:r>
      <w:r>
        <w:rPr>
          <w:rFonts w:ascii="Times New Roman" w:hAnsi="Times New Roman"/>
          <w:b w:val="false"/>
          <w:i w:val="false"/>
          <w:caps w:val="false"/>
          <w:smallCaps w:val="false"/>
          <w:sz w:val="22"/>
          <w:u w:val="single"/>
        </w:rPr>
        <w:t>Survival</w:t>
      </w:r>
      <w:r>
        <w:rPr>
          <w:rFonts w:ascii="Times New Roman" w:hAnsi="Times New Roman"/>
          <w:b w:val="false"/>
          <w:i w:val="false"/>
          <w:caps w:val="false"/>
          <w:smallCaps w:val="false"/>
          <w:sz w:val="22"/>
        </w:rPr>
        <w:t xml:space="preserve">.  Notwithstanding anything to the contrary in this Agreement, the provisions of </w:t>
      </w:r>
      <w:r>
        <w:rPr>
          <w:rFonts w:ascii="Times New Roman" w:hAnsi="Times New Roman"/>
          <w:b w:val="false"/>
          <w:i w:val="false"/>
          <w:caps w:val="false"/>
          <w:smallCaps w:val="false"/>
          <w:sz w:val="22"/>
          <w:u w:val="single"/>
        </w:rPr>
        <w:t>Sections 5</w:t>
      </w:r>
      <w:r>
        <w:rPr>
          <w:rFonts w:ascii="Times New Roman" w:hAnsi="Times New Roman"/>
          <w:b w:val="false"/>
          <w:i w:val="false"/>
          <w:caps w:val="false"/>
          <w:smallCaps w:val="false"/>
          <w:sz w:val="22"/>
        </w:rPr>
        <w:t xml:space="preserve"> through </w:t>
      </w:r>
      <w:r>
        <w:rPr>
          <w:rFonts w:ascii="Times New Roman" w:hAnsi="Times New Roman"/>
          <w:b w:val="false"/>
          <w:i w:val="false"/>
          <w:caps w:val="false"/>
          <w:smallCaps w:val="false"/>
          <w:sz w:val="22"/>
          <w:u w:val="single"/>
        </w:rPr>
        <w:t>9</w:t>
      </w:r>
      <w:r>
        <w:rPr>
          <w:rFonts w:ascii="Times New Roman" w:hAnsi="Times New Roman"/>
          <w:b w:val="false"/>
          <w:i w:val="false"/>
          <w:caps w:val="false"/>
          <w:smallCaps w:val="false"/>
          <w:sz w:val="22"/>
        </w:rPr>
        <w:t xml:space="preserve"> will survive the termination of Executive’s employment and the termination of the Term.</w:t>
      </w:r>
    </w:p>
    <w:p>
      <w:pPr>
        <w:pStyle w:val="TextBody"/>
        <w:spacing w:before="240" w:after="0"/>
        <w:ind w:left="720" w:right="0" w:hanging="0"/>
        <w:rPr>
          <w:rFonts w:ascii="Times New Roman Bold" w:hAnsi="Times New Roman Bold"/>
          <w:b/>
          <w:i w:val="false"/>
          <w:caps w:val="false"/>
          <w:smallCaps w:val="false"/>
          <w:sz w:val="20"/>
        </w:rPr>
      </w:pPr>
      <w:r>
        <w:rPr>
          <w:rFonts w:ascii="Times New Roman Bold" w:hAnsi="Times New Roman Bold"/>
          <w:b/>
          <w:i w:val="false"/>
          <w:caps w:val="false"/>
          <w:smallCaps w:val="false"/>
          <w:strike w:val="false"/>
          <w:dstrike w:val="false"/>
          <w:sz w:val="20"/>
          <w:u w:val="none"/>
          <w:effect w:val="none"/>
        </w:rPr>
        <w:t>5.</w:t>
      </w:r>
      <w:r>
        <w:rPr>
          <w:rFonts w:ascii="Times New Roman" w:hAnsi="Times New Roman"/>
          <w:b/>
          <w:i w:val="false"/>
          <w:caps w:val="false"/>
          <w:smallCaps w:val="false"/>
          <w:sz w:val="22"/>
          <w:u w:val="single"/>
        </w:rPr>
        <w:t>Restrictive Covenants</w:t>
      </w:r>
      <w:r>
        <w:rPr>
          <w:rFonts w:ascii="Times New Roman" w:hAnsi="Times New Roman"/>
          <w:b/>
          <w:i w:val="false"/>
          <w:caps w:val="false"/>
          <w:smallCaps w:val="false"/>
          <w:strike w:val="false"/>
          <w:dstrike w:val="false"/>
          <w:sz w:val="22"/>
          <w:u w:val="none"/>
          <w:effect w:val="none"/>
        </w:rPr>
        <w:t>.</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trike w:val="false"/>
          <w:dstrike w:val="false"/>
          <w:sz w:val="22"/>
          <w:u w:val="none"/>
          <w:effect w:val="none"/>
        </w:rPr>
        <w:t xml:space="preserve">As a condition to the effectiveness of this Agreement, Executive will have executed and delivered to the Company no later than contemporaneously herewith the Employee Proprietary Information and Inventions Assignment Agreement attached as </w:t>
      </w:r>
      <w:r>
        <w:rPr>
          <w:rFonts w:ascii="Times New Roman" w:hAnsi="Times New Roman"/>
          <w:b w:val="false"/>
          <w:i w:val="false"/>
          <w:caps w:val="false"/>
          <w:smallCaps w:val="false"/>
          <w:sz w:val="22"/>
          <w:u w:val="single"/>
        </w:rPr>
        <w:t>Exhibit B</w:t>
      </w:r>
      <w:r>
        <w:rPr>
          <w:rFonts w:ascii="Times New Roman" w:hAnsi="Times New Roman"/>
          <w:b w:val="false"/>
          <w:i w:val="false"/>
          <w:caps w:val="false"/>
          <w:smallCaps w:val="false"/>
          <w:strike w:val="false"/>
          <w:dstrike w:val="false"/>
          <w:sz w:val="22"/>
          <w:u w:val="none"/>
          <w:effect w:val="none"/>
        </w:rPr>
        <w:t xml:space="preserve"> (the “</w:t>
      </w:r>
      <w:r>
        <w:rPr>
          <w:rFonts w:ascii="Times New Roman" w:hAnsi="Times New Roman"/>
          <w:b w:val="false"/>
          <w:i w:val="false"/>
          <w:caps w:val="false"/>
          <w:smallCaps w:val="false"/>
          <w:sz w:val="22"/>
          <w:u w:val="single"/>
        </w:rPr>
        <w:t>Restrictive Covenant Agreement</w:t>
      </w:r>
      <w:r>
        <w:rPr>
          <w:rFonts w:ascii="Times New Roman" w:hAnsi="Times New Roman"/>
          <w:b w:val="false"/>
          <w:i w:val="false"/>
          <w:caps w:val="false"/>
          <w:smallCaps w:val="false"/>
          <w:strike w:val="false"/>
          <w:dstrike w:val="false"/>
          <w:sz w:val="22"/>
          <w:u w:val="none"/>
          <w:effect w:val="none"/>
        </w:rPr>
        <w: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pStyle w:val="TextBody"/>
        <w:spacing w:before="240" w:after="0"/>
        <w:ind w:left="720" w:right="0" w:hanging="0"/>
        <w:rPr>
          <w:rFonts w:ascii="Times New Roman Bold" w:hAnsi="Times New Roman Bold"/>
          <w:b/>
          <w:i w:val="false"/>
          <w:caps w:val="false"/>
          <w:smallCaps w:val="false"/>
          <w:sz w:val="20"/>
        </w:rPr>
      </w:pPr>
      <w:r>
        <w:rPr>
          <w:rFonts w:ascii="Times New Roman Bold" w:hAnsi="Times New Roman Bold"/>
          <w:b/>
          <w:i w:val="false"/>
          <w:caps w:val="false"/>
          <w:smallCaps w:val="false"/>
          <w:strike w:val="false"/>
          <w:dstrike w:val="false"/>
          <w:sz w:val="20"/>
          <w:u w:val="none"/>
          <w:effect w:val="none"/>
        </w:rPr>
        <w:t>6.</w:t>
      </w:r>
      <w:r>
        <w:rPr>
          <w:rFonts w:ascii="Times New Roman" w:hAnsi="Times New Roman"/>
          <w:b/>
          <w:i w:val="false"/>
          <w:caps w:val="false"/>
          <w:smallCaps w:val="false"/>
          <w:sz w:val="22"/>
          <w:u w:val="single"/>
        </w:rPr>
        <w:t>Assignment and Successors</w:t>
      </w:r>
      <w:r>
        <w:rPr>
          <w:rFonts w:ascii="Times New Roman" w:hAnsi="Times New Roman"/>
          <w:b/>
          <w:i w:val="false"/>
          <w:caps w:val="false"/>
          <w:smallCaps w:val="false"/>
          <w:strike w:val="false"/>
          <w:dstrike w:val="false"/>
          <w:sz w:val="22"/>
          <w:u w:val="none"/>
          <w:effect w:val="none"/>
        </w:rPr>
        <w:t>.</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  </w:t>
      </w:r>
    </w:p>
    <w:p>
      <w:pPr>
        <w:pStyle w:val="TextBody"/>
        <w:spacing w:before="240" w:after="0"/>
        <w:ind w:left="720" w:right="0" w:hanging="0"/>
        <w:rPr>
          <w:rFonts w:ascii="Times New Roman Bold" w:hAnsi="Times New Roman Bold"/>
          <w:b/>
          <w:i w:val="false"/>
          <w:caps w:val="false"/>
          <w:smallCaps w:val="false"/>
          <w:sz w:val="20"/>
        </w:rPr>
      </w:pPr>
      <w:r>
        <w:rPr>
          <w:rFonts w:ascii="Times New Roman Bold" w:hAnsi="Times New Roman Bold"/>
          <w:b/>
          <w:i w:val="false"/>
          <w:caps w:val="false"/>
          <w:smallCaps w:val="false"/>
          <w:strike w:val="false"/>
          <w:dstrike w:val="false"/>
          <w:sz w:val="20"/>
          <w:u w:val="none"/>
          <w:effect w:val="none"/>
        </w:rPr>
        <w:t>7.</w:t>
      </w:r>
      <w:r>
        <w:rPr>
          <w:rFonts w:ascii="Times New Roman" w:hAnsi="Times New Roman"/>
          <w:b/>
          <w:i w:val="false"/>
          <w:caps w:val="false"/>
          <w:smallCaps w:val="false"/>
          <w:sz w:val="22"/>
          <w:u w:val="single"/>
        </w:rPr>
        <w:t>Certain Definitions</w:t>
      </w:r>
      <w:r>
        <w:rPr>
          <w:rFonts w:ascii="Times New Roman" w:hAnsi="Times New Roman"/>
          <w:b/>
          <w:i w:val="false"/>
          <w:caps w:val="false"/>
          <w:smallCaps w:val="false"/>
          <w:strike w:val="false"/>
          <w:dstrike w:val="false"/>
          <w:sz w:val="22"/>
          <w:u w:val="none"/>
          <w:effect w:val="none"/>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w:t>
      </w:r>
      <w:r>
        <w:rPr>
          <w:rFonts w:ascii="Times New Roman" w:hAnsi="Times New Roman"/>
          <w:b w:val="false"/>
          <w:i w:val="false"/>
          <w:caps w:val="false"/>
          <w:smallCaps w:val="false"/>
          <w:sz w:val="22"/>
          <w:u w:val="single"/>
        </w:rPr>
        <w:t>Cause</w:t>
      </w:r>
      <w:r>
        <w:rPr>
          <w:rFonts w:ascii="Times New Roman" w:hAnsi="Times New Roman"/>
          <w:b w:val="false"/>
          <w:i w:val="false"/>
          <w:caps w:val="false"/>
          <w:smallCaps w:val="false"/>
          <w:sz w:val="22"/>
        </w:rPr>
        <w:t>.  The Company shall have “Cause” to terminate Executive’s employment hereunder upon:</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(i)The CEO’s reasonable, good faith determination that Executive has refused to (A) substantially perform the duties associated with Executive’s position with the Company or (B) carry out the reasonable and lawful instructions of the CEO concerning duties or actions consistent with the Executive’s position with the Company;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(ii)Executive’s breach of a material provision of this Agreement that, to the extent capable of cure, has remained uncured for a period of thirty (30) days following written notice from the Company;</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(iii)Executive’s conviction, plea of no contest, plea of </w:t>
      </w:r>
      <w:r>
        <w:rPr>
          <w:rFonts w:ascii="Times New Roman" w:hAnsi="Times New Roman"/>
          <w:b w:val="false"/>
          <w:i/>
          <w:caps w:val="false"/>
          <w:smallCaps w:val="false"/>
          <w:sz w:val="22"/>
        </w:rPr>
        <w:t>nolo contendere</w:t>
      </w:r>
      <w:r>
        <w:rPr>
          <w:rFonts w:ascii="Times New Roman" w:hAnsi="Times New Roman"/>
          <w:b w:val="false"/>
          <w:i w:val="false"/>
          <w:caps w:val="false"/>
          <w:smallCaps w:val="false"/>
          <w:sz w:val="22"/>
        </w:rPr>
        <w:t xml:space="preserve">, or imposition of unadjudicated probation for any felony or crime involving moral turpitude;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(iv)Executive’s unlawful use (including being under the influence) or possession of illegal drugs on the Company’s (or any of its affiliate’s) premises or while performing Executive’s duties and responsibilities under this Agreement; or</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6</w:t>
      </w:r>
    </w:p>
    <w:p>
      <w:pPr>
        <w:pStyle w:val="HorizontalLine"/>
        <w:rPr/>
      </w:pPr>
      <w:r>
        <w:rPr/>
      </w:r>
    </w:p>
    <w:p>
      <w:pPr>
        <w:pStyle w:val="TextBody"/>
        <w:spacing w:before="0" w:after="0"/>
        <w:rPr/>
      </w:pPr>
      <w:r>
        <w:rPr/>
        <w:t>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(v)Executive’s commission of any act of fraud, embezzlement, misappropriation, willful misconduct, or breach of fiduciary duty against the Company or any of its affiliates.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w:t>
      </w:r>
      <w:r>
        <w:rPr>
          <w:rFonts w:ascii="Times New Roman" w:hAnsi="Times New Roman"/>
          <w:b w:val="false"/>
          <w:i w:val="false"/>
          <w:caps w:val="false"/>
          <w:smallCaps w:val="false"/>
          <w:sz w:val="22"/>
          <w:u w:val="single"/>
        </w:rPr>
        <w:t>Change in Control</w:t>
      </w:r>
      <w:r>
        <w:rPr>
          <w:rFonts w:ascii="Times New Roman" w:hAnsi="Times New Roman"/>
          <w:b w:val="false"/>
          <w:i w:val="false"/>
          <w:caps w:val="false"/>
          <w:smallCaps w:val="false"/>
          <w:sz w:val="22"/>
        </w:rPr>
        <w:t xml:space="preserve">.  “Change in Control” shall have the meaning set forth in the Atea Pharmaceuticals, Inc. 2020 Incentive Award Plan, as in effect on the Effective Date.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w:t>
      </w:r>
      <w:r>
        <w:rPr>
          <w:rFonts w:ascii="Times New Roman" w:hAnsi="Times New Roman"/>
          <w:b w:val="false"/>
          <w:i w:val="false"/>
          <w:caps w:val="false"/>
          <w:smallCaps w:val="false"/>
          <w:sz w:val="22"/>
          <w:u w:val="single"/>
        </w:rPr>
        <w:t>Code</w:t>
      </w:r>
      <w:r>
        <w:rPr>
          <w:rFonts w:ascii="Times New Roman" w:hAnsi="Times New Roman"/>
          <w:b w:val="false"/>
          <w:i w:val="false"/>
          <w:caps w:val="false"/>
          <w:smallCaps w:val="false"/>
          <w:sz w:val="22"/>
        </w:rPr>
        <w:t>.  “Code” shall mean the Internal Revenue Code of 1986, as amended, and the regulations and guidance promulgated thereunder.</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w:t>
      </w:r>
      <w:r>
        <w:rPr>
          <w:rFonts w:ascii="Times New Roman" w:hAnsi="Times New Roman"/>
          <w:b w:val="false"/>
          <w:i w:val="false"/>
          <w:caps w:val="false"/>
          <w:smallCaps w:val="false"/>
          <w:sz w:val="22"/>
          <w:u w:val="single"/>
        </w:rPr>
        <w:t>Date of Termination</w:t>
      </w:r>
      <w:r>
        <w:rPr>
          <w:rFonts w:ascii="Times New Roman" w:hAnsi="Times New Roman"/>
          <w:b w:val="false"/>
          <w:i w:val="false"/>
          <w:caps w:val="false"/>
          <w:smallCaps w:val="false"/>
          <w:sz w:val="22"/>
        </w:rPr>
        <w:t xml:space="preserve">.  “Date of Termination” shall mean (i) if Executive’s employment is terminated by Executive’s death, the date of Executive’s death; or (ii) if Executive’s employment is terminated pursuant to </w:t>
      </w:r>
      <w:r>
        <w:rPr>
          <w:rFonts w:ascii="Times New Roman" w:hAnsi="Times New Roman"/>
          <w:b w:val="false"/>
          <w:i w:val="false"/>
          <w:caps w:val="false"/>
          <w:smallCaps w:val="false"/>
          <w:sz w:val="22"/>
          <w:u w:val="single"/>
        </w:rPr>
        <w:t>Section 3(a)(ii)</w:t>
      </w:r>
      <w:r>
        <w:rPr>
          <w:rFonts w:ascii="Times New Roman" w:hAnsi="Times New Roman"/>
          <w:b w:val="false"/>
          <w:i w:val="false"/>
          <w:caps w:val="false"/>
          <w:smallCaps w:val="false"/>
          <w:sz w:val="22"/>
        </w:rPr>
        <w:t xml:space="preserve"> – </w:t>
      </w:r>
      <w:r>
        <w:rPr>
          <w:rFonts w:ascii="Times New Roman" w:hAnsi="Times New Roman"/>
          <w:b w:val="false"/>
          <w:i w:val="false"/>
          <w:caps w:val="false"/>
          <w:smallCaps w:val="false"/>
          <w:sz w:val="22"/>
          <w:u w:val="single"/>
        </w:rPr>
        <w:t>(vi)</w:t>
      </w:r>
      <w:r>
        <w:rPr>
          <w:rFonts w:ascii="Times New Roman" w:hAnsi="Times New Roman"/>
          <w:b w:val="false"/>
          <w:i w:val="false"/>
          <w:caps w:val="false"/>
          <w:smallCaps w:val="false"/>
          <w:sz w:val="22"/>
        </w:rPr>
        <w:t xml:space="preserve"> either the date indicated in the Notice of Termination or the date specified by the Company pursuant to </w:t>
      </w:r>
      <w:r>
        <w:rPr>
          <w:rFonts w:ascii="Times New Roman" w:hAnsi="Times New Roman"/>
          <w:b w:val="false"/>
          <w:i w:val="false"/>
          <w:caps w:val="false"/>
          <w:smallCaps w:val="false"/>
          <w:sz w:val="22"/>
          <w:u w:val="single"/>
        </w:rPr>
        <w:t>Section 3(b)</w:t>
      </w:r>
      <w:r>
        <w:rPr>
          <w:rFonts w:ascii="Times New Roman" w:hAnsi="Times New Roman"/>
          <w:b w:val="false"/>
          <w:i w:val="false"/>
          <w:caps w:val="false"/>
          <w:smallCaps w:val="false"/>
          <w:sz w:val="22"/>
        </w:rPr>
        <w:t>, whichever is earlier.</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w:t>
      </w:r>
      <w:r>
        <w:rPr>
          <w:rFonts w:ascii="Times New Roman" w:hAnsi="Times New Roman"/>
          <w:b w:val="false"/>
          <w:i w:val="false"/>
          <w:caps w:val="false"/>
          <w:smallCaps w:val="false"/>
          <w:sz w:val="22"/>
          <w:u w:val="single"/>
        </w:rPr>
        <w:t>Disability</w:t>
      </w:r>
      <w:r>
        <w:rPr>
          <w:rFonts w:ascii="Times New Roman" w:hAnsi="Times New Roman"/>
          <w:b w:val="false"/>
          <w:i w:val="false"/>
          <w:caps w:val="false"/>
          <w:smallCaps w:val="false"/>
          <w:sz w:val="22"/>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 w:hAnsi="Times New Roman"/>
          <w:b w:val="false"/>
          <w:i/>
          <w:caps w:val="false"/>
          <w:smallCaps w:val="false"/>
          <w:sz w:val="22"/>
        </w:rPr>
        <w:t>provided, however</w:t>
      </w:r>
      <w:r>
        <w:rPr>
          <w:rFonts w:ascii="Times New Roman" w:hAnsi="Times New Roman"/>
          <w:b w:val="false"/>
          <w:i w:val="false"/>
          <w:caps w:val="false"/>
          <w:smallCaps w:val="false"/>
          <w:sz w:val="22"/>
        </w:rPr>
        <w:t xml:space="preserve">,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w:t>
      </w:r>
      <w:r>
        <w:rPr>
          <w:rFonts w:ascii="Times New Roman" w:hAnsi="Times New Roman"/>
          <w:b w:val="false"/>
          <w:i w:val="false"/>
          <w:caps w:val="false"/>
          <w:smallCaps w:val="false"/>
          <w:sz w:val="22"/>
          <w:u w:val="single"/>
        </w:rPr>
        <w:t>Good Reason</w:t>
      </w:r>
      <w:r>
        <w:rPr>
          <w:rFonts w:ascii="Times New Roman" w:hAnsi="Times New Roman"/>
          <w:b w:val="false"/>
          <w:i w:val="false"/>
          <w:caps w:val="false"/>
          <w:smallCaps w:val="false"/>
          <w:sz w:val="22"/>
        </w:rPr>
        <w:t xml:space="preserve">.  For the sole purpose of determining Executive’s right to severance payments and benefits as described above, Executive’s resignation will be with “Good Reason” if Executive resigns within ninety (90) days after any of the following events, unless Executive consents in writing to the applicable event:  (i) a reduction in Executive’s Annual Base Salary or Target Annual Bonus, (ii) a material decrease in Executive’s authority or areas of responsibility as are commensurate with Executive’s title or position with the Company, (iii) the relocation of Executive’s primary office to a location more than twenty-five (25) miles from the Executive’s primary office as of the date of this Agreement (for the avoidance of doubt, other than a relocation of Executive’s primary work location to the Company’s headquarters in the Boston, Massachusetts metropolitan area) or (iv) the Company’s breach of a material provision of this Agreement.  Notwithstanding the foregoing, no Good Reason will have occurred unless and until:  (a) Executive has provided the Company, within sixty (60) 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7</w:t>
      </w:r>
    </w:p>
    <w:p>
      <w:pPr>
        <w:pStyle w:val="HorizontalLine"/>
        <w:rPr/>
      </w:pPr>
      <w:r>
        <w:rPr/>
      </w:r>
    </w:p>
    <w:p>
      <w:pPr>
        <w:pStyle w:val="TextBody"/>
        <w:spacing w:before="0" w:after="0"/>
        <w:rPr/>
      </w:pPr>
      <w:r>
        <w:rPr/>
        <w:t> </w:t>
      </w:r>
    </w:p>
    <w:p>
      <w:pPr>
        <w:pStyle w:val="TextBody"/>
        <w:spacing w:before="240" w:after="0"/>
        <w:ind w:left="720" w:right="0" w:hanging="0"/>
        <w:rPr>
          <w:rFonts w:ascii="Times New Roman Bold" w:hAnsi="Times New Roman Bold"/>
          <w:b/>
          <w:i w:val="false"/>
          <w:caps w:val="false"/>
          <w:smallCaps w:val="false"/>
          <w:sz w:val="20"/>
        </w:rPr>
      </w:pPr>
      <w:r>
        <w:rPr>
          <w:rFonts w:ascii="Times New Roman Bold" w:hAnsi="Times New Roman Bold"/>
          <w:b/>
          <w:i w:val="false"/>
          <w:caps w:val="false"/>
          <w:smallCaps w:val="false"/>
          <w:strike w:val="false"/>
          <w:dstrike w:val="false"/>
          <w:sz w:val="20"/>
          <w:u w:val="none"/>
          <w:effect w:val="none"/>
        </w:rPr>
        <w:t>8.</w:t>
      </w:r>
      <w:r>
        <w:rPr>
          <w:rFonts w:ascii="Times New Roman" w:hAnsi="Times New Roman"/>
          <w:b/>
          <w:i w:val="false"/>
          <w:caps w:val="false"/>
          <w:smallCaps w:val="false"/>
          <w:sz w:val="22"/>
          <w:u w:val="single"/>
        </w:rPr>
        <w:t>Parachute Payments</w:t>
      </w:r>
      <w:r>
        <w:rPr>
          <w:rFonts w:ascii="Times New Roman" w:hAnsi="Times New Roman"/>
          <w:b/>
          <w:i w:val="false"/>
          <w:caps w:val="false"/>
          <w:smallCaps w:val="false"/>
          <w:strike w:val="false"/>
          <w:dstrike w:val="false"/>
          <w:sz w:val="22"/>
          <w:u w:val="none"/>
          <w:effect w:val="none"/>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(a)Notwithstanding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hAnsi="Times New Roman"/>
          <w:b w:val="false"/>
          <w:i w:val="false"/>
          <w:caps w:val="false"/>
          <w:smallCaps w:val="false"/>
          <w:sz w:val="22"/>
          <w:u w:val="single"/>
        </w:rPr>
        <w:t>Section 4</w:t>
      </w:r>
      <w:r>
        <w:rPr>
          <w:rFonts w:ascii="Times New Roman" w:hAnsi="Times New Roman"/>
          <w:b w:val="false"/>
          <w:i w:val="false"/>
          <w:caps w:val="false"/>
          <w:smallCaps w:val="false"/>
          <w:sz w:val="22"/>
        </w:rPr>
        <w:t xml:space="preserve"> hereof, being hereinafter referred to as the “</w:t>
      </w:r>
      <w:r>
        <w:rPr>
          <w:rFonts w:ascii="Times New Roman" w:hAnsi="Times New Roman"/>
          <w:b w:val="false"/>
          <w:i w:val="false"/>
          <w:caps w:val="false"/>
          <w:smallCaps w:val="false"/>
          <w:sz w:val="22"/>
          <w:u w:val="single"/>
        </w:rPr>
        <w:t>Total Payments</w:t>
      </w:r>
      <w:r>
        <w:rPr>
          <w:rFonts w:ascii="Times New Roman" w:hAnsi="Times New Roman"/>
          <w:b w:val="false"/>
          <w:i w:val="false"/>
          <w:caps w:val="false"/>
          <w:smallCaps w:val="false"/>
          <w:sz w:val="22"/>
        </w:rPr>
        <w:t>”), would be subject (in whole or in part) to the excise tax imposed by Section 4999 of the Code (the “</w:t>
      </w:r>
      <w:r>
        <w:rPr>
          <w:rFonts w:ascii="Times New Roman" w:hAnsi="Times New Roman"/>
          <w:b w:val="false"/>
          <w:i w:val="false"/>
          <w:caps w:val="false"/>
          <w:smallCaps w:val="false"/>
          <w:sz w:val="22"/>
          <w:u w:val="single"/>
        </w:rPr>
        <w:t>Excise Tax</w:t>
      </w:r>
      <w:r>
        <w:rPr>
          <w:rFonts w:ascii="Times New Roman" w:hAnsi="Times New Roman"/>
          <w:b w:val="false"/>
          <w:i w:val="false"/>
          <w:caps w:val="false"/>
          <w:smallCaps w:val="false"/>
          <w:sz w:val="22"/>
        </w:rPr>
        <w:t xml:space="preserve">”), then the Total Payments shall be reduced (in the order provided in </w:t>
      </w:r>
      <w:r>
        <w:rPr>
          <w:rFonts w:ascii="Times New Roman" w:hAnsi="Times New Roman"/>
          <w:b w:val="false"/>
          <w:i w:val="false"/>
          <w:caps w:val="false"/>
          <w:smallCaps w:val="false"/>
          <w:sz w:val="22"/>
          <w:u w:val="single"/>
        </w:rPr>
        <w:t>Section 8(b)</w:t>
      </w:r>
      <w:r>
        <w:rPr>
          <w:rFonts w:ascii="Times New Roman" w:hAnsi="Times New Roman"/>
          <w:b w:val="false"/>
          <w:i w:val="false"/>
          <w:caps w:val="false"/>
          <w:smallCaps w:val="false"/>
          <w:sz w:val="22"/>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(b)The Total Payments shall be reduced in the following order:  (i) reduction on a pro rata basis of any cash severance payments that are exempt from Section 409A of the Code (“</w:t>
      </w:r>
      <w:r>
        <w:rPr>
          <w:rFonts w:ascii="Times New Roman" w:hAnsi="Times New Roman"/>
          <w:b w:val="false"/>
          <w:i w:val="false"/>
          <w:caps w:val="false"/>
          <w:smallCaps w:val="false"/>
          <w:sz w:val="22"/>
          <w:u w:val="single"/>
        </w:rPr>
        <w:t>Section 409A</w:t>
      </w:r>
      <w:r>
        <w:rPr>
          <w:rFonts w:ascii="Times New Roman" w:hAnsi="Times New Roman"/>
          <w:b w:val="false"/>
          <w:i w:val="false"/>
          <w:caps w:val="false"/>
          <w:smallCaps w:val="false"/>
          <w:sz w:val="22"/>
        </w:rPr>
        <w:t>”), (ii) 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(c)All determinations regarding the application of this </w:t>
      </w:r>
      <w:r>
        <w:rPr>
          <w:rFonts w:ascii="Times New Roman" w:hAnsi="Times New Roman"/>
          <w:b w:val="false"/>
          <w:i w:val="false"/>
          <w:caps w:val="false"/>
          <w:smallCaps w:val="false"/>
          <w:sz w:val="22"/>
          <w:u w:val="single"/>
        </w:rPr>
        <w:t>Section 8</w:t>
      </w:r>
      <w:r>
        <w:rPr>
          <w:rFonts w:ascii="Times New Roman" w:hAnsi="Times New Roman"/>
          <w:b w:val="false"/>
          <w:i w:val="false"/>
          <w:caps w:val="false"/>
          <w:smallCaps w:val="false"/>
          <w:sz w:val="22"/>
        </w:rPr>
        <w:t xml:space="preserve"> shall be made by an accounting firm or consulting group with experience in performing calculations regarding the applicability of Section 280G of the Code and the Excise Tax selected by the Company (the “</w:t>
      </w:r>
      <w:r>
        <w:rPr>
          <w:rFonts w:ascii="Times New Roman" w:hAnsi="Times New Roman"/>
          <w:b w:val="false"/>
          <w:i w:val="false"/>
          <w:caps w:val="false"/>
          <w:smallCaps w:val="false"/>
          <w:sz w:val="22"/>
          <w:u w:val="single"/>
        </w:rPr>
        <w:t>Independent Advisors</w:t>
      </w:r>
      <w:r>
        <w:rPr>
          <w:rFonts w:ascii="Times New Roman" w:hAnsi="Times New Roman"/>
          <w:b w:val="false"/>
          <w:i w:val="false"/>
          <w:caps w:val="false"/>
          <w:smallCaps w:val="false"/>
          <w:sz w:val="22"/>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(d)In the event it is later determined that a greater reduction in the Total Payments should have been made to implement the objective and intent of this </w:t>
      </w:r>
      <w:r>
        <w:rPr>
          <w:rFonts w:ascii="Times New Roman" w:hAnsi="Times New Roman"/>
          <w:b w:val="false"/>
          <w:i w:val="false"/>
          <w:caps w:val="false"/>
          <w:smallCaps w:val="false"/>
          <w:sz w:val="22"/>
          <w:u w:val="single"/>
        </w:rPr>
        <w:t>Section 8</w:t>
      </w:r>
      <w:r>
        <w:rPr>
          <w:rFonts w:ascii="Times New Roman" w:hAnsi="Times New Roman"/>
          <w:b w:val="false"/>
          <w:i w:val="false"/>
          <w:caps w:val="false"/>
          <w:smallCaps w:val="false"/>
          <w:sz w:val="22"/>
        </w:rPr>
        <w:t xml:space="preserve">, the excess amount shall be returned promptly by Executive to the Company. </w:t>
      </w:r>
    </w:p>
    <w:p>
      <w:pPr>
        <w:pStyle w:val="TextBody"/>
        <w:spacing w:before="240" w:after="0"/>
        <w:ind w:left="720" w:right="0" w:hanging="0"/>
        <w:rPr>
          <w:rFonts w:ascii="Times New Roman Bold" w:hAnsi="Times New Roman Bold"/>
          <w:b/>
          <w:i w:val="false"/>
          <w:caps w:val="false"/>
          <w:smallCaps w:val="false"/>
          <w:sz w:val="20"/>
        </w:rPr>
      </w:pPr>
      <w:r>
        <w:rPr>
          <w:rFonts w:ascii="Times New Roman Bold" w:hAnsi="Times New Roman Bold"/>
          <w:b/>
          <w:i w:val="false"/>
          <w:caps w:val="false"/>
          <w:smallCaps w:val="false"/>
          <w:strike w:val="false"/>
          <w:dstrike w:val="false"/>
          <w:sz w:val="20"/>
          <w:u w:val="none"/>
          <w:effect w:val="none"/>
        </w:rPr>
        <w:t>9.</w:t>
      </w:r>
      <w:r>
        <w:rPr>
          <w:rFonts w:ascii="Times New Roman" w:hAnsi="Times New Roman"/>
          <w:b/>
          <w:i w:val="false"/>
          <w:caps w:val="false"/>
          <w:smallCaps w:val="false"/>
          <w:sz w:val="22"/>
          <w:u w:val="single"/>
        </w:rPr>
        <w:t>Miscellaneous Provisions</w:t>
      </w:r>
      <w:r>
        <w:rPr>
          <w:rFonts w:ascii="Times New Roman" w:hAnsi="Times New Roman"/>
          <w:b/>
          <w:i w:val="false"/>
          <w:caps w:val="false"/>
          <w:smallCaps w:val="false"/>
          <w:strike w:val="false"/>
          <w:dstrike w:val="false"/>
          <w:sz w:val="22"/>
          <w:u w:val="none"/>
          <w:effect w:val="none"/>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w:t>
      </w:r>
      <w:r>
        <w:rPr>
          <w:rFonts w:ascii="Times New Roman" w:hAnsi="Times New Roman"/>
          <w:b w:val="false"/>
          <w:i w:val="false"/>
          <w:caps w:val="false"/>
          <w:smallCaps w:val="false"/>
          <w:sz w:val="22"/>
          <w:u w:val="single"/>
        </w:rPr>
        <w:t>Governing Law</w:t>
      </w:r>
      <w:r>
        <w:rPr>
          <w:rFonts w:ascii="Times New Roman" w:hAnsi="Times New Roman"/>
          <w:b w:val="false"/>
          <w:i w:val="false"/>
          <w:caps w:val="false"/>
          <w:smallCaps w:val="false"/>
          <w:sz w:val="22"/>
        </w:rPr>
        <w:t xml:space="preserve">.  This Agreement shall be governed, construed, interpreted and enforced in accordance with its express terms, and otherwise in accordance with the substantive laws of the Commonwealth of Massachusetts without reference to the principles of conflicts of law of the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8</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Commonwealth of Massachusetts or any other jurisdiction that would result in the application of the laws of a jurisdiction other than the Commonwealth of Massachusetts, and where applicable, the laws of the United States.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w:t>
      </w:r>
      <w:r>
        <w:rPr>
          <w:rFonts w:ascii="Times New Roman" w:hAnsi="Times New Roman"/>
          <w:b w:val="false"/>
          <w:i w:val="false"/>
          <w:caps w:val="false"/>
          <w:smallCaps w:val="false"/>
          <w:sz w:val="22"/>
          <w:u w:val="single"/>
        </w:rPr>
        <w:t>Validity</w:t>
      </w:r>
      <w:r>
        <w:rPr>
          <w:rFonts w:ascii="Times New Roman" w:hAnsi="Times New Roman"/>
          <w:b w:val="false"/>
          <w:i w:val="false"/>
          <w:caps w:val="false"/>
          <w:smallCaps w:val="false"/>
          <w:sz w:val="22"/>
        </w:rPr>
        <w:t>.  The invalidity or unenforceability of any provision or provisions of this Agreement shall not affect the validity or enforceability of any other provision of this Agreement, which shall remain in full force and effect.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w:t>
      </w:r>
      <w:r>
        <w:rPr>
          <w:rFonts w:ascii="Times New Roman" w:hAnsi="Times New Roman"/>
          <w:b w:val="false"/>
          <w:i w:val="false"/>
          <w:caps w:val="false"/>
          <w:smallCaps w:val="false"/>
          <w:sz w:val="22"/>
          <w:u w:val="single"/>
        </w:rPr>
        <w:t>Notices</w:t>
      </w:r>
      <w:r>
        <w:rPr>
          <w:rFonts w:ascii="Times New Roman" w:hAnsi="Times New Roman"/>
          <w:b w:val="false"/>
          <w:i w:val="false"/>
          <w:caps w:val="false"/>
          <w:smallCaps w:val="false"/>
          <w:sz w:val="22"/>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(i)If to the Company, to the General Counsel of the Company at the Company’s headquarters,</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(ii)If to Executive, to the last address that the Company has in its personnel records for Executive, or</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(iii)At any other address as any Party shall have specified by notice in writing to the other Party.</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w:t>
      </w:r>
      <w:r>
        <w:rPr>
          <w:rFonts w:ascii="Times New Roman" w:hAnsi="Times New Roman"/>
          <w:b w:val="false"/>
          <w:i w:val="false"/>
          <w:caps w:val="false"/>
          <w:smallCaps w:val="false"/>
          <w:sz w:val="22"/>
          <w:u w:val="single"/>
        </w:rPr>
        <w:t>Counterparts</w:t>
      </w:r>
      <w:r>
        <w:rPr>
          <w:rFonts w:ascii="Times New Roman" w:hAnsi="Times New Roman"/>
          <w:b w:val="false"/>
          <w:i w:val="false"/>
          <w:caps w:val="false"/>
          <w:smallCaps w:val="false"/>
          <w:sz w:val="22"/>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w:t>
      </w:r>
      <w:r>
        <w:rPr>
          <w:rFonts w:ascii="Times New Roman" w:hAnsi="Times New Roman"/>
          <w:b w:val="false"/>
          <w:i w:val="false"/>
          <w:caps w:val="false"/>
          <w:smallCaps w:val="false"/>
          <w:sz w:val="22"/>
          <w:u w:val="single"/>
        </w:rPr>
        <w:t>Entire Agreement</w:t>
      </w:r>
      <w:r>
        <w:rPr>
          <w:rFonts w:ascii="Times New Roman" w:hAnsi="Times New Roman"/>
          <w:b w:val="false"/>
          <w:i w:val="false"/>
          <w:caps w:val="false"/>
          <w:smallCaps w:val="false"/>
          <w:sz w:val="22"/>
        </w:rPr>
        <w:t xml:space="preserve">.  The terms of this Agreement, and the Restrictive Covenant Agreement incorporated herein by reference as set forth in </w:t>
      </w:r>
      <w:r>
        <w:rPr>
          <w:rFonts w:ascii="Times New Roman" w:hAnsi="Times New Roman"/>
          <w:b w:val="false"/>
          <w:i w:val="false"/>
          <w:caps w:val="false"/>
          <w:smallCaps w:val="false"/>
          <w:sz w:val="22"/>
          <w:u w:val="single"/>
        </w:rPr>
        <w:t>Section 5</w:t>
      </w:r>
      <w:r>
        <w:rPr>
          <w:rFonts w:ascii="Times New Roman" w:hAnsi="Times New Roman"/>
          <w:b w:val="false"/>
          <w:i w:val="false"/>
          <w:caps w:val="false"/>
          <w:smallCaps w:val="false"/>
          <w:sz w:val="22"/>
        </w:rPr>
        <w:t xml:space="preserve">, are intended by the Parties to be the final expression of their agreement with respect to the subject matter hereof </w:t>
      </w:r>
      <w:r>
        <w:rPr>
          <w:rFonts w:ascii="Times New Roman" w:hAnsi="Times New Roman"/>
          <w:b w:val="false"/>
          <w:i w:val="false"/>
          <w:caps w:val="false"/>
          <w:smallCaps w:val="false"/>
          <w:spacing w:val="-3"/>
          <w:sz w:val="22"/>
        </w:rPr>
        <w:t>and supersede all prior understandings and agreements, whether written or oral, including any prior employment offer letter or employment agreement between Executive and the Company</w:t>
      </w:r>
      <w:r>
        <w:rPr>
          <w:rFonts w:ascii="Times New Roman" w:hAnsi="Times New Roman"/>
          <w:b w:val="false"/>
          <w:i w:val="false"/>
          <w:caps w:val="false"/>
          <w:smallCaps w:val="false"/>
          <w:sz w:val="22"/>
        </w:rPr>
        <w:t xml:space="preserve">.  The Parties further intend that this Agreement shall constitute the complete and exclusive statement of their terms and that no extrinsic evidence whatsoever may be introduced in any judicial, administrative, or other legal proceeding to vary the terms of this Agreement.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w:t>
      </w:r>
      <w:r>
        <w:rPr>
          <w:rFonts w:ascii="Times New Roman" w:hAnsi="Times New Roman"/>
          <w:b w:val="false"/>
          <w:i w:val="false"/>
          <w:caps w:val="false"/>
          <w:smallCaps w:val="false"/>
          <w:sz w:val="22"/>
          <w:u w:val="single"/>
        </w:rPr>
        <w:t>Amendments; Waivers</w:t>
      </w:r>
      <w:r>
        <w:rPr>
          <w:rFonts w:ascii="Times New Roman" w:hAnsi="Times New Roman"/>
          <w:b w:val="false"/>
          <w:i w:val="false"/>
          <w:caps w:val="false"/>
          <w:smallCaps w:val="false"/>
          <w:sz w:val="22"/>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hAnsi="Times New Roman"/>
          <w:b w:val="false"/>
          <w:i/>
          <w:caps w:val="false"/>
          <w:smallCaps w:val="false"/>
          <w:sz w:val="22"/>
        </w:rPr>
        <w:t>provided</w:t>
      </w:r>
      <w:r>
        <w:rPr>
          <w:rFonts w:ascii="Times New Roman" w:hAnsi="Times New Roman"/>
          <w:b w:val="false"/>
          <w:i w:val="false"/>
          <w:caps w:val="false"/>
          <w:smallCaps w:val="false"/>
          <w:sz w:val="22"/>
        </w:rPr>
        <w:t xml:space="preserve">, </w:t>
      </w:r>
      <w:r>
        <w:rPr>
          <w:rFonts w:ascii="Times New Roman" w:hAnsi="Times New Roman"/>
          <w:b w:val="false"/>
          <w:i/>
          <w:caps w:val="false"/>
          <w:smallCaps w:val="false"/>
          <w:sz w:val="22"/>
        </w:rPr>
        <w:t>however</w:t>
      </w:r>
      <w:r>
        <w:rPr>
          <w:rFonts w:ascii="Times New Roman" w:hAnsi="Times New Roman"/>
          <w:b w:val="false"/>
          <w:i w:val="false"/>
          <w:caps w:val="false"/>
          <w:smallCaps w:val="false"/>
          <w:sz w:val="22"/>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(g)</w:t>
      </w:r>
      <w:r>
        <w:rPr>
          <w:rFonts w:ascii="Times New Roman" w:hAnsi="Times New Roman"/>
          <w:b w:val="false"/>
          <w:i w:val="false"/>
          <w:caps w:val="false"/>
          <w:smallCaps w:val="false"/>
          <w:sz w:val="22"/>
          <w:u w:val="single"/>
        </w:rPr>
        <w:t>Construction</w:t>
      </w:r>
      <w:r>
        <w:rPr>
          <w:rFonts w:ascii="Times New Roman" w:hAnsi="Times New Roman"/>
          <w:b w:val="false"/>
          <w:i w:val="false"/>
          <w:caps w:val="false"/>
          <w:smallCaps w:val="false"/>
          <w:sz w:val="22"/>
        </w:rPr>
        <w:t xml:space="preserve">.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9</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(h)</w:t>
      </w:r>
      <w:r>
        <w:rPr>
          <w:rFonts w:ascii="Times New Roman" w:hAnsi="Times New Roman"/>
          <w:b w:val="false"/>
          <w:i w:val="false"/>
          <w:caps w:val="false"/>
          <w:smallCaps w:val="false"/>
          <w:sz w:val="22"/>
          <w:u w:val="single"/>
        </w:rPr>
        <w:t>Arbitration</w:t>
      </w:r>
      <w:r>
        <w:rPr>
          <w:rFonts w:ascii="Times New Roman" w:hAnsi="Times New Roman"/>
          <w:b w:val="false"/>
          <w:i w:val="false"/>
          <w:caps w:val="false"/>
          <w:smallCaps w:val="false"/>
          <w:sz w:val="22"/>
        </w:rPr>
        <w:t>.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 JAMS/Endispute; (ii) each Party to 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Times New Roman" w:hAnsi="Times New Roman"/>
          <w:b w:val="false"/>
          <w:i w:val="false"/>
          <w:caps w:val="false"/>
          <w:smallCaps w:val="false"/>
          <w:sz w:val="22"/>
          <w:u w:val="single"/>
        </w:rPr>
        <w:t>AAA</w:t>
      </w:r>
      <w:r>
        <w:rPr>
          <w:rFonts w:ascii="Times New Roman" w:hAnsi="Times New Roman"/>
          <w:b w:val="false"/>
          <w:i w:val="false"/>
          <w:caps w:val="false"/>
          <w:smallCaps w:val="false"/>
          <w:sz w:val="22"/>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w:t>
      </w:r>
      <w:r>
        <w:rPr>
          <w:rFonts w:ascii="Times New Roman" w:hAnsi="Times New Roman"/>
          <w:b w:val="false"/>
          <w:i w:val="false"/>
          <w:caps w:val="false"/>
          <w:smallCaps w:val="false"/>
          <w:sz w:val="22"/>
          <w:u w:val="single"/>
        </w:rPr>
        <w:t>Enforcement</w:t>
      </w:r>
      <w:r>
        <w:rPr>
          <w:rFonts w:ascii="Times New Roman" w:hAnsi="Times New Roman"/>
          <w:b w:val="false"/>
          <w:i w:val="false"/>
          <w:caps w:val="false"/>
          <w:smallCaps w:val="false"/>
          <w:sz w:val="22"/>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(j)</w:t>
      </w:r>
      <w:r>
        <w:rPr>
          <w:rFonts w:ascii="Times New Roman" w:hAnsi="Times New Roman"/>
          <w:b w:val="false"/>
          <w:i w:val="false"/>
          <w:caps w:val="false"/>
          <w:smallCaps w:val="false"/>
          <w:sz w:val="22"/>
          <w:u w:val="single"/>
        </w:rPr>
        <w:t>Withholding</w:t>
      </w:r>
      <w:r>
        <w:rPr>
          <w:rFonts w:ascii="Times New Roman" w:hAnsi="Times New Roman"/>
          <w:b w:val="false"/>
          <w:i w:val="false"/>
          <w:caps w:val="false"/>
          <w:smallCaps w:val="false"/>
          <w:sz w:val="22"/>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10</w:t>
      </w:r>
    </w:p>
    <w:p>
      <w:pPr>
        <w:pStyle w:val="HorizontalLine"/>
        <w:rPr/>
      </w:pPr>
      <w:r>
        <w:rPr/>
      </w:r>
    </w:p>
    <w:p>
      <w:pPr>
        <w:pStyle w:val="TextBody"/>
        <w:spacing w:before="0" w:after="0"/>
        <w:rPr/>
      </w:pPr>
      <w:r>
        <w:rPr/>
        <w:t>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(k)</w:t>
      </w:r>
      <w:r>
        <w:rPr>
          <w:rFonts w:ascii="Times New Roman" w:hAnsi="Times New Roman"/>
          <w:b w:val="false"/>
          <w:i w:val="false"/>
          <w:caps w:val="false"/>
          <w:smallCaps w:val="false"/>
          <w:sz w:val="22"/>
          <w:u w:val="single"/>
        </w:rPr>
        <w:t>Section 409A</w:t>
      </w:r>
      <w:r>
        <w:rPr>
          <w:rFonts w:ascii="Times New Roman" w:hAnsi="Times New Roman"/>
          <w:b w:val="false"/>
          <w:i w:val="false"/>
          <w:caps w:val="false"/>
          <w:smallCaps w:val="false"/>
          <w:sz w:val="22"/>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w:t>
      </w:r>
      <w:r>
        <w:rPr>
          <w:rFonts w:ascii="Times New Roman" w:hAnsi="Times New Roman"/>
          <w:b w:val="false"/>
          <w:i/>
          <w:caps w:val="false"/>
          <w:smallCaps w:val="false"/>
          <w:sz w:val="22"/>
        </w:rPr>
        <w:t>General.</w:t>
      </w:r>
      <w:r>
        <w:rPr>
          <w:rFonts w:ascii="Times New Roman" w:hAnsi="Times New Roman"/>
          <w:b w:val="false"/>
          <w:i w:val="false"/>
          <w:caps w:val="false"/>
          <w:smallCaps w:val="false"/>
          <w:sz w:val="22"/>
        </w:rPr>
        <w:t>  The intent of the Parties is that the payments and benefits under this Agreement comply with or be exempt from Section 409A and, accordingly, to the maximum extent permitted, this Agreement shall be interpreted to be in compliance therewith.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w:t>
      </w:r>
      <w:r>
        <w:rPr>
          <w:rFonts w:ascii="Times New Roman" w:hAnsi="Times New Roman"/>
          <w:b w:val="false"/>
          <w:i/>
          <w:caps w:val="false"/>
          <w:smallCaps w:val="false"/>
          <w:sz w:val="22"/>
        </w:rPr>
        <w:t>Separation from Service.  </w:t>
      </w:r>
      <w:r>
        <w:rPr>
          <w:rFonts w:ascii="Times New Roman" w:hAnsi="Times New Roman"/>
          <w:b w:val="false"/>
          <w:i w:val="false"/>
          <w:caps w:val="false"/>
          <w:smallCaps w:val="false"/>
          <w:sz w:val="22"/>
        </w:rPr>
        <w:t>Notwithstanding anything in this Agreement to the contrary, any compensation or 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hAnsi="Times New Roman"/>
          <w:b w:val="false"/>
          <w:i w:val="false"/>
          <w:caps w:val="false"/>
          <w:smallCaps w:val="false"/>
          <w:sz w:val="22"/>
          <w:u w:val="single"/>
        </w:rPr>
        <w:t>Separation from Service</w:t>
      </w:r>
      <w:r>
        <w:rPr>
          <w:rFonts w:ascii="Times New Roman" w:hAnsi="Times New Roman"/>
          <w:b w:val="false"/>
          <w:i w:val="false"/>
          <w:caps w:val="false"/>
          <w:smallCaps w:val="false"/>
          <w:sz w:val="22"/>
        </w:rPr>
        <w:t xml:space="preserve">”) and, except as provided below, any such compensation or benefits described in </w:t>
      </w:r>
      <w:r>
        <w:rPr>
          <w:rFonts w:ascii="Times New Roman" w:hAnsi="Times New Roman"/>
          <w:b w:val="false"/>
          <w:i w:val="false"/>
          <w:caps w:val="false"/>
          <w:smallCaps w:val="false"/>
          <w:sz w:val="22"/>
          <w:u w:val="single"/>
        </w:rPr>
        <w:t>Section 4</w:t>
      </w:r>
      <w:r>
        <w:rPr>
          <w:rFonts w:ascii="Times New Roman" w:hAnsi="Times New Roman"/>
          <w:b w:val="false"/>
          <w:i w:val="false"/>
          <w:caps w:val="false"/>
          <w:smallCaps w:val="false"/>
          <w:sz w:val="22"/>
        </w:rPr>
        <w:t xml:space="preserve"> shall not be paid, or, in the case of installments, shall not commence payment, until the thirtieth (30th) day following Executive’s Separation from Service (the “</w:t>
      </w:r>
      <w:r>
        <w:rPr>
          <w:rFonts w:ascii="Times New Roman" w:hAnsi="Times New Roman"/>
          <w:b w:val="false"/>
          <w:i w:val="false"/>
          <w:caps w:val="false"/>
          <w:smallCaps w:val="false"/>
          <w:sz w:val="22"/>
          <w:u w:val="single"/>
        </w:rPr>
        <w:t>First Payment Date</w:t>
      </w:r>
      <w:r>
        <w:rPr>
          <w:rFonts w:ascii="Times New Roman" w:hAnsi="Times New Roman"/>
          <w:b w:val="false"/>
          <w:i w:val="false"/>
          <w:caps w:val="false"/>
          <w:smallCaps w:val="false"/>
          <w:sz w:val="22"/>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(iii)</w:t>
      </w:r>
      <w:r>
        <w:rPr>
          <w:rFonts w:ascii="Times New Roman" w:hAnsi="Times New Roman"/>
          <w:b w:val="false"/>
          <w:i/>
          <w:caps w:val="false"/>
          <w:smallCaps w:val="false"/>
          <w:sz w:val="22"/>
        </w:rPr>
        <w:t>Specified Employee.</w:t>
      </w:r>
      <w:r>
        <w:rPr>
          <w:rFonts w:ascii="Times New Roman" w:hAnsi="Times New Roman"/>
          <w:b w:val="false"/>
          <w:i w:val="false"/>
          <w:caps w:val="false"/>
          <w:smallCaps w:val="false"/>
          <w:sz w:val="22"/>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(iv)</w:t>
      </w:r>
      <w:r>
        <w:rPr>
          <w:rFonts w:ascii="Times New Roman" w:hAnsi="Times New Roman"/>
          <w:b w:val="false"/>
          <w:i/>
          <w:caps w:val="false"/>
          <w:smallCaps w:val="false"/>
          <w:sz w:val="22"/>
        </w:rPr>
        <w:t>Expense Reimbursements.  </w:t>
      </w:r>
      <w:r>
        <w:rPr>
          <w:rFonts w:ascii="Times New Roman" w:hAnsi="Times New Roman"/>
          <w:b w:val="false"/>
          <w:i w:val="false"/>
          <w:caps w:val="false"/>
          <w:smallCaps w:val="false"/>
          <w:sz w:val="22"/>
        </w:rPr>
        <w:t>To the extent that any reimbursements under this Agreement are subject to Section 409A, (i) any such reimbursements payable to Executive shall be paid to Executive no later than December 31 of the year following the year in which the expense was incurred, (ii) Executive shall submit Executive’s reimbursement request promptly following the date the expense is incurred, (iii) the amount of expenses reimbursed in one year shall not affect the amount eligible for reimbursement in any subsequent year, other than medical expenses referred to in Section 105(b) of the Code, and (iv) Executive’s right to reimbursement under this Agreement will not be subject to liquidation or exchange for another benefit.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(v)</w:t>
      </w:r>
      <w:r>
        <w:rPr>
          <w:rFonts w:ascii="Times New Roman" w:hAnsi="Times New Roman"/>
          <w:b w:val="false"/>
          <w:i/>
          <w:caps w:val="false"/>
          <w:smallCaps w:val="false"/>
          <w:sz w:val="22"/>
        </w:rPr>
        <w:t>Installments.</w:t>
      </w:r>
      <w:r>
        <w:rPr>
          <w:rFonts w:ascii="Times New Roman" w:hAnsi="Times New Roman"/>
          <w:b w:val="false"/>
          <w:i w:val="false"/>
          <w:caps w:val="false"/>
          <w:smallCaps w:val="false"/>
          <w:sz w:val="22"/>
        </w:rPr>
        <w:t>  Executive’s right to receive any installment payments under this Agreement, including 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w:t>
      </w:r>
    </w:p>
    <w:p>
      <w:pPr>
        <w:pStyle w:val="HorizontalLine"/>
        <w:rPr/>
      </w:pPr>
      <w:r>
        <w:rPr/>
      </w:r>
    </w:p>
    <w:p>
      <w:pPr>
        <w:pStyle w:val="TextBody"/>
        <w:spacing w:before="0" w:after="0"/>
        <w:rPr/>
      </w:pPr>
      <w:r>
        <w:rPr/>
        <w:t> </w:t>
      </w:r>
    </w:p>
    <w:p>
      <w:pPr>
        <w:pStyle w:val="TextBody"/>
        <w:spacing w:before="240" w:after="0"/>
        <w:ind w:left="720" w:right="0" w:hanging="0"/>
        <w:rPr>
          <w:rFonts w:ascii="Times New Roman Bold" w:hAnsi="Times New Roman Bold"/>
          <w:b/>
          <w:i w:val="false"/>
          <w:caps w:val="false"/>
          <w:smallCaps w:val="false"/>
          <w:sz w:val="20"/>
        </w:rPr>
      </w:pPr>
      <w:r>
        <w:rPr>
          <w:rFonts w:ascii="Times New Roman Bold" w:hAnsi="Times New Roman Bold"/>
          <w:b/>
          <w:i w:val="false"/>
          <w:caps w:val="false"/>
          <w:smallCaps w:val="false"/>
          <w:strike w:val="false"/>
          <w:dstrike w:val="false"/>
          <w:sz w:val="20"/>
          <w:u w:val="none"/>
          <w:effect w:val="none"/>
        </w:rPr>
        <w:t>10.</w:t>
      </w:r>
      <w:r>
        <w:rPr>
          <w:rFonts w:ascii="Times New Roman" w:hAnsi="Times New Roman"/>
          <w:b/>
          <w:i w:val="false"/>
          <w:caps w:val="false"/>
          <w:smallCaps w:val="false"/>
          <w:sz w:val="22"/>
          <w:u w:val="single"/>
        </w:rPr>
        <w:t>Executive Acknowledgement</w:t>
      </w:r>
      <w:r>
        <w:rPr>
          <w:rFonts w:ascii="Times New Roman" w:hAnsi="Times New Roman"/>
          <w:b/>
          <w:i w:val="false"/>
          <w:caps w:val="false"/>
          <w:smallCaps w:val="false"/>
          <w:strike w:val="false"/>
          <w:dstrike w:val="false"/>
          <w:sz w:val="22"/>
          <w:u w:val="none"/>
          <w:effect w:val="none"/>
        </w:rPr>
        <w:t>.</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pStyle w:val="TextBody"/>
        <w:spacing w:before="24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t>
      </w:r>
      <w:r>
        <w:rPr>
          <w:rFonts w:ascii="Times New Roman" w:hAnsi="Times New Roman"/>
          <w:b w:val="false"/>
          <w:i/>
          <w:caps w:val="false"/>
          <w:smallCaps w:val="false"/>
          <w:sz w:val="22"/>
        </w:rPr>
        <w:t>Signature Page Follows</w:t>
      </w:r>
      <w:r>
        <w:rPr>
          <w:rFonts w:ascii="Times New Roman" w:hAnsi="Times New Roman"/>
          <w:b w:val="false"/>
          <w:i w:val="false"/>
          <w:caps w:val="false"/>
          <w:smallCaps w:val="false"/>
          <w:sz w:val="22"/>
        </w:rPr>
        <w:t>]</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IN WITNESS WHEREOF, the Parties have executed this Agreement on the date and year first above written.</w:t>
      </w:r>
    </w:p>
    <w:p>
      <w:pPr>
        <w:pStyle w:val="TextBody"/>
        <w:spacing w:before="0" w:after="0"/>
        <w:rPr/>
      </w:pPr>
      <w:r>
        <w:rPr/>
        <w:t> </w:t>
      </w:r>
    </w:p>
    <w:tbl>
      <w:tblPr>
        <w:tblW w:w="4500" w:type="dxa"/>
        <w:jc w:val="right"/>
        <w:tblInd w:w="0" w:type="dxa"/>
        <w:tblCellMar>
          <w:top w:w="0" w:type="dxa"/>
          <w:left w:w="0" w:type="dxa"/>
          <w:bottom w:w="0" w:type="dxa"/>
          <w:right w:w="0" w:type="dxa"/>
        </w:tblCellMar>
      </w:tblPr>
      <w:tblGrid>
        <w:gridCol w:w="60"/>
        <w:gridCol w:w="350"/>
        <w:gridCol w:w="635"/>
        <w:gridCol w:w="3455"/>
      </w:tblGrid>
      <w:tr>
        <w:trPr/>
        <w:tc>
          <w:tcPr>
            <w:tcW w:w="4500" w:type="dxa"/>
            <w:gridSpan w:val="4"/>
            <w:tcBorders/>
            <w:shd w:fill="auto" w:val="clear"/>
          </w:tcPr>
          <w:p>
            <w:pPr>
              <w:pStyle w:val="TableContents"/>
              <w:spacing w:before="0" w:after="0"/>
              <w:ind w:left="0" w:right="0" w:hanging="0"/>
              <w:jc w:val="left"/>
              <w:rPr>
                <w:rFonts w:ascii="Times New Roman" w:hAnsi="Times New Roman"/>
                <w:b/>
                <w:i w:val="false"/>
                <w:caps w:val="false"/>
                <w:smallCaps w:val="false"/>
                <w:sz w:val="22"/>
              </w:rPr>
            </w:pPr>
            <w:r>
              <w:rPr>
                <w:rFonts w:ascii="Times New Roman" w:hAnsi="Times New Roman"/>
                <w:b/>
                <w:i w:val="false"/>
                <w:caps w:val="false"/>
                <w:smallCaps w:val="false"/>
                <w:sz w:val="22"/>
              </w:rPr>
              <w:t>ATEA PHARMACEUTICALS, INC.</w:t>
            </w:r>
          </w:p>
        </w:tc>
      </w:tr>
      <w:tr>
        <w:trPr/>
        <w:tc>
          <w:tcPr>
            <w:tcW w:w="60" w:type="dxa"/>
            <w:tcBorders/>
            <w:shd w:fill="auto" w:val="clear"/>
          </w:tcPr>
          <w:p>
            <w:pPr>
              <w:pStyle w:val="TableContents"/>
              <w:spacing w:before="0" w:after="0"/>
              <w:ind w:left="0" w:right="0" w:hanging="0"/>
              <w:jc w:val="left"/>
              <w:rPr/>
            </w:pPr>
            <w:r>
              <w:rPr/>
              <w:t> </w:t>
            </w:r>
          </w:p>
        </w:tc>
        <w:tc>
          <w:tcPr>
            <w:tcW w:w="350" w:type="dxa"/>
            <w:tcBorders/>
            <w:shd w:fill="auto" w:val="clear"/>
          </w:tcPr>
          <w:p>
            <w:pPr>
              <w:pStyle w:val="TableContents"/>
              <w:spacing w:before="0" w:after="0"/>
              <w:ind w:left="0" w:right="0" w:hanging="0"/>
              <w:jc w:val="left"/>
              <w:rPr/>
            </w:pPr>
            <w:r>
              <w:rPr/>
              <w:t> </w:t>
            </w:r>
          </w:p>
        </w:tc>
        <w:tc>
          <w:tcPr>
            <w:tcW w:w="635" w:type="dxa"/>
            <w:tcBorders/>
            <w:shd w:fill="auto" w:val="clear"/>
          </w:tcPr>
          <w:p>
            <w:pPr>
              <w:pStyle w:val="TableContents"/>
              <w:spacing w:before="0" w:after="0"/>
              <w:ind w:left="0" w:right="0" w:hanging="0"/>
              <w:jc w:val="left"/>
              <w:rPr/>
            </w:pPr>
            <w:r>
              <w:rPr/>
              <w:t> </w:t>
            </w:r>
          </w:p>
        </w:tc>
        <w:tc>
          <w:tcPr>
            <w:tcW w:w="3455" w:type="dxa"/>
            <w:tcBorders/>
            <w:shd w:fill="auto" w:val="clear"/>
          </w:tcPr>
          <w:p>
            <w:pPr>
              <w:pStyle w:val="TableContents"/>
              <w:spacing w:before="0" w:after="0"/>
              <w:ind w:left="0" w:right="0" w:hanging="0"/>
              <w:jc w:val="left"/>
              <w:rPr/>
            </w:pPr>
            <w:r>
              <w:rPr/>
              <w:t> </w:t>
            </w:r>
          </w:p>
        </w:tc>
      </w:tr>
      <w:tr>
        <w:trPr/>
        <w:tc>
          <w:tcPr>
            <w:tcW w:w="60" w:type="dxa"/>
            <w:tcBorders/>
            <w:shd w:fill="auto" w:val="clear"/>
          </w:tcPr>
          <w:p>
            <w:pPr>
              <w:pStyle w:val="TableContents"/>
              <w:spacing w:before="0" w:after="0"/>
              <w:ind w:left="0" w:right="0" w:hanging="0"/>
              <w:jc w:val="left"/>
              <w:rPr/>
            </w:pPr>
            <w:r>
              <w:rPr/>
              <w:t> </w:t>
            </w:r>
          </w:p>
        </w:tc>
        <w:tc>
          <w:tcPr>
            <w:tcW w:w="350" w:type="dxa"/>
            <w:tcBorders/>
            <w:shd w:fill="auto" w:val="cle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w:t>
            </w:r>
          </w:p>
        </w:tc>
        <w:tc>
          <w:tcPr>
            <w:tcW w:w="4090" w:type="dxa"/>
            <w:gridSpan w:val="2"/>
            <w:tcBorders/>
            <w:shd w:fill="auto" w:val="cle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 Jean-Pierre Sommadossi, Ph.D.</w:t>
            </w:r>
          </w:p>
        </w:tc>
      </w:tr>
      <w:tr>
        <w:trPr/>
        <w:tc>
          <w:tcPr>
            <w:tcW w:w="60" w:type="dxa"/>
            <w:tcBorders/>
            <w:shd w:fill="auto" w:val="clear"/>
          </w:tcPr>
          <w:p>
            <w:pPr>
              <w:pStyle w:val="TableContents"/>
              <w:spacing w:before="0" w:after="0"/>
              <w:ind w:left="0" w:right="0" w:hanging="0"/>
              <w:jc w:val="left"/>
              <w:rPr/>
            </w:pPr>
            <w:r>
              <w:rPr/>
              <w:t> </w:t>
            </w:r>
          </w:p>
        </w:tc>
        <w:tc>
          <w:tcPr>
            <w:tcW w:w="350" w:type="dxa"/>
            <w:tcBorders/>
            <w:shd w:fill="auto" w:val="clear"/>
          </w:tcPr>
          <w:p>
            <w:pPr>
              <w:pStyle w:val="TableContents"/>
              <w:spacing w:before="0" w:after="0"/>
              <w:ind w:left="0" w:right="0" w:hanging="0"/>
              <w:jc w:val="left"/>
              <w:rPr/>
            </w:pPr>
            <w:r>
              <w:rPr/>
              <w:t> </w:t>
            </w:r>
          </w:p>
        </w:tc>
        <w:tc>
          <w:tcPr>
            <w:tcW w:w="635" w:type="dxa"/>
            <w:tcBorders/>
            <w:shd w:fill="auto" w:val="cle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Name:</w:t>
            </w:r>
          </w:p>
        </w:tc>
        <w:tc>
          <w:tcPr>
            <w:tcW w:w="3455" w:type="dxa"/>
            <w:tcBorders/>
            <w:shd w:fill="auto" w:val="cle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Jean-Pierre Sommadossi, Ph.D.</w:t>
            </w:r>
          </w:p>
        </w:tc>
      </w:tr>
      <w:tr>
        <w:trPr/>
        <w:tc>
          <w:tcPr>
            <w:tcW w:w="60" w:type="dxa"/>
            <w:tcBorders/>
            <w:shd w:fill="auto" w:val="clear"/>
          </w:tcPr>
          <w:p>
            <w:pPr>
              <w:pStyle w:val="TableContents"/>
              <w:spacing w:before="0" w:after="0"/>
              <w:ind w:left="0" w:right="0" w:hanging="0"/>
              <w:jc w:val="left"/>
              <w:rPr/>
            </w:pPr>
            <w:r>
              <w:rPr/>
              <w:t> </w:t>
            </w:r>
          </w:p>
        </w:tc>
        <w:tc>
          <w:tcPr>
            <w:tcW w:w="350" w:type="dxa"/>
            <w:tcBorders/>
            <w:shd w:fill="auto" w:val="clear"/>
          </w:tcPr>
          <w:p>
            <w:pPr>
              <w:pStyle w:val="TableContents"/>
              <w:spacing w:before="0" w:after="0"/>
              <w:ind w:left="0" w:right="0" w:hanging="0"/>
              <w:jc w:val="left"/>
              <w:rPr/>
            </w:pPr>
            <w:r>
              <w:rPr/>
              <w:t> </w:t>
            </w:r>
          </w:p>
        </w:tc>
        <w:tc>
          <w:tcPr>
            <w:tcW w:w="635" w:type="dxa"/>
            <w:tcBorders/>
            <w:shd w:fill="auto" w:val="cle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Title:</w:t>
            </w:r>
          </w:p>
        </w:tc>
        <w:tc>
          <w:tcPr>
            <w:tcW w:w="3455" w:type="dxa"/>
            <w:tcBorders/>
            <w:shd w:fill="auto" w:val="cle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Chairman &amp; Chief Executive Officer</w:t>
            </w:r>
          </w:p>
        </w:tc>
      </w:tr>
      <w:tr>
        <w:trPr/>
        <w:tc>
          <w:tcPr>
            <w:tcW w:w="60" w:type="dxa"/>
            <w:tcBorders/>
            <w:shd w:fill="auto" w:val="clear"/>
          </w:tcPr>
          <w:p>
            <w:pPr>
              <w:pStyle w:val="TableContents"/>
              <w:spacing w:before="0" w:after="0"/>
              <w:ind w:left="0" w:right="0" w:hanging="0"/>
              <w:jc w:val="left"/>
              <w:rPr/>
            </w:pPr>
            <w:r>
              <w:rPr/>
              <w:t> </w:t>
            </w:r>
          </w:p>
        </w:tc>
        <w:tc>
          <w:tcPr>
            <w:tcW w:w="350" w:type="dxa"/>
            <w:tcBorders/>
            <w:shd w:fill="auto" w:val="clear"/>
          </w:tcPr>
          <w:p>
            <w:pPr>
              <w:pStyle w:val="TableContents"/>
              <w:spacing w:before="0" w:after="0"/>
              <w:ind w:left="0" w:right="0" w:hanging="0"/>
              <w:jc w:val="left"/>
              <w:rPr/>
            </w:pPr>
            <w:r>
              <w:rPr/>
              <w:t> </w:t>
            </w:r>
          </w:p>
        </w:tc>
        <w:tc>
          <w:tcPr>
            <w:tcW w:w="635" w:type="dxa"/>
            <w:tcBorders/>
            <w:shd w:fill="auto" w:val="clear"/>
          </w:tcPr>
          <w:p>
            <w:pPr>
              <w:pStyle w:val="TableContents"/>
              <w:spacing w:before="0" w:after="0"/>
              <w:ind w:left="0" w:right="0" w:hanging="0"/>
              <w:jc w:val="left"/>
              <w:rPr/>
            </w:pPr>
            <w:r>
              <w:rPr/>
              <w:t> </w:t>
            </w:r>
          </w:p>
        </w:tc>
        <w:tc>
          <w:tcPr>
            <w:tcW w:w="3455" w:type="dxa"/>
            <w:tcBorders/>
            <w:shd w:fill="auto" w:val="clear"/>
          </w:tcPr>
          <w:p>
            <w:pPr>
              <w:pStyle w:val="TableContents"/>
              <w:spacing w:before="0" w:after="0"/>
              <w:ind w:left="0" w:right="0" w:hanging="0"/>
              <w:jc w:val="left"/>
              <w:rPr/>
            </w:pPr>
            <w:r>
              <w:rPr/>
              <w:t> </w:t>
            </w:r>
          </w:p>
        </w:tc>
      </w:tr>
      <w:tr>
        <w:trPr/>
        <w:tc>
          <w:tcPr>
            <w:tcW w:w="60" w:type="dxa"/>
            <w:tcBorders/>
            <w:shd w:fill="auto" w:val="clear"/>
          </w:tcPr>
          <w:p>
            <w:pPr>
              <w:pStyle w:val="TableContents"/>
              <w:spacing w:before="0" w:after="0"/>
              <w:ind w:left="0" w:right="0" w:hanging="0"/>
              <w:jc w:val="left"/>
              <w:rPr/>
            </w:pPr>
            <w:r>
              <w:rPr/>
              <w:t> </w:t>
            </w:r>
          </w:p>
        </w:tc>
        <w:tc>
          <w:tcPr>
            <w:tcW w:w="350" w:type="dxa"/>
            <w:tcBorders/>
            <w:shd w:fill="auto" w:val="clear"/>
          </w:tcPr>
          <w:p>
            <w:pPr>
              <w:pStyle w:val="TableContents"/>
              <w:spacing w:before="0" w:after="0"/>
              <w:ind w:left="0" w:right="0" w:hanging="0"/>
              <w:jc w:val="left"/>
              <w:rPr/>
            </w:pPr>
            <w:r>
              <w:rPr/>
              <w:t> </w:t>
            </w:r>
          </w:p>
        </w:tc>
        <w:tc>
          <w:tcPr>
            <w:tcW w:w="635" w:type="dxa"/>
            <w:tcBorders/>
            <w:shd w:fill="auto" w:val="clear"/>
          </w:tcPr>
          <w:p>
            <w:pPr>
              <w:pStyle w:val="TableContents"/>
              <w:spacing w:before="0" w:after="0"/>
              <w:ind w:left="0" w:right="0" w:hanging="0"/>
              <w:jc w:val="left"/>
              <w:rPr/>
            </w:pPr>
            <w:r>
              <w:rPr/>
              <w:t> </w:t>
            </w:r>
          </w:p>
        </w:tc>
        <w:tc>
          <w:tcPr>
            <w:tcW w:w="3455" w:type="dxa"/>
            <w:tcBorders/>
            <w:shd w:fill="auto" w:val="clear"/>
          </w:tcPr>
          <w:p>
            <w:pPr>
              <w:pStyle w:val="TableContents"/>
              <w:spacing w:before="0" w:after="0"/>
              <w:ind w:left="0" w:right="0" w:hanging="0"/>
              <w:jc w:val="left"/>
              <w:rPr/>
            </w:pPr>
            <w:r>
              <w:rPr/>
              <w:t> </w:t>
            </w:r>
          </w:p>
        </w:tc>
      </w:tr>
      <w:tr>
        <w:trPr/>
        <w:tc>
          <w:tcPr>
            <w:tcW w:w="4500" w:type="dxa"/>
            <w:gridSpan w:val="4"/>
            <w:tcBorders/>
            <w:shd w:fill="auto" w:val="clear"/>
          </w:tcPr>
          <w:p>
            <w:pPr>
              <w:pStyle w:val="TableContents"/>
              <w:spacing w:before="0" w:after="0"/>
              <w:ind w:left="0" w:right="0" w:hanging="0"/>
              <w:jc w:val="left"/>
              <w:rPr>
                <w:rFonts w:ascii="Times New Roman" w:hAnsi="Times New Roman"/>
                <w:b/>
                <w:i w:val="false"/>
                <w:caps w:val="false"/>
                <w:smallCaps w:val="false"/>
                <w:sz w:val="22"/>
              </w:rPr>
            </w:pPr>
            <w:r>
              <w:rPr>
                <w:rFonts w:ascii="Times New Roman" w:hAnsi="Times New Roman"/>
                <w:b/>
                <w:i w:val="false"/>
                <w:caps w:val="false"/>
                <w:smallCaps w:val="false"/>
                <w:sz w:val="22"/>
              </w:rPr>
              <w:t>EXECUTIVE</w:t>
            </w:r>
          </w:p>
        </w:tc>
      </w:tr>
      <w:tr>
        <w:trPr/>
        <w:tc>
          <w:tcPr>
            <w:tcW w:w="60" w:type="dxa"/>
            <w:tcBorders/>
            <w:shd w:fill="auto" w:val="clear"/>
          </w:tcPr>
          <w:p>
            <w:pPr>
              <w:pStyle w:val="TableContents"/>
              <w:spacing w:before="0" w:after="0"/>
              <w:ind w:left="0" w:right="0" w:hanging="0"/>
              <w:jc w:val="left"/>
              <w:rPr/>
            </w:pPr>
            <w:r>
              <w:rPr/>
              <w:t> </w:t>
            </w:r>
          </w:p>
        </w:tc>
        <w:tc>
          <w:tcPr>
            <w:tcW w:w="350" w:type="dxa"/>
            <w:tcBorders/>
            <w:shd w:fill="auto" w:val="clear"/>
          </w:tcPr>
          <w:p>
            <w:pPr>
              <w:pStyle w:val="TableContents"/>
              <w:spacing w:before="0" w:after="0"/>
              <w:ind w:left="0" w:right="0" w:hanging="0"/>
              <w:jc w:val="left"/>
              <w:rPr/>
            </w:pPr>
            <w:r>
              <w:rPr/>
              <w:t> </w:t>
            </w:r>
          </w:p>
        </w:tc>
        <w:tc>
          <w:tcPr>
            <w:tcW w:w="635" w:type="dxa"/>
            <w:tcBorders/>
            <w:shd w:fill="auto" w:val="clear"/>
          </w:tcPr>
          <w:p>
            <w:pPr>
              <w:pStyle w:val="TableContents"/>
              <w:spacing w:before="0" w:after="0"/>
              <w:ind w:left="0" w:right="0" w:hanging="0"/>
              <w:jc w:val="left"/>
              <w:rPr/>
            </w:pPr>
            <w:r>
              <w:rPr/>
              <w:t> </w:t>
            </w:r>
          </w:p>
        </w:tc>
        <w:tc>
          <w:tcPr>
            <w:tcW w:w="3455" w:type="dxa"/>
            <w:tcBorders/>
            <w:shd w:fill="auto" w:val="clear"/>
          </w:tcPr>
          <w:p>
            <w:pPr>
              <w:pStyle w:val="TableContents"/>
              <w:spacing w:before="0" w:after="0"/>
              <w:ind w:left="0" w:right="0" w:hanging="0"/>
              <w:jc w:val="left"/>
              <w:rPr/>
            </w:pPr>
            <w:r>
              <w:rPr/>
              <w:t> </w:t>
            </w:r>
          </w:p>
        </w:tc>
      </w:tr>
      <w:tr>
        <w:trPr/>
        <w:tc>
          <w:tcPr>
            <w:tcW w:w="60" w:type="dxa"/>
            <w:tcBorders/>
            <w:shd w:fill="auto" w:val="clear"/>
          </w:tcPr>
          <w:p>
            <w:pPr>
              <w:pStyle w:val="TableContents"/>
              <w:spacing w:before="0" w:after="0"/>
              <w:ind w:left="0" w:right="0" w:hanging="0"/>
              <w:jc w:val="left"/>
              <w:rPr/>
            </w:pPr>
            <w:r>
              <w:rPr/>
              <w:t> </w:t>
            </w:r>
          </w:p>
        </w:tc>
        <w:tc>
          <w:tcPr>
            <w:tcW w:w="350" w:type="dxa"/>
            <w:tcBorders/>
            <w:shd w:fill="auto" w:val="clear"/>
          </w:tcPr>
          <w:p>
            <w:pPr>
              <w:pStyle w:val="TableContents"/>
              <w:spacing w:before="0" w:after="0"/>
              <w:ind w:left="0" w:right="0" w:hanging="0"/>
              <w:jc w:val="left"/>
              <w:rPr/>
            </w:pPr>
            <w:r>
              <w:rPr/>
              <w:t> </w:t>
            </w:r>
          </w:p>
        </w:tc>
        <w:tc>
          <w:tcPr>
            <w:tcW w:w="635" w:type="dxa"/>
            <w:tcBorders/>
            <w:shd w:fill="auto" w:val="clear"/>
          </w:tcPr>
          <w:p>
            <w:pPr>
              <w:pStyle w:val="TableContents"/>
              <w:spacing w:before="0" w:after="0"/>
              <w:ind w:left="0" w:right="0" w:hanging="0"/>
              <w:jc w:val="left"/>
              <w:rPr/>
            </w:pPr>
            <w:r>
              <w:rPr/>
              <w:t> </w:t>
            </w:r>
          </w:p>
        </w:tc>
        <w:tc>
          <w:tcPr>
            <w:tcW w:w="3455" w:type="dxa"/>
            <w:tcBorders/>
            <w:shd w:fill="auto" w:val="clear"/>
          </w:tcPr>
          <w:p>
            <w:pPr>
              <w:pStyle w:val="TableContents"/>
              <w:spacing w:before="0" w:after="0"/>
              <w:ind w:left="0" w:right="0" w:hanging="0"/>
              <w:jc w:val="left"/>
              <w:rPr/>
            </w:pPr>
            <w:r>
              <w:rPr/>
              <w:t> </w:t>
            </w:r>
          </w:p>
        </w:tc>
      </w:tr>
      <w:tr>
        <w:trPr/>
        <w:tc>
          <w:tcPr>
            <w:tcW w:w="4500" w:type="dxa"/>
            <w:gridSpan w:val="4"/>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 Arantxa Horga, M.D.</w:t>
            </w:r>
          </w:p>
        </w:tc>
      </w:tr>
      <w:tr>
        <w:trPr/>
        <w:tc>
          <w:tcPr>
            <w:tcW w:w="4500" w:type="dxa"/>
            <w:gridSpan w:val="4"/>
            <w:tcBorders>
              <w:top w:val="single" w:sz="6" w:space="0" w:color="000000"/>
            </w:tcBorders>
            <w:shd w:fill="auto" w:val="clear"/>
            <w:tcMar>
              <w:top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Maria Arantxa Horga, M.D.</w:t>
            </w:r>
          </w:p>
        </w:tc>
      </w:tr>
    </w:tbl>
    <w:p>
      <w:pPr>
        <w:pStyle w:val="TextBody"/>
        <w:spacing w:before="0" w:after="0"/>
        <w:rPr/>
      </w:pPr>
      <w:r>
        <w:rPr/>
        <w:t> </w:t>
      </w:r>
    </w:p>
    <w:p>
      <w:pPr>
        <w:pStyle w:val="TextBody"/>
        <w:spacing w:before="0" w:after="0"/>
        <w:rPr/>
      </w:pPr>
      <w:r>
        <w:rPr/>
        <w:t> </w:t>
      </w:r>
    </w:p>
    <w:p>
      <w:pPr>
        <w:pStyle w:val="TextBody"/>
        <w:spacing w:before="240" w:after="0"/>
        <w:jc w:val="center"/>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EXHIBIT A</w:t>
      </w:r>
    </w:p>
    <w:p>
      <w:pPr>
        <w:pStyle w:val="TextBody"/>
        <w:spacing w:before="240" w:after="0"/>
        <w:jc w:val="center"/>
        <w:rPr>
          <w:rFonts w:ascii="Times New Roman" w:hAnsi="Times New Roman"/>
          <w:b/>
          <w:i w:val="false"/>
          <w:caps w:val="false"/>
          <w:smallCaps w:val="false"/>
          <w:sz w:val="22"/>
        </w:rPr>
      </w:pPr>
      <w:r>
        <w:rPr>
          <w:rFonts w:ascii="Times New Roman" w:hAnsi="Times New Roman"/>
          <w:b/>
          <w:i w:val="false"/>
          <w:caps w:val="false"/>
          <w:smallCaps w:val="false"/>
          <w:sz w:val="22"/>
        </w:rPr>
        <w:t>Separation Agreement and Release</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This Separation Agreement and Release (“</w:t>
      </w:r>
      <w:r>
        <w:rPr>
          <w:rFonts w:ascii="Times New Roman" w:hAnsi="Times New Roman"/>
          <w:b w:val="false"/>
          <w:i w:val="false"/>
          <w:caps w:val="false"/>
          <w:smallCaps w:val="false"/>
          <w:sz w:val="22"/>
          <w:u w:val="single"/>
        </w:rPr>
        <w:t>Agreement</w:t>
      </w:r>
      <w:r>
        <w:rPr>
          <w:rFonts w:ascii="Times New Roman" w:hAnsi="Times New Roman"/>
          <w:b w:val="false"/>
          <w:i w:val="false"/>
          <w:caps w:val="false"/>
          <w:smallCaps w:val="false"/>
          <w:sz w:val="22"/>
        </w:rPr>
        <w:t>”) is made by and between Maria Arantxa Horga, M.D. (“</w:t>
      </w:r>
      <w:r>
        <w:rPr>
          <w:rFonts w:ascii="Times New Roman" w:hAnsi="Times New Roman"/>
          <w:b w:val="false"/>
          <w:i w:val="false"/>
          <w:caps w:val="false"/>
          <w:smallCaps w:val="false"/>
          <w:sz w:val="22"/>
          <w:u w:val="single"/>
        </w:rPr>
        <w:t>Executive</w:t>
      </w:r>
      <w:r>
        <w:rPr>
          <w:rFonts w:ascii="Times New Roman" w:hAnsi="Times New Roman"/>
          <w:b w:val="false"/>
          <w:i w:val="false"/>
          <w:caps w:val="false"/>
          <w:smallCaps w:val="false"/>
          <w:sz w:val="22"/>
        </w:rPr>
        <w:t>”) and Atea Pharmaceuticals, Inc. (the “</w:t>
      </w:r>
      <w:r>
        <w:rPr>
          <w:rFonts w:ascii="Times New Roman" w:hAnsi="Times New Roman"/>
          <w:b w:val="false"/>
          <w:i w:val="false"/>
          <w:caps w:val="false"/>
          <w:smallCaps w:val="false"/>
          <w:sz w:val="22"/>
          <w:u w:val="single"/>
        </w:rPr>
        <w:t>Company</w:t>
      </w:r>
      <w:r>
        <w:rPr>
          <w:rFonts w:ascii="Times New Roman" w:hAnsi="Times New Roman"/>
          <w:b w:val="false"/>
          <w:i w:val="false"/>
          <w:caps w:val="false"/>
          <w:smallCaps w:val="false"/>
          <w:sz w:val="22"/>
        </w:rPr>
        <w:t>”) (collectively referred to as the “Parties” or individually referred to as a “Party”).  Capitalized terms used but not defined in this Agreement shall have the meanings set forth in the Employment Agreement (as defined below).</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WHEREAS, the Parties have previously entered into that certain Employment Agreement, dated as of _____, 2020 (the “</w:t>
      </w:r>
      <w:r>
        <w:rPr>
          <w:rFonts w:ascii="Times New Roman" w:hAnsi="Times New Roman"/>
          <w:b w:val="false"/>
          <w:i w:val="false"/>
          <w:caps w:val="false"/>
          <w:smallCaps w:val="false"/>
          <w:sz w:val="22"/>
          <w:u w:val="single"/>
        </w:rPr>
        <w:t>Employment Agreement</w:t>
      </w:r>
      <w:r>
        <w:rPr>
          <w:rFonts w:ascii="Times New Roman" w:hAnsi="Times New Roman"/>
          <w:b w:val="false"/>
          <w:i w:val="false"/>
          <w:caps w:val="false"/>
          <w:smallCaps w:val="false"/>
          <w:sz w:val="22"/>
        </w:rPr>
        <w:t>”) and that certain Employee Proprietary Information and Inventions Assignment Agreement, dated as of ________, 2020 (the “</w:t>
      </w:r>
      <w:r>
        <w:rPr>
          <w:rFonts w:ascii="Times New Roman" w:hAnsi="Times New Roman"/>
          <w:b w:val="false"/>
          <w:i w:val="false"/>
          <w:caps w:val="false"/>
          <w:smallCaps w:val="false"/>
          <w:sz w:val="22"/>
          <w:u w:val="single"/>
        </w:rPr>
        <w:t>Restrictive Covenant Agreement</w:t>
      </w:r>
      <w:r>
        <w:rPr>
          <w:rFonts w:ascii="Times New Roman" w:hAnsi="Times New Roman"/>
          <w:b w:val="false"/>
          <w:i w:val="false"/>
          <w:caps w:val="false"/>
          <w:smallCaps w:val="false"/>
          <w:sz w:val="22"/>
        </w:rPr>
        <w:t xml:space="preserve">”); and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WHEREAS, in connection with Executive’s termination of employment with the Company or a subsidiary or affiliate of the Company effective ________, 20__,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pursuant to contract or applicable law (collectively, the “</w:t>
      </w:r>
      <w:r>
        <w:rPr>
          <w:rFonts w:ascii="Times New Roman" w:hAnsi="Times New Roman"/>
          <w:b w:val="false"/>
          <w:i w:val="false"/>
          <w:caps w:val="false"/>
          <w:smallCaps w:val="false"/>
          <w:sz w:val="22"/>
          <w:u w:val="single"/>
        </w:rPr>
        <w:t>Retained Claims</w:t>
      </w:r>
      <w:r>
        <w:rPr>
          <w:rFonts w:ascii="Times New Roman" w:hAnsi="Times New Roman"/>
          <w:b w:val="false"/>
          <w:i w:val="false"/>
          <w:caps w:val="false"/>
          <w:smallCaps w:val="false"/>
          <w:sz w:val="22"/>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w:t>
      </w:r>
      <w:r>
        <w:rPr>
          <w:rFonts w:ascii="Times New Roman" w:hAnsi="Times New Roman"/>
          <w:b w:val="false"/>
          <w:i w:val="false"/>
          <w:caps w:val="false"/>
          <w:smallCaps w:val="false"/>
          <w:sz w:val="22"/>
          <w:u w:val="single"/>
        </w:rPr>
        <w:t>Severance Payments and Benefits; Salary and Benefits</w:t>
      </w:r>
      <w:r>
        <w:rPr>
          <w:rFonts w:ascii="Times New Roman" w:hAnsi="Times New Roman"/>
          <w:b w:val="false"/>
          <w:i w:val="false"/>
          <w:caps w:val="false"/>
          <w:smallCaps w:val="false"/>
          <w:sz w:val="22"/>
        </w:rPr>
        <w:t xml:space="preserve">.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r>
        <w:rPr>
          <w:rFonts w:ascii="Times New Roman" w:hAnsi="Times New Roman"/>
          <w:b w:val="false"/>
          <w:i w:val="false"/>
          <w:caps w:val="false"/>
          <w:smallCaps w:val="false"/>
          <w:sz w:val="22"/>
          <w:u w:val="single"/>
        </w:rPr>
        <w:t>3(c)</w:t>
      </w:r>
      <w:r>
        <w:rPr>
          <w:rFonts w:ascii="Times New Roman" w:hAnsi="Times New Roman"/>
          <w:b w:val="false"/>
          <w:i w:val="false"/>
          <w:caps w:val="false"/>
          <w:smallCaps w:val="false"/>
          <w:sz w:val="22"/>
        </w:rPr>
        <w:t xml:space="preserve"> of the Employment Agreement, subject to and in accordance with the terms thereof.</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w:t>
      </w:r>
      <w:r>
        <w:rPr>
          <w:rFonts w:ascii="Times New Roman" w:hAnsi="Times New Roman"/>
          <w:b w:val="false"/>
          <w:i w:val="false"/>
          <w:caps w:val="false"/>
          <w:smallCaps w:val="false"/>
          <w:sz w:val="22"/>
          <w:u w:val="single"/>
        </w:rPr>
        <w:t>Release of Claims</w:t>
      </w:r>
      <w:r>
        <w:rPr>
          <w:rFonts w:ascii="Times New Roman" w:hAnsi="Times New Roman"/>
          <w:b w:val="false"/>
          <w:i w:val="false"/>
          <w:caps w:val="false"/>
          <w:smallCaps w:val="false"/>
          <w:sz w:val="22"/>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hAnsi="Times New Roman"/>
          <w:b w:val="false"/>
          <w:i w:val="false"/>
          <w:caps w:val="false"/>
          <w:smallCaps w:val="false"/>
          <w:sz w:val="22"/>
          <w:u w:val="single"/>
        </w:rPr>
        <w:t>Releasees</w:t>
      </w:r>
      <w:r>
        <w:rPr>
          <w:rFonts w:ascii="Times New Roman" w:hAnsi="Times New Roman"/>
          <w:b w:val="false"/>
          <w:i w:val="false"/>
          <w:caps w:val="false"/>
          <w:smallCaps w:val="false"/>
          <w:sz w:val="22"/>
        </w:rPr>
        <w:t xml:space="preserve">”).  Executive, on Executive’s own behalf and on behalf of any of Executive’s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Releasees arising from any omissions, acts, facts, or damages that have occurred up until and including the date Executive signs this Agreement, including, without limitation:</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(a)any and all claims relating to or arising from Executive’s employment or service relationship with the Company or any of its direct or indirect subsidiaries or affiliates and the termination of that relationship;</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(e)any and all claims for violation of the federal or any state constitution;</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(f)any and all claims arising out of any other laws and regulations relating to employment or employment discrimination;</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(g)any claim for any loss, cost, damage, or expense arising out of any dispute over the non-withholding or other tax treatment of any of the proceeds received by Executive as a result of this Agreement;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(h)any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(i)any and all claims for attorneys’ fees and costs.</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w:t>
      </w:r>
      <w:r>
        <w:rPr>
          <w:rFonts w:ascii="Times New Roman" w:hAnsi="Times New Roman"/>
          <w:b w:val="false"/>
          <w:i w:val="false"/>
          <w:caps w:val="false"/>
          <w:smallCaps w:val="false"/>
          <w:sz w:val="22"/>
          <w:u w:val="single"/>
        </w:rPr>
        <w:t>Acknowledgment of Waiver of Claims under ADEA</w:t>
      </w:r>
      <w:r>
        <w:rPr>
          <w:rFonts w:ascii="Times New Roman" w:hAnsi="Times New Roman"/>
          <w:b w:val="false"/>
          <w:i w:val="false"/>
          <w:caps w:val="false"/>
          <w:smallCaps w:val="false"/>
          <w:sz w:val="22"/>
        </w:rPr>
        <w:t>.  Executive understands and acknowledges that Executive is waiving and releasing any rights Executive may have under the Age Discrimination in Employment Act of 1967 (“</w:t>
      </w:r>
      <w:r>
        <w:rPr>
          <w:rFonts w:ascii="Times New Roman" w:hAnsi="Times New Roman"/>
          <w:b w:val="false"/>
          <w:i w:val="false"/>
          <w:caps w:val="false"/>
          <w:smallCaps w:val="false"/>
          <w:sz w:val="22"/>
          <w:u w:val="single"/>
        </w:rPr>
        <w:t>ADEA</w:t>
      </w:r>
      <w:r>
        <w:rPr>
          <w:rFonts w:ascii="Times New Roman" w:hAnsi="Times New Roman"/>
          <w:b w:val="false"/>
          <w:i w:val="false"/>
          <w:caps w:val="false"/>
          <w:smallCaps w:val="false"/>
          <w:sz w:val="22"/>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w:t>
      </w:r>
      <w:r>
        <w:rPr>
          <w:rFonts w:ascii="Times New Roman" w:hAnsi="Times New Roman"/>
          <w:b w:val="false"/>
          <w:i w:val="false"/>
          <w:caps w:val="false"/>
          <w:smallCaps w:val="false"/>
          <w:sz w:val="22"/>
          <w:u w:val="single"/>
        </w:rPr>
        <w:t>Restrictive Covenants</w:t>
      </w:r>
      <w:r>
        <w:rPr>
          <w:rFonts w:ascii="Times New Roman" w:hAnsi="Times New Roman"/>
          <w:b w:val="false"/>
          <w:i w:val="false"/>
          <w:caps w:val="false"/>
          <w:smallCaps w:val="false"/>
          <w:sz w:val="22"/>
        </w:rPr>
        <w: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(a)Executive acknowledges and agrees that the restrictive covenants and other post-termination obligations set forth in the Restrictive Covenant Agreement, including without limitation Executive’s obligations relating to confidentiality, non-use and non-disclosure of Proprietary Information (as defined in the Restrictive Covenant Agreement), non-solicitation, cooperation, and return of property, are hereby incorporated by reference and shall remain in full force and effect pursuant to their terms to the maximum extent permitted by applicable law, except that the Parties expressly agree to modify the Restrictive Covenant Agreement by removing Section 6.1, and each subpart thereto, of the Restrictive Covenant Agreement, which shall be of no further force or effect upon the Effective Date (as defined below). Executive represents and warrants that Executive has complied with all provisions of the Restrictive Covenant Agreement at all times through the Effective Date.</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(b)In consideration for the severance payments and benefits set forth in Section 1 of this Agreement, Executive agrees for a period of one year after the Effective Date (the “</w:t>
      </w:r>
      <w:r>
        <w:rPr>
          <w:rFonts w:ascii="Times New Roman" w:hAnsi="Times New Roman"/>
          <w:b w:val="false"/>
          <w:i w:val="false"/>
          <w:caps w:val="false"/>
          <w:smallCaps w:val="false"/>
          <w:sz w:val="22"/>
          <w:u w:val="single"/>
        </w:rPr>
        <w:t>Non-Competition Restricted Period</w:t>
      </w:r>
      <w:r>
        <w:rPr>
          <w:rFonts w:ascii="Times New Roman" w:hAnsi="Times New Roman"/>
          <w:b w:val="false"/>
          <w:i w:val="false"/>
          <w:caps w:val="false"/>
          <w:smallCaps w:val="false"/>
          <w:sz w:val="22"/>
        </w:rPr>
        <w:t xml:space="preserve">”) to not, directly or indirectly, on Executive’s own behalf or for the benefit of any other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individual or entity other than the Company: (i) operate, conduct, or engage in, or prepare to operate, conduct, or engage in the Business (as defined below); (ii) own, finance, or invest in (except as the holder of not more than one percent of the outstanding stock of a publicly-held company) any Business; or (iii) participate in, render services to, or assist any person or entity that engages in or is preparing to engage in the Business in any capacity (whether as an employee, consultant, contractor, partner, officer, director, or otherwise) (x) which involves the same or similar types of services Executive performed for the Company at any time during the last two years of Executive’s employment with the Company or (y) in which Executive could reasonably be expected to use or disclose Proprietary Information, in each case (i), (ii) or (iii) in the Restricted Territory (as defined below). Without limiting the Company’s ability to seek other remedies available in law or equity, if Executive violates this Section 4(b), the Non-Competition Restricted Period shall be extended by one day for each day that Executive is in violation of such provisions, up to a maximum extension equal to the length of the Non-Competition Restricted Period, so as to give the Company the full benefit of the bargained-for length of forbearance.</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(c)Executive’s continued compliance with the terms of the Restrictive Covenant Agreement (as modified in Section 4(a) above) and the noncompetition obligations set forth in Section 4(b) above (collectively, the “</w:t>
      </w:r>
      <w:r>
        <w:rPr>
          <w:rFonts w:ascii="Times New Roman" w:hAnsi="Times New Roman"/>
          <w:b w:val="false"/>
          <w:i w:val="false"/>
          <w:caps w:val="false"/>
          <w:smallCaps w:val="false"/>
          <w:sz w:val="22"/>
          <w:u w:val="single"/>
        </w:rPr>
        <w:t>Restrictive Covenants</w:t>
      </w:r>
      <w:r>
        <w:rPr>
          <w:rFonts w:ascii="Times New Roman" w:hAnsi="Times New Roman"/>
          <w:b w:val="false"/>
          <w:i w:val="false"/>
          <w:caps w:val="false"/>
          <w:smallCaps w:val="false"/>
          <w:sz w:val="22"/>
        </w:rPr>
        <w:t>”) is a material condition to receipt of the severance payments and benefits set forth in Section 1 of this Agreement. In the event Executive breaches any part of such Restrictive Covenants, then, in addition to any remedies and enforcement mechanisms set forth in the Restrictive Covenant Agreement, the Employment Agreement and this Agreement, and any other remedies available to the Company (including equitable and injunctive remedies), Executive shall forfeit any additional consideration owing and shall be obligated to promptly return to the Company (within fifteen (15) business days of any breach) the full gross amount of all severance payments and benefits provided.</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(d)If any provision of the Restrictive Covenants shall be determined to be unenforceable by any court of competent jurisdiction or arbitrator by reason of its extending for too great a period of time or over too large a geographic area or over too great a range of activities, it shall be interpreted to extend only over the maximum period of time, geographic area or range of activities as to which it may be enforceable.</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(e)As used in this Agreement: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(i)The term “</w:t>
      </w:r>
      <w:r>
        <w:rPr>
          <w:rFonts w:ascii="Times New Roman" w:hAnsi="Times New Roman"/>
          <w:b w:val="false"/>
          <w:i w:val="false"/>
          <w:caps w:val="false"/>
          <w:smallCaps w:val="false"/>
          <w:sz w:val="22"/>
          <w:u w:val="single"/>
        </w:rPr>
        <w:t>Business</w:t>
      </w:r>
      <w:r>
        <w:rPr>
          <w:rFonts w:ascii="Times New Roman" w:hAnsi="Times New Roman"/>
          <w:b w:val="false"/>
          <w:i w:val="false"/>
          <w:caps w:val="false"/>
          <w:smallCaps w:val="false"/>
          <w:sz w:val="22"/>
        </w:rPr>
        <w:t>” means any business or part thereof that develops, manufactures, markets, licenses, sells or provides any product or service related to or comprising small molecules for the treatment of or prevention of diseases resulting from infection with coronaviruses, flavivirus or respiratory syncytial virus that competes with any product or service (i) being discovered, developed, manufactured, marketed, licensed, sold or provided by the Company or (ii) as to which the Company has taken substantial steps toward or invested substantial resources in developing, manufacturing, marketing, licensing, selling or providing, in each case, at any time during Executive’s employment or engagement with the Company.</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(ii)The term “</w:t>
      </w:r>
      <w:r>
        <w:rPr>
          <w:rFonts w:ascii="Times New Roman" w:hAnsi="Times New Roman"/>
          <w:b w:val="false"/>
          <w:i w:val="false"/>
          <w:caps w:val="false"/>
          <w:smallCaps w:val="false"/>
          <w:sz w:val="22"/>
          <w:u w:val="single"/>
        </w:rPr>
        <w:t>Restricted Territory</w:t>
      </w:r>
      <w:r>
        <w:rPr>
          <w:rFonts w:ascii="Times New Roman" w:hAnsi="Times New Roman"/>
          <w:b w:val="false"/>
          <w:i w:val="false"/>
          <w:caps w:val="false"/>
          <w:smallCaps w:val="false"/>
          <w:sz w:val="22"/>
        </w:rPr>
        <w:t>” means each city, county, state, territory and country in which (i) Executive provided services or had a material presence or influence at any time during the last two years of Executive’s employment or engagement with the Company or (ii) the Company is engaged in or has plans to engage in the Business as of the termination of Executive’s employment or engagement with the Company.</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A-4</w:t>
      </w:r>
    </w:p>
    <w:p>
      <w:pPr>
        <w:pStyle w:val="HorizontalLine"/>
        <w:rPr/>
      </w:pPr>
      <w:r>
        <w:rPr/>
      </w:r>
    </w:p>
    <w:p>
      <w:pPr>
        <w:pStyle w:val="TextBody"/>
        <w:spacing w:before="0" w:after="0"/>
        <w:rPr/>
      </w:pPr>
      <w:r>
        <w:rPr/>
        <w:t> </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5.</w:t>
      </w:r>
      <w:r>
        <w:rPr>
          <w:rFonts w:ascii="Times New Roman" w:hAnsi="Times New Roman"/>
          <w:b w:val="false"/>
          <w:i w:val="false"/>
          <w:caps w:val="false"/>
          <w:smallCaps w:val="false"/>
          <w:sz w:val="22"/>
          <w:u w:val="single"/>
        </w:rPr>
        <w:t>Severability</w:t>
      </w:r>
      <w:r>
        <w:rPr>
          <w:rFonts w:ascii="Times New Roman" w:hAnsi="Times New Roman"/>
          <w:b w:val="false"/>
          <w:i w:val="false"/>
          <w:caps w:val="false"/>
          <w:smallCaps w:val="false"/>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6.</w:t>
      </w:r>
      <w:r>
        <w:rPr>
          <w:rFonts w:ascii="Times New Roman" w:hAnsi="Times New Roman"/>
          <w:b w:val="false"/>
          <w:i w:val="false"/>
          <w:caps w:val="false"/>
          <w:smallCaps w:val="false"/>
          <w:sz w:val="22"/>
          <w:u w:val="single"/>
        </w:rPr>
        <w:t>No Oral Modification</w:t>
      </w:r>
      <w:r>
        <w:rPr>
          <w:rFonts w:ascii="Times New Roman" w:hAnsi="Times New Roman"/>
          <w:b w:val="false"/>
          <w:i w:val="false"/>
          <w:caps w:val="false"/>
          <w:smallCaps w:val="false"/>
          <w:sz w:val="22"/>
        </w:rPr>
        <w:t>.  This Agreement may only be amended in a writing signed by Executive and a duly authorized officer of the Company.</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7.</w:t>
      </w:r>
      <w:r>
        <w:rPr>
          <w:rFonts w:ascii="Times New Roman" w:hAnsi="Times New Roman"/>
          <w:b w:val="false"/>
          <w:i w:val="false"/>
          <w:caps w:val="false"/>
          <w:smallCaps w:val="false"/>
          <w:sz w:val="22"/>
          <w:u w:val="single"/>
        </w:rPr>
        <w:t>Governing Law; Dispute Resolution</w:t>
      </w:r>
      <w:r>
        <w:rPr>
          <w:rFonts w:ascii="Times New Roman" w:hAnsi="Times New Roman"/>
          <w:b w:val="false"/>
          <w:i w:val="false"/>
          <w:caps w:val="false"/>
          <w:smallCaps w:val="false"/>
          <w:sz w:val="22"/>
        </w:rPr>
        <w:t>.  This Agreement shall be subject to the provisions of Sections 9(a), 9(c), and 9(h) of the Employment Agreement.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8.</w:t>
      </w:r>
      <w:r>
        <w:rPr>
          <w:rFonts w:ascii="Times New Roman" w:hAnsi="Times New Roman"/>
          <w:b w:val="false"/>
          <w:i w:val="false"/>
          <w:caps w:val="false"/>
          <w:smallCaps w:val="false"/>
          <w:sz w:val="22"/>
          <w:u w:val="single"/>
        </w:rPr>
        <w:t>Effective Date</w:t>
      </w:r>
      <w:r>
        <w:rPr>
          <w:rFonts w:ascii="Times New Roman" w:hAnsi="Times New Roman"/>
          <w:b w:val="false"/>
          <w:i w:val="false"/>
          <w:caps w:val="false"/>
          <w:smallCaps w:val="false"/>
          <w:sz w:val="22"/>
        </w:rPr>
        <w:t>.  Executive has seven business days after Executive signs this Agreement to revoke it and this Agreement will become effective on the day immediately following the seventh  business day after Executive signed this Agreement (the “</w:t>
      </w:r>
      <w:r>
        <w:rPr>
          <w:rFonts w:ascii="Times New Roman" w:hAnsi="Times New Roman"/>
          <w:b w:val="false"/>
          <w:i w:val="false"/>
          <w:caps w:val="false"/>
          <w:smallCaps w:val="false"/>
          <w:sz w:val="22"/>
          <w:u w:val="single"/>
        </w:rPr>
        <w:t>Effective Date</w:t>
      </w:r>
      <w:r>
        <w:rPr>
          <w:rFonts w:ascii="Times New Roman" w:hAnsi="Times New Roman"/>
          <w:b w:val="false"/>
          <w:i w:val="false"/>
          <w:caps w:val="false"/>
          <w:smallCaps w:val="false"/>
          <w:sz w:val="22"/>
        </w:rPr>
        <w:t>”).  For the avoidance of doubt, if Executive revokes this Agreement as provided herein, the Parties’ modification to the Restrictive Covenant Agreement set forth in Section 4(a) above shall be void and of no effect and, unless the Company has elected or elects in writing to expressly waive Executive’s noncompetition obligations set forth in Section 6.1(a) of the Restrictive Covenant Agreement as provided in Section 6.6 of the Restrictive Covenant Agreement, the Restrictive Covenant Agreement, including without limitation Section 6.1 of the Restrictive Covenant Agreement, shall remain in full force and effect.</w:t>
      </w:r>
    </w:p>
    <w:p>
      <w:pPr>
        <w:pStyle w:val="TextBody"/>
        <w:spacing w:before="24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9.</w:t>
      </w:r>
      <w:r>
        <w:rPr>
          <w:rFonts w:ascii="Times New Roman" w:hAnsi="Times New Roman"/>
          <w:b w:val="false"/>
          <w:i w:val="false"/>
          <w:caps w:val="false"/>
          <w:smallCaps w:val="false"/>
          <w:sz w:val="22"/>
          <w:u w:val="single"/>
        </w:rPr>
        <w:t>Voluntary Execution of Agreement</w:t>
      </w:r>
      <w:r>
        <w:rPr>
          <w:rFonts w:ascii="Times New Roman" w:hAnsi="Times New Roman"/>
          <w:b w:val="false"/>
          <w:i w:val="false"/>
          <w:caps w:val="false"/>
          <w:smallCaps w:val="false"/>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IN WITNESS WHEREOF, the Parties have executed this Agreement on the respective dates set forth below.  </w:t>
      </w:r>
    </w:p>
    <w:p>
      <w:pPr>
        <w:pStyle w:val="TextBody"/>
        <w:spacing w:before="0" w:after="0"/>
        <w:rPr/>
      </w:pPr>
      <w:r>
        <w:rPr/>
        <w:t> </w:t>
      </w:r>
    </w:p>
    <w:tbl>
      <w:tblPr>
        <w:tblW w:w="4404" w:type="dxa"/>
        <w:jc w:val="center"/>
        <w:tblInd w:w="0" w:type="dxa"/>
        <w:tblCellMar>
          <w:top w:w="0" w:type="dxa"/>
          <w:left w:w="0" w:type="dxa"/>
          <w:bottom w:w="0" w:type="dxa"/>
          <w:right w:w="0" w:type="dxa"/>
        </w:tblCellMar>
      </w:tblPr>
      <w:tblGrid>
        <w:gridCol w:w="635"/>
        <w:gridCol w:w="60"/>
        <w:gridCol w:w="60"/>
        <w:gridCol w:w="1223"/>
        <w:gridCol w:w="2426"/>
      </w:tblGrid>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shd w:fill="auto" w:val="clear"/>
          </w:tcPr>
          <w:p>
            <w:pPr>
              <w:pStyle w:val="TableContents"/>
              <w:spacing w:before="0" w:after="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EXECUTIVE</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3" w:type="dxa"/>
            <w:tcBorders/>
            <w:shd w:fill="auto" w:val="clear"/>
          </w:tcPr>
          <w:p>
            <w:pPr>
              <w:pStyle w:val="TableContents"/>
              <w:spacing w:before="0" w:after="0"/>
              <w:ind w:left="0" w:right="0" w:hanging="0"/>
              <w:rPr/>
            </w:pPr>
            <w:r>
              <w:rPr/>
              <w:t> </w:t>
            </w:r>
          </w:p>
        </w:tc>
        <w:tc>
          <w:tcPr>
            <w:tcW w:w="2426" w:type="dxa"/>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3" w:type="dxa"/>
            <w:tcBorders/>
            <w:shd w:fill="auto" w:val="clear"/>
          </w:tcPr>
          <w:p>
            <w:pPr>
              <w:pStyle w:val="TableContents"/>
              <w:spacing w:before="0" w:after="0"/>
              <w:ind w:left="0" w:right="0" w:hanging="0"/>
              <w:rPr/>
            </w:pPr>
            <w:r>
              <w:rPr/>
              <w:t> </w:t>
            </w:r>
          </w:p>
        </w:tc>
        <w:tc>
          <w:tcPr>
            <w:tcW w:w="2426" w:type="dxa"/>
            <w:tcBorders/>
            <w:shd w:fill="auto" w:val="clear"/>
          </w:tcPr>
          <w:p>
            <w:pPr>
              <w:pStyle w:val="TableContents"/>
              <w:spacing w:before="0" w:after="0"/>
              <w:ind w:left="0" w:right="0" w:hanging="0"/>
              <w:rPr/>
            </w:pPr>
            <w:r>
              <w:rPr/>
              <w:t> </w:t>
            </w:r>
          </w:p>
        </w:tc>
      </w:tr>
      <w:tr>
        <w:trPr/>
        <w:tc>
          <w:tcPr>
            <w:tcW w:w="63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Dated:</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3649" w:type="dxa"/>
            <w:gridSpan w:val="2"/>
            <w:tcBorders>
              <w:bottom w:val="single" w:sz="6" w:space="0" w:color="000000"/>
            </w:tcBorders>
            <w:shd w:fill="auto" w:val="clear"/>
            <w:tcMar>
              <w:bottom w:w="28" w:type="dxa"/>
            </w:tcM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top w:val="single" w:sz="6" w:space="0" w:color="000000"/>
            </w:tcBorders>
            <w:shd w:fill="auto" w:val="clear"/>
            <w:tcMar>
              <w:top w:w="28" w:type="dxa"/>
            </w:tcM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Maria Arantxa Horga, M.D.</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3" w:type="dxa"/>
            <w:tcBorders/>
            <w:shd w:fill="auto" w:val="clear"/>
          </w:tcPr>
          <w:p>
            <w:pPr>
              <w:pStyle w:val="TableContents"/>
              <w:spacing w:before="0" w:after="0"/>
              <w:ind w:left="0" w:right="0" w:hanging="0"/>
              <w:rPr/>
            </w:pPr>
            <w:r>
              <w:rPr/>
              <w:t> </w:t>
            </w:r>
          </w:p>
        </w:tc>
        <w:tc>
          <w:tcPr>
            <w:tcW w:w="2426" w:type="dxa"/>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3" w:type="dxa"/>
            <w:tcBorders/>
            <w:shd w:fill="auto" w:val="clear"/>
          </w:tcPr>
          <w:p>
            <w:pPr>
              <w:pStyle w:val="TableContents"/>
              <w:spacing w:before="0" w:after="0"/>
              <w:ind w:left="0" w:right="0" w:hanging="0"/>
              <w:rPr/>
            </w:pPr>
            <w:r>
              <w:rPr/>
              <w:t> </w:t>
            </w:r>
          </w:p>
        </w:tc>
        <w:tc>
          <w:tcPr>
            <w:tcW w:w="2426" w:type="dxa"/>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shd w:fill="auto" w:val="clear"/>
          </w:tcPr>
          <w:p>
            <w:pPr>
              <w:pStyle w:val="TableContents"/>
              <w:spacing w:before="0" w:after="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ATEA PHARMACEUTICALS, INC.</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3" w:type="dxa"/>
            <w:tcBorders/>
            <w:shd w:fill="auto" w:val="clear"/>
          </w:tcPr>
          <w:p>
            <w:pPr>
              <w:pStyle w:val="TableContents"/>
              <w:spacing w:before="0" w:after="0"/>
              <w:ind w:left="0" w:right="0" w:hanging="0"/>
              <w:rPr/>
            </w:pPr>
            <w:r>
              <w:rPr/>
              <w:t> </w:t>
            </w:r>
          </w:p>
        </w:tc>
        <w:tc>
          <w:tcPr>
            <w:tcW w:w="2426" w:type="dxa"/>
            <w:tcBorders/>
            <w:shd w:fill="auto" w:val="clear"/>
          </w:tcPr>
          <w:p>
            <w:pPr>
              <w:pStyle w:val="TableContents"/>
              <w:spacing w:before="0" w:after="0"/>
              <w:ind w:left="0" w:right="0" w:hanging="0"/>
              <w:rPr/>
            </w:pPr>
            <w:r>
              <w:rPr/>
              <w:t> </w:t>
            </w:r>
          </w:p>
        </w:tc>
      </w:tr>
      <w:tr>
        <w:trPr/>
        <w:tc>
          <w:tcPr>
            <w:tcW w:w="63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Dated:</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1223"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w:t>
            </w:r>
          </w:p>
        </w:tc>
        <w:tc>
          <w:tcPr>
            <w:tcW w:w="2426" w:type="dxa"/>
            <w:tcBorders>
              <w:bottom w:val="single" w:sz="6" w:space="0" w:color="000000"/>
            </w:tcBorders>
            <w:shd w:fill="auto" w:val="clear"/>
            <w:tcMar>
              <w:bottom w:w="28" w:type="dxa"/>
            </w:tcM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top w:val="single" w:sz="6" w:space="0" w:color="000000"/>
            </w:tcBorders>
            <w:shd w:fill="auto" w:val="clear"/>
            <w:tcMar>
              <w:top w:w="28" w:type="dxa"/>
            </w:tcM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3" w:type="dxa"/>
            <w:tcBorders/>
            <w:shd w:fill="auto" w:val="clear"/>
          </w:tcPr>
          <w:p>
            <w:pPr>
              <w:pStyle w:val="TableContents"/>
              <w:spacing w:before="0" w:after="0"/>
              <w:ind w:left="0" w:right="0" w:hanging="0"/>
              <w:rPr/>
            </w:pPr>
            <w:r>
              <w:rPr/>
              <w:t> </w:t>
            </w:r>
          </w:p>
        </w:tc>
        <w:tc>
          <w:tcPr>
            <w:tcW w:w="2426"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Name:</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3" w:type="dxa"/>
            <w:tcBorders/>
            <w:shd w:fill="auto" w:val="clear"/>
          </w:tcPr>
          <w:p>
            <w:pPr>
              <w:pStyle w:val="TableContents"/>
              <w:spacing w:before="0" w:after="0"/>
              <w:ind w:left="0" w:right="0" w:hanging="0"/>
              <w:rPr/>
            </w:pPr>
            <w:r>
              <w:rPr/>
              <w:t> </w:t>
            </w:r>
          </w:p>
        </w:tc>
        <w:tc>
          <w:tcPr>
            <w:tcW w:w="2426" w:type="dxa"/>
            <w:tcBorders/>
            <w:shd w:fill="auto" w:val="cle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Title:</w:t>
            </w:r>
          </w:p>
        </w:tc>
      </w:tr>
    </w:tbl>
    <w:p>
      <w:pPr>
        <w:pStyle w:val="TextBody"/>
        <w:spacing w:before="0" w:after="0"/>
        <w:rPr/>
      </w:pPr>
      <w:r>
        <w:rPr/>
        <w:t> </w:t>
      </w:r>
    </w:p>
    <w:p>
      <w:pPr>
        <w:pStyle w:val="TextBody"/>
        <w:spacing w:before="240" w:after="0"/>
        <w:jc w:val="center"/>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EXHIBIT B</w:t>
      </w:r>
    </w:p>
    <w:p>
      <w:pPr>
        <w:pStyle w:val="TextBody"/>
        <w:spacing w:before="240" w:after="0"/>
        <w:jc w:val="center"/>
        <w:rPr>
          <w:rFonts w:ascii="Times New Roman" w:hAnsi="Times New Roman"/>
          <w:b/>
          <w:i w:val="false"/>
          <w:caps w:val="false"/>
          <w:smallCaps w:val="false"/>
          <w:sz w:val="22"/>
        </w:rPr>
      </w:pPr>
      <w:r>
        <w:rPr>
          <w:rFonts w:ascii="Times New Roman" w:hAnsi="Times New Roman"/>
          <w:b/>
          <w:i w:val="false"/>
          <w:caps w:val="false"/>
          <w:smallCaps w:val="false"/>
          <w:sz w:val="22"/>
        </w:rPr>
        <w:t>Restrictive Covenant Agreement</w:t>
      </w:r>
    </w:p>
    <w:p>
      <w:pPr>
        <w:pStyle w:val="TextBody"/>
        <w:spacing w:before="24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[attached]</w:t>
      </w:r>
    </w:p>
    <w:p>
      <w:pPr>
        <w:pStyle w:val="TextBody"/>
        <w:spacing w:before="0" w:after="0"/>
        <w:jc w:val="center"/>
        <w:rPr/>
      </w:pPr>
      <w:r>
        <w:rPr/>
        <w:t> </w:t>
      </w:r>
    </w:p>
    <w:p>
      <w:pPr>
        <w:pStyle w:val="TextBody"/>
        <w:spacing w:before="240" w:after="0"/>
        <w:rPr/>
      </w:pPr>
      <w:r>
        <w:rPr/>
        <w:t> </w:t>
      </w:r>
      <w:r>
        <w:br w:type="page"/>
      </w:r>
    </w:p>
    <w:p>
      <w:pPr>
        <w:pStyle w:val="TextBody"/>
        <w:spacing w:before="0" w:after="0"/>
        <w:jc w:val="right"/>
        <w:rPr>
          <w:rFonts w:ascii="Times New Roman Bold" w:hAnsi="Times New Roman Bold"/>
          <w:b/>
          <w:i w:val="false"/>
          <w:caps w:val="false"/>
          <w:smallCaps w:val="false"/>
          <w:color w:val="000000"/>
          <w:sz w:val="22"/>
        </w:rPr>
      </w:pPr>
      <w:bookmarkStart w:id="80" w:name="avir-ex1010_175.htm"/>
      <w:bookmarkStart w:id="81" w:name="ksavirex1010_175"/>
      <w:bookmarkEnd w:id="80"/>
      <w:bookmarkEnd w:id="81"/>
      <w:r>
        <w:rPr>
          <w:rFonts w:ascii="Times New Roman Bold" w:hAnsi="Times New Roman Bold"/>
          <w:b/>
          <w:i w:val="false"/>
          <w:caps w:val="false"/>
          <w:smallCaps w:val="false"/>
          <w:color w:val="000000"/>
          <w:sz w:val="22"/>
        </w:rPr>
        <w:t>Exhibit 10.10</w:t>
      </w:r>
    </w:p>
    <w:p>
      <w:pPr>
        <w:pStyle w:val="TextBody"/>
        <w:spacing w:before="0" w:after="0"/>
        <w:jc w:val="right"/>
        <w:rPr/>
      </w:pPr>
      <w:r>
        <w:rPr/>
        <w:t> </w:t>
      </w:r>
    </w:p>
    <w:p>
      <w:pPr>
        <w:pStyle w:val="TextBody"/>
        <w:spacing w:before="0" w:after="240"/>
        <w:jc w:val="center"/>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Employment Agreement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This Employment Agreement (this “</w:t>
      </w:r>
      <w:r>
        <w:rPr>
          <w:rFonts w:ascii="Times New Roman" w:hAnsi="Times New Roman"/>
          <w:b w:val="false"/>
          <w:i w:val="false"/>
          <w:caps w:val="false"/>
          <w:smallCaps w:val="false"/>
          <w:sz w:val="22"/>
          <w:u w:val="single"/>
        </w:rPr>
        <w:t>Agreement</w:t>
      </w:r>
      <w:r>
        <w:rPr>
          <w:rFonts w:ascii="Times New Roman" w:hAnsi="Times New Roman"/>
          <w:b w:val="false"/>
          <w:i w:val="false"/>
          <w:caps w:val="false"/>
          <w:smallCaps w:val="false"/>
          <w:sz w:val="22"/>
        </w:rPr>
        <w:t>”), dated as of November 3, 2020 (the “</w:t>
      </w:r>
      <w:r>
        <w:rPr>
          <w:rFonts w:ascii="Times New Roman" w:hAnsi="Times New Roman"/>
          <w:b w:val="false"/>
          <w:i w:val="false"/>
          <w:caps w:val="false"/>
          <w:smallCaps w:val="false"/>
          <w:sz w:val="22"/>
          <w:u w:val="single"/>
        </w:rPr>
        <w:t>Effective Date</w:t>
      </w:r>
      <w:r>
        <w:rPr>
          <w:rFonts w:ascii="Times New Roman" w:hAnsi="Times New Roman"/>
          <w:b w:val="false"/>
          <w:i w:val="false"/>
          <w:caps w:val="false"/>
          <w:smallCaps w:val="false"/>
          <w:sz w:val="22"/>
        </w:rPr>
        <w:t>”), is made by and between Atea Pharmaceuticals, Inc., a Delaware corporation (together with any successor thereto, the “</w:t>
      </w:r>
      <w:r>
        <w:rPr>
          <w:rFonts w:ascii="Times New Roman" w:hAnsi="Times New Roman"/>
          <w:b w:val="false"/>
          <w:i w:val="false"/>
          <w:caps w:val="false"/>
          <w:smallCaps w:val="false"/>
          <w:sz w:val="22"/>
          <w:u w:val="single"/>
        </w:rPr>
        <w:t>Company</w:t>
      </w:r>
      <w:r>
        <w:rPr>
          <w:rFonts w:ascii="Times New Roman" w:hAnsi="Times New Roman"/>
          <w:b w:val="false"/>
          <w:i w:val="false"/>
          <w:caps w:val="false"/>
          <w:smallCaps w:val="false"/>
          <w:sz w:val="22"/>
        </w:rPr>
        <w:t>”), and John Vavricka (“</w:t>
      </w:r>
      <w:r>
        <w:rPr>
          <w:rFonts w:ascii="Times New Roman" w:hAnsi="Times New Roman"/>
          <w:b w:val="false"/>
          <w:i w:val="false"/>
          <w:caps w:val="false"/>
          <w:smallCaps w:val="false"/>
          <w:sz w:val="22"/>
          <w:u w:val="single"/>
        </w:rPr>
        <w:t>Executive</w:t>
      </w:r>
      <w:r>
        <w:rPr>
          <w:rFonts w:ascii="Times New Roman" w:hAnsi="Times New Roman"/>
          <w:b w:val="false"/>
          <w:i w:val="false"/>
          <w:caps w:val="false"/>
          <w:smallCaps w:val="false"/>
          <w:sz w:val="22"/>
        </w:rPr>
        <w:t>”) (collectively referred to herein as the “</w:t>
      </w:r>
      <w:r>
        <w:rPr>
          <w:rFonts w:ascii="Times New Roman" w:hAnsi="Times New Roman"/>
          <w:b w:val="false"/>
          <w:i w:val="false"/>
          <w:caps w:val="false"/>
          <w:smallCaps w:val="false"/>
          <w:sz w:val="22"/>
          <w:u w:val="single"/>
        </w:rPr>
        <w:t>Parties</w:t>
      </w:r>
      <w:r>
        <w:rPr>
          <w:rFonts w:ascii="Times New Roman" w:hAnsi="Times New Roman"/>
          <w:b w:val="false"/>
          <w:i w:val="false"/>
          <w:caps w:val="false"/>
          <w:smallCaps w:val="false"/>
          <w:sz w:val="22"/>
        </w:rPr>
        <w:t>” or individually referred to as a “</w:t>
      </w:r>
      <w:r>
        <w:rPr>
          <w:rFonts w:ascii="Times New Roman" w:hAnsi="Times New Roman"/>
          <w:b w:val="false"/>
          <w:i w:val="false"/>
          <w:caps w:val="false"/>
          <w:smallCaps w:val="false"/>
          <w:sz w:val="22"/>
          <w:u w:val="single"/>
        </w:rPr>
        <w:t>Party</w:t>
      </w:r>
      <w:r>
        <w:rPr>
          <w:rFonts w:ascii="Times New Roman" w:hAnsi="Times New Roman"/>
          <w:b w:val="false"/>
          <w:i w:val="false"/>
          <w:caps w:val="false"/>
          <w:smallCaps w:val="false"/>
          <w:sz w:val="22"/>
        </w:rPr>
        <w:t xml:space="preserve">”).   </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RECITALS</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w:t>
            </w:r>
          </w:p>
        </w:tc>
        <w:tc>
          <w:tcPr>
            <w:tcW w:w="9960" w:type="dxa"/>
            <w:tcBorders/>
            <w:shd w:fill="auto" w:val="clear"/>
          </w:tcPr>
          <w:p>
            <w:pPr>
              <w:pStyle w:val="TableContents"/>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It is the desire of the Company to assure itself of the services of Executive as of the Effective Date and thereafter by entering into this Agreement.</w:t>
            </w:r>
          </w:p>
        </w:tc>
      </w:tr>
    </w:tbl>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w:t>
            </w:r>
          </w:p>
        </w:tc>
        <w:tc>
          <w:tcPr>
            <w:tcW w:w="9975" w:type="dxa"/>
            <w:tcBorders/>
            <w:shd w:fill="auto" w:val="clear"/>
          </w:tcPr>
          <w:p>
            <w:pPr>
              <w:pStyle w:val="TableContents"/>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Executive and the Company mutually desire that Executive provide services to the Company on the terms herein provided. </w:t>
            </w:r>
          </w:p>
        </w:tc>
      </w:tr>
    </w:tbl>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AGREEMENT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NOW, THEREFORE, in consideration of the foregoing and of the respective covenants and agreements set forth below, the Parties hereto agree as follows:</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1.</w:t>
      </w:r>
      <w:r>
        <w:rPr>
          <w:rFonts w:ascii="Times New Roman" w:hAnsi="Times New Roman"/>
          <w:b/>
          <w:i w:val="false"/>
          <w:caps w:val="false"/>
          <w:smallCaps w:val="false"/>
          <w:color w:val="000000"/>
          <w:spacing w:val="0"/>
          <w:sz w:val="22"/>
          <w:u w:val="single"/>
        </w:rPr>
        <w:t>Employment</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General</w:t>
      </w:r>
      <w:r>
        <w:rPr>
          <w:rFonts w:ascii="Times New Roman" w:hAnsi="Times New Roman"/>
          <w:b w:val="false"/>
          <w:i w:val="false"/>
          <w:caps w:val="false"/>
          <w:smallCaps w:val="false"/>
          <w:color w:val="000000"/>
          <w:spacing w:val="0"/>
          <w:sz w:val="22"/>
        </w:rPr>
        <w:t xml:space="preserve">.  Effective on the Effective Date, the Company shall employ Executive, and Executive shall be employed by the Company, for the period and in the positions set forth in this </w:t>
      </w:r>
      <w:r>
        <w:rPr>
          <w:rFonts w:ascii="Times New Roman" w:hAnsi="Times New Roman"/>
          <w:b w:val="false"/>
          <w:i w:val="false"/>
          <w:caps w:val="false"/>
          <w:smallCaps w:val="false"/>
          <w:color w:val="000000"/>
          <w:spacing w:val="0"/>
          <w:sz w:val="22"/>
          <w:u w:val="single"/>
        </w:rPr>
        <w:t>Section 1</w:t>
      </w:r>
      <w:r>
        <w:rPr>
          <w:rFonts w:ascii="Times New Roman" w:hAnsi="Times New Roman"/>
          <w:b w:val="false"/>
          <w:i w:val="false"/>
          <w:caps w:val="false"/>
          <w:smallCaps w:val="false"/>
          <w:color w:val="000000"/>
          <w:spacing w:val="0"/>
          <w:sz w:val="22"/>
        </w:rPr>
        <w:t>, and subject to the other terms and conditions herein provided.</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At-Will Employment</w:t>
      </w:r>
      <w:r>
        <w:rPr>
          <w:rFonts w:ascii="Times New Roman" w:hAnsi="Times New Roman"/>
          <w:b w:val="false"/>
          <w:i w:val="false"/>
          <w:caps w:val="false"/>
          <w:smallCaps w:val="false"/>
          <w:color w:val="000000"/>
          <w:spacing w:val="0"/>
          <w:sz w:val="22"/>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 w:hAnsi="Times New Roman"/>
          <w:b w:val="false"/>
          <w:i w:val="false"/>
          <w:caps w:val="false"/>
          <w:smallCaps w:val="false"/>
          <w:color w:val="000000"/>
          <w:spacing w:val="0"/>
          <w:sz w:val="22"/>
          <w:u w:val="single"/>
        </w:rPr>
        <w:t>Section 3(b)</w:t>
      </w:r>
      <w:r>
        <w:rPr>
          <w:rFonts w:ascii="Times New Roman" w:hAnsi="Times New Roman"/>
          <w:b w:val="false"/>
          <w:i w:val="false"/>
          <w:caps w:val="false"/>
          <w:smallCaps w:val="false"/>
          <w:color w:val="000000"/>
          <w:spacing w:val="0"/>
          <w:sz w:val="22"/>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hAnsi="Times New Roman"/>
          <w:b w:val="false"/>
          <w:i w:val="false"/>
          <w:caps w:val="false"/>
          <w:smallCaps w:val="false"/>
          <w:color w:val="000000"/>
          <w:spacing w:val="0"/>
          <w:sz w:val="22"/>
          <w:u w:val="single"/>
        </w:rPr>
        <w:t>Term</w:t>
      </w:r>
      <w:r>
        <w:rPr>
          <w:rFonts w:ascii="Times New Roman" w:hAnsi="Times New Roman"/>
          <w:b w:val="false"/>
          <w:i w:val="false"/>
          <w:caps w:val="false"/>
          <w:smallCaps w:val="false"/>
          <w:color w:val="000000"/>
          <w:spacing w:val="0"/>
          <w:sz w:val="22"/>
        </w:rPr>
        <w:t xml:space="preserve">”) shall commence on the Effective Date and end on the date this Agreement is terminated under </w:t>
      </w:r>
      <w:r>
        <w:rPr>
          <w:rFonts w:ascii="Times New Roman" w:hAnsi="Times New Roman"/>
          <w:b w:val="false"/>
          <w:i w:val="false"/>
          <w:caps w:val="false"/>
          <w:smallCaps w:val="false"/>
          <w:color w:val="000000"/>
          <w:spacing w:val="0"/>
          <w:sz w:val="22"/>
          <w:u w:val="single"/>
        </w:rPr>
        <w:t>Section 3</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Positions and Duties</w:t>
      </w:r>
      <w:r>
        <w:rPr>
          <w:rFonts w:ascii="Times New Roman" w:hAnsi="Times New Roman"/>
          <w:b w:val="false"/>
          <w:i w:val="false"/>
          <w:caps w:val="false"/>
          <w:smallCaps w:val="false"/>
          <w:color w:val="000000"/>
          <w:spacing w:val="0"/>
          <w:sz w:val="22"/>
        </w:rPr>
        <w:t>.  During the Term, Executive shall serve as Chief Commercial Officer of the Company, with such responsibilities, duties and authority normally associated with such position and as may from time to time be assigned to Executive by the Chief Executive Officer of the Company (the “</w:t>
      </w:r>
      <w:r>
        <w:rPr>
          <w:rFonts w:ascii="Times New Roman" w:hAnsi="Times New Roman"/>
          <w:b w:val="false"/>
          <w:i w:val="false"/>
          <w:caps w:val="false"/>
          <w:smallCaps w:val="false"/>
          <w:color w:val="000000"/>
          <w:spacing w:val="0"/>
          <w:sz w:val="22"/>
          <w:u w:val="single"/>
        </w:rPr>
        <w:t>CEO</w:t>
      </w:r>
      <w:r>
        <w:rPr>
          <w:rFonts w:ascii="Times New Roman" w:hAnsi="Times New Roman"/>
          <w:b w:val="false"/>
          <w:i w:val="false"/>
          <w:caps w:val="false"/>
          <w:smallCaps w:val="false"/>
          <w:color w:val="000000"/>
          <w:spacing w:val="0"/>
          <w:sz w:val="22"/>
        </w:rPr>
        <w:t>”) or Executive’s direct supervisor.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provided that Executive shall be permitted to (i) manage Executive’s personal, financial and legal affairs, (ii) participate in trade associations, and (iii) serve on the board of directors of not-for-profit or tax-exempt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and as delivered or made available to Executive (each, a “</w:t>
      </w:r>
      <w:r>
        <w:rPr>
          <w:rFonts w:ascii="Times New Roman" w:hAnsi="Times New Roman"/>
          <w:b w:val="false"/>
          <w:i w:val="false"/>
          <w:caps w:val="false"/>
          <w:smallCaps w:val="false"/>
          <w:color w:val="000000"/>
          <w:spacing w:val="0"/>
          <w:sz w:val="22"/>
          <w:u w:val="single"/>
        </w:rPr>
        <w:t>Policy</w:t>
      </w:r>
      <w:r>
        <w:rPr>
          <w:rFonts w:ascii="Times New Roman" w:hAnsi="Times New Roman"/>
          <w:b w:val="false"/>
          <w:i w:val="false"/>
          <w:caps w:val="false"/>
          <w:smallCaps w:val="false"/>
          <w:color w:val="000000"/>
          <w:spacing w:val="0"/>
          <w:sz w:val="22"/>
        </w:rPr>
        <w:t xml:space="preserve">”).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strike w:val="false"/>
          <w:dstrike w:val="false"/>
          <w:color w:val="000000"/>
          <w:spacing w:val="0"/>
          <w:sz w:val="24"/>
          <w:u w:val="none"/>
          <w:effect w:val="none"/>
        </w:rPr>
        <w:t>2.</w:t>
      </w:r>
      <w:r>
        <w:rPr>
          <w:rFonts w:ascii="Times New Roman" w:hAnsi="Times New Roman"/>
          <w:b/>
          <w:i w:val="false"/>
          <w:caps w:val="false"/>
          <w:smallCaps w:val="false"/>
          <w:color w:val="000000"/>
          <w:spacing w:val="0"/>
          <w:sz w:val="22"/>
          <w:u w:val="single"/>
        </w:rPr>
        <w:t>Compensation and Related Matters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Annual Base Salary</w:t>
      </w:r>
      <w:r>
        <w:rPr>
          <w:rFonts w:ascii="Times New Roman" w:hAnsi="Times New Roman"/>
          <w:b w:val="false"/>
          <w:i w:val="false"/>
          <w:caps w:val="false"/>
          <w:smallCaps w:val="false"/>
          <w:color w:val="000000"/>
          <w:spacing w:val="0"/>
          <w:sz w:val="22"/>
        </w:rPr>
        <w:t>.  During the Term, Executive shall receive a base salary at a rate of $375,000 per annum, which shall be paid in accordance with the customary payroll practices of the Company and shall be pro-rated for partial years of employment.  Such annual base salary shall be reviewed (and may be adjusted) from time to time by the Board of Directors of the Company or an authorized committee thereof (in either case, the “</w:t>
      </w:r>
      <w:r>
        <w:rPr>
          <w:rFonts w:ascii="Times New Roman" w:hAnsi="Times New Roman"/>
          <w:b w:val="false"/>
          <w:i w:val="false"/>
          <w:caps w:val="false"/>
          <w:smallCaps w:val="false"/>
          <w:color w:val="000000"/>
          <w:spacing w:val="0"/>
          <w:sz w:val="22"/>
          <w:u w:val="single"/>
        </w:rPr>
        <w:t>Board</w:t>
      </w:r>
      <w:r>
        <w:rPr>
          <w:rFonts w:ascii="Times New Roman" w:hAnsi="Times New Roman"/>
          <w:b w:val="false"/>
          <w:i w:val="false"/>
          <w:caps w:val="false"/>
          <w:smallCaps w:val="false"/>
          <w:color w:val="000000"/>
          <w:spacing w:val="0"/>
          <w:sz w:val="22"/>
        </w:rPr>
        <w:t>”) (such annual base salary, as it may be adjusted from time to time, the “</w:t>
      </w:r>
      <w:r>
        <w:rPr>
          <w:rFonts w:ascii="Times New Roman" w:hAnsi="Times New Roman"/>
          <w:b w:val="false"/>
          <w:i w:val="false"/>
          <w:caps w:val="false"/>
          <w:smallCaps w:val="false"/>
          <w:color w:val="000000"/>
          <w:spacing w:val="0"/>
          <w:sz w:val="22"/>
          <w:u w:val="single"/>
        </w:rPr>
        <w:t>Annual Base Salary</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Annual Cash Bonus Opportunity</w:t>
      </w:r>
      <w:r>
        <w:rPr>
          <w:rFonts w:ascii="Times New Roman" w:hAnsi="Times New Roman"/>
          <w:b w:val="false"/>
          <w:i w:val="false"/>
          <w:caps w:val="false"/>
          <w:smallCaps w:val="false"/>
          <w:color w:val="000000"/>
          <w:spacing w:val="0"/>
          <w:sz w:val="22"/>
        </w:rPr>
        <w:t>.  During the Term, Executive will be eligible to participate in an annual incentive program established by the Board.  Executive’s annual incentive compensation under such incentive program (the “</w:t>
      </w:r>
      <w:r>
        <w:rPr>
          <w:rFonts w:ascii="Times New Roman" w:hAnsi="Times New Roman"/>
          <w:b w:val="false"/>
          <w:i w:val="false"/>
          <w:caps w:val="false"/>
          <w:smallCaps w:val="false"/>
          <w:color w:val="000000"/>
          <w:spacing w:val="0"/>
          <w:sz w:val="22"/>
          <w:u w:val="single"/>
        </w:rPr>
        <w:t>Annual Bonus</w:t>
      </w:r>
      <w:r>
        <w:rPr>
          <w:rFonts w:ascii="Times New Roman" w:hAnsi="Times New Roman"/>
          <w:b w:val="false"/>
          <w:i w:val="false"/>
          <w:caps w:val="false"/>
          <w:smallCaps w:val="false"/>
          <w:color w:val="000000"/>
          <w:spacing w:val="0"/>
          <w:sz w:val="22"/>
        </w:rPr>
        <w:t>”) shall be targeted at 40% of Executive’s Annual Base Salary (such target, as may be adjusted by the Board from time to time, the “</w:t>
      </w:r>
      <w:r>
        <w:rPr>
          <w:rFonts w:ascii="Times New Roman" w:hAnsi="Times New Roman"/>
          <w:b w:val="false"/>
          <w:i w:val="false"/>
          <w:caps w:val="false"/>
          <w:smallCaps w:val="false"/>
          <w:color w:val="000000"/>
          <w:spacing w:val="0"/>
          <w:sz w:val="22"/>
          <w:u w:val="single"/>
        </w:rPr>
        <w:t>Target Annual Bonus</w:t>
      </w:r>
      <w:r>
        <w:rPr>
          <w:rFonts w:ascii="Times New Roman" w:hAnsi="Times New Roman"/>
          <w:b w:val="false"/>
          <w:i w:val="false"/>
          <w:caps w:val="false"/>
          <w:smallCaps w:val="false"/>
          <w:color w:val="000000"/>
          <w:spacing w:val="0"/>
          <w:sz w:val="22"/>
        </w:rPr>
        <w:t xml:space="preserve">”).  The Annual Bonus payable under the incentive program shall be based on the achievement of performance goals to be determined by the Board and may in the Board’s discretion be calculated in a manner intended to reflect any mid-year changes in Annual Base Salary or Target Annual Bonus.  The payment of any Annual Bonus pursuant to the incentive program shall be subject to Executive’s continued employment with the Company through the date of payment, except as otherwise provided in </w:t>
      </w:r>
      <w:r>
        <w:rPr>
          <w:rFonts w:ascii="Times New Roman" w:hAnsi="Times New Roman"/>
          <w:b w:val="false"/>
          <w:i w:val="false"/>
          <w:caps w:val="false"/>
          <w:smallCaps w:val="false"/>
          <w:color w:val="000000"/>
          <w:spacing w:val="0"/>
          <w:sz w:val="22"/>
          <w:u w:val="single"/>
        </w:rPr>
        <w:t>Section 4(b)</w:t>
      </w:r>
      <w:r>
        <w:rPr>
          <w:rFonts w:ascii="Times New Roman" w:hAnsi="Times New Roman"/>
          <w:b w:val="false"/>
          <w:i w:val="false"/>
          <w:caps w:val="false"/>
          <w:smallCaps w:val="false"/>
          <w:color w:val="000000"/>
          <w:spacing w:val="0"/>
          <w:sz w:val="22"/>
        </w:rPr>
        <w:t xml:space="preserv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Benefits</w:t>
      </w:r>
      <w:r>
        <w:rPr>
          <w:rFonts w:ascii="Times New Roman" w:hAnsi="Times New Roman"/>
          <w:b w:val="false"/>
          <w:i w:val="false"/>
          <w:caps w:val="false"/>
          <w:smallCaps w:val="false"/>
          <w:color w:val="000000"/>
          <w:spacing w:val="0"/>
          <w:sz w:val="22"/>
        </w:rPr>
        <w:t xml:space="preserve">.  During the Term, Executive shall be eligible to participate in employee benefit plans, programs and arrangements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 w:hAnsi="Times New Roman"/>
          <w:b w:val="false"/>
          <w:i w:val="false"/>
          <w:caps w:val="false"/>
          <w:smallCaps w:val="false"/>
          <w:color w:val="000000"/>
          <w:spacing w:val="0"/>
          <w:sz w:val="22"/>
          <w:u w:val="single"/>
        </w:rPr>
        <w:t>Section 4</w:t>
      </w:r>
      <w:r>
        <w:rPr>
          <w:rFonts w:ascii="Times New Roman" w:hAnsi="Times New Roman"/>
          <w:b w:val="false"/>
          <w:i w:val="false"/>
          <w:caps w:val="false"/>
          <w:smallCaps w:val="false"/>
          <w:color w:val="000000"/>
          <w:spacing w:val="0"/>
          <w:sz w:val="22"/>
        </w:rPr>
        <w:t xml:space="preserve"> of this Agreement.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w:t>
      </w:r>
      <w:r>
        <w:rPr>
          <w:rFonts w:ascii="Times New Roman" w:hAnsi="Times New Roman"/>
          <w:b w:val="false"/>
          <w:i w:val="false"/>
          <w:caps w:val="false"/>
          <w:smallCaps w:val="false"/>
          <w:color w:val="000000"/>
          <w:spacing w:val="0"/>
          <w:sz w:val="22"/>
          <w:u w:val="single"/>
        </w:rPr>
        <w:t>Vacation</w:t>
      </w:r>
      <w:r>
        <w:rPr>
          <w:rFonts w:ascii="Times New Roman" w:hAnsi="Times New Roman"/>
          <w:b w:val="false"/>
          <w:i w:val="false"/>
          <w:caps w:val="false"/>
          <w:smallCaps w:val="false"/>
          <w:color w:val="000000"/>
          <w:spacing w:val="0"/>
          <w:sz w:val="22"/>
        </w:rPr>
        <w:t xml:space="preserve">.  During the Term, Executive shall be entitled to paid personal leave in accordance with the Company’s Policies.  Any vacation shall be taken at the reasonable and mutual convenience of the Company and Executive.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(e)</w:t>
      </w:r>
      <w:r>
        <w:rPr>
          <w:rFonts w:ascii="Times New Roman" w:hAnsi="Times New Roman"/>
          <w:b w:val="false"/>
          <w:i w:val="false"/>
          <w:caps w:val="false"/>
          <w:smallCaps w:val="false"/>
          <w:color w:val="000000"/>
          <w:spacing w:val="0"/>
          <w:sz w:val="22"/>
          <w:u w:val="single"/>
        </w:rPr>
        <w:t>Business Expenses</w:t>
      </w:r>
      <w:r>
        <w:rPr>
          <w:rFonts w:ascii="Times New Roman" w:hAnsi="Times New Roman"/>
          <w:b w:val="false"/>
          <w:i w:val="false"/>
          <w:caps w:val="false"/>
          <w:smallCaps w:val="false"/>
          <w:color w:val="000000"/>
          <w:spacing w:val="0"/>
          <w:sz w:val="22"/>
        </w:rPr>
        <w:t>.  During the Term, the Company shall reimburse Executive for all reasonable travel and other business expenses incurred by Executive in the performance of Executive’s duties to the Company in accordance with the Company’s expense reimbursement Policy.</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(f)</w:t>
      </w:r>
      <w:r>
        <w:rPr>
          <w:rFonts w:ascii="Times New Roman" w:hAnsi="Times New Roman"/>
          <w:b w:val="false"/>
          <w:i w:val="false"/>
          <w:caps w:val="false"/>
          <w:smallCaps w:val="false"/>
          <w:color w:val="000000"/>
          <w:spacing w:val="0"/>
          <w:sz w:val="22"/>
          <w:u w:val="single"/>
        </w:rPr>
        <w:t>Key Person Insurance</w:t>
      </w:r>
      <w:r>
        <w:rPr>
          <w:rFonts w:ascii="Times New Roman" w:hAnsi="Times New Roman"/>
          <w:b w:val="false"/>
          <w:i w:val="false"/>
          <w:caps w:val="false"/>
          <w:smallCaps w:val="false"/>
          <w:color w:val="000000"/>
          <w:spacing w:val="0"/>
          <w:sz w:val="22"/>
        </w:rPr>
        <w:t xml:space="preserve">.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3.</w:t>
      </w:r>
      <w:r>
        <w:rPr>
          <w:rFonts w:ascii="Times New Roman" w:hAnsi="Times New Roman"/>
          <w:b/>
          <w:i w:val="false"/>
          <w:caps w:val="false"/>
          <w:smallCaps w:val="false"/>
          <w:color w:val="000000"/>
          <w:spacing w:val="0"/>
          <w:sz w:val="22"/>
          <w:u w:val="single"/>
        </w:rPr>
        <w:t>Termination</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Executive’s employment hereunder and the Term may be terminated by the Company or Executive, as applicable, without any breach of this Agreement under the following circumstances and the Term will end on the Date of Termination:</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strike w:val="false"/>
          <w:dstrike w:val="false"/>
          <w:color w:val="000000"/>
          <w:spacing w:val="0"/>
          <w:sz w:val="22"/>
          <w:u w:val="none"/>
          <w:effect w:val="none"/>
        </w:rPr>
        <w:t>(a)</w:t>
      </w:r>
      <w:r>
        <w:rPr>
          <w:rFonts w:ascii="Times New Roman" w:hAnsi="Times New Roman"/>
          <w:b w:val="false"/>
          <w:i w:val="false"/>
          <w:caps w:val="false"/>
          <w:smallCaps w:val="false"/>
          <w:color w:val="000000"/>
          <w:spacing w:val="0"/>
          <w:sz w:val="22"/>
          <w:u w:val="single"/>
        </w:rPr>
        <w:t>Circumstances</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w:t>
      </w:r>
      <w:r>
        <w:rPr>
          <w:rFonts w:ascii="Times New Roman" w:hAnsi="Times New Roman"/>
          <w:b w:val="false"/>
          <w:i/>
          <w:caps w:val="false"/>
          <w:smallCaps w:val="false"/>
          <w:color w:val="000000"/>
          <w:spacing w:val="0"/>
          <w:sz w:val="22"/>
        </w:rPr>
        <w:t>Death</w:t>
      </w:r>
      <w:r>
        <w:rPr>
          <w:rFonts w:ascii="Times New Roman" w:hAnsi="Times New Roman"/>
          <w:b w:val="false"/>
          <w:i w:val="false"/>
          <w:caps w:val="false"/>
          <w:smallCaps w:val="false"/>
          <w:color w:val="000000"/>
          <w:spacing w:val="0"/>
          <w:sz w:val="22"/>
        </w:rPr>
        <w:t>.  Executive’s employment hereunder shall terminate upon Executive’s death.</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w:t>
      </w:r>
      <w:r>
        <w:rPr>
          <w:rFonts w:ascii="Times New Roman" w:hAnsi="Times New Roman"/>
          <w:b w:val="false"/>
          <w:i/>
          <w:caps w:val="false"/>
          <w:smallCaps w:val="false"/>
          <w:color w:val="000000"/>
          <w:spacing w:val="0"/>
          <w:sz w:val="22"/>
        </w:rPr>
        <w:t>Disability</w:t>
      </w:r>
      <w:r>
        <w:rPr>
          <w:rFonts w:ascii="Times New Roman" w:hAnsi="Times New Roman"/>
          <w:b w:val="false"/>
          <w:i w:val="false"/>
          <w:caps w:val="false"/>
          <w:smallCaps w:val="false"/>
          <w:color w:val="000000"/>
          <w:spacing w:val="0"/>
          <w:sz w:val="22"/>
        </w:rPr>
        <w:t>.  If Executive has incurred a Disability, as defined below, the Company may terminate Executive’s employment.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w:t>
      </w:r>
      <w:r>
        <w:rPr>
          <w:rFonts w:ascii="Times New Roman" w:hAnsi="Times New Roman"/>
          <w:b w:val="false"/>
          <w:i/>
          <w:caps w:val="false"/>
          <w:smallCaps w:val="false"/>
          <w:color w:val="000000"/>
          <w:spacing w:val="0"/>
          <w:sz w:val="22"/>
        </w:rPr>
        <w:t>Termination for Cause</w:t>
      </w:r>
      <w:r>
        <w:rPr>
          <w:rFonts w:ascii="Times New Roman" w:hAnsi="Times New Roman"/>
          <w:b w:val="false"/>
          <w:i w:val="false"/>
          <w:caps w:val="false"/>
          <w:smallCaps w:val="false"/>
          <w:color w:val="000000"/>
          <w:spacing w:val="0"/>
          <w:sz w:val="22"/>
        </w:rPr>
        <w:t>.  The Company may terminate Executive’s employment for Cause, as defined below.</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(iv)</w:t>
      </w:r>
      <w:r>
        <w:rPr>
          <w:rFonts w:ascii="Times New Roman" w:hAnsi="Times New Roman"/>
          <w:b w:val="false"/>
          <w:i/>
          <w:caps w:val="false"/>
          <w:smallCaps w:val="false"/>
          <w:color w:val="000000"/>
          <w:spacing w:val="0"/>
          <w:sz w:val="22"/>
        </w:rPr>
        <w:t>Termination without Cause</w:t>
      </w:r>
      <w:r>
        <w:rPr>
          <w:rFonts w:ascii="Times New Roman" w:hAnsi="Times New Roman"/>
          <w:b w:val="false"/>
          <w:i w:val="false"/>
          <w:caps w:val="false"/>
          <w:smallCaps w:val="false"/>
          <w:color w:val="000000"/>
          <w:spacing w:val="0"/>
          <w:sz w:val="22"/>
        </w:rPr>
        <w:t>.  The Company may terminate Executive’s employment without Cause.</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w:t>
      </w:r>
      <w:r>
        <w:rPr>
          <w:rFonts w:ascii="Times New Roman" w:hAnsi="Times New Roman"/>
          <w:b w:val="false"/>
          <w:i/>
          <w:caps w:val="false"/>
          <w:smallCaps w:val="false"/>
          <w:color w:val="000000"/>
          <w:spacing w:val="0"/>
          <w:sz w:val="22"/>
        </w:rPr>
        <w:t>Resignation from the Company with Good Reason.  </w:t>
      </w:r>
      <w:r>
        <w:rPr>
          <w:rFonts w:ascii="Times New Roman" w:hAnsi="Times New Roman"/>
          <w:b w:val="false"/>
          <w:i w:val="false"/>
          <w:caps w:val="false"/>
          <w:smallCaps w:val="false"/>
          <w:color w:val="000000"/>
          <w:spacing w:val="0"/>
          <w:sz w:val="22"/>
        </w:rPr>
        <w:t>Executive may resign Executive’s employment with the Company with Good Reason, as defined below.</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(vi)</w:t>
      </w:r>
      <w:r>
        <w:rPr>
          <w:rFonts w:ascii="Times New Roman" w:hAnsi="Times New Roman"/>
          <w:b w:val="false"/>
          <w:i/>
          <w:caps w:val="false"/>
          <w:smallCaps w:val="false"/>
          <w:color w:val="000000"/>
          <w:spacing w:val="0"/>
          <w:sz w:val="22"/>
        </w:rPr>
        <w:t>Resignation from the Company without Good Reason</w:t>
      </w:r>
      <w:r>
        <w:rPr>
          <w:rFonts w:ascii="Times New Roman" w:hAnsi="Times New Roman"/>
          <w:b w:val="false"/>
          <w:i w:val="false"/>
          <w:caps w:val="false"/>
          <w:smallCaps w:val="false"/>
          <w:color w:val="000000"/>
          <w:spacing w:val="0"/>
          <w:sz w:val="22"/>
        </w:rPr>
        <w:t>.  Executive may resign Executive’s employment with the Company for any reason other than Good Reason or for no reason.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Notice of Termination</w:t>
      </w:r>
      <w:r>
        <w:rPr>
          <w:rFonts w:ascii="Times New Roman" w:hAnsi="Times New Roman"/>
          <w:b w:val="false"/>
          <w:i w:val="false"/>
          <w:caps w:val="false"/>
          <w:smallCaps w:val="false"/>
          <w:color w:val="000000"/>
          <w:spacing w:val="0"/>
          <w:sz w:val="22"/>
        </w:rPr>
        <w:t xml:space="preserve">.  Any termination of Executive’s employment by the Company or by Executive under this </w:t>
      </w:r>
      <w:r>
        <w:rPr>
          <w:rFonts w:ascii="Times New Roman" w:hAnsi="Times New Roman"/>
          <w:b w:val="false"/>
          <w:i w:val="false"/>
          <w:caps w:val="false"/>
          <w:smallCaps w:val="false"/>
          <w:color w:val="000000"/>
          <w:spacing w:val="0"/>
          <w:sz w:val="22"/>
          <w:u w:val="single"/>
        </w:rPr>
        <w:t>Section 3</w:t>
      </w:r>
      <w:r>
        <w:rPr>
          <w:rFonts w:ascii="Times New Roman" w:hAnsi="Times New Roman"/>
          <w:b w:val="false"/>
          <w:i w:val="false"/>
          <w:caps w:val="false"/>
          <w:smallCaps w:val="false"/>
          <w:color w:val="000000"/>
          <w:spacing w:val="0"/>
          <w:sz w:val="22"/>
        </w:rPr>
        <w:t xml:space="preserve"> (other than termination pursuant to </w:t>
      </w:r>
      <w:r>
        <w:rPr>
          <w:rFonts w:ascii="Times New Roman" w:hAnsi="Times New Roman"/>
          <w:b w:val="false"/>
          <w:i w:val="false"/>
          <w:caps w:val="false"/>
          <w:smallCaps w:val="false"/>
          <w:color w:val="000000"/>
          <w:spacing w:val="0"/>
          <w:sz w:val="22"/>
          <w:u w:val="single"/>
        </w:rPr>
        <w:t>Section 3(a)(i))</w:t>
      </w:r>
      <w:r>
        <w:rPr>
          <w:rFonts w:ascii="Times New Roman" w:hAnsi="Times New Roman"/>
          <w:b w:val="false"/>
          <w:i w:val="false"/>
          <w:caps w:val="false"/>
          <w:smallCaps w:val="false"/>
          <w:color w:val="000000"/>
          <w:spacing w:val="0"/>
          <w:sz w:val="22"/>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hAnsi="Times New Roman"/>
          <w:b w:val="false"/>
          <w:i w:val="false"/>
          <w:caps w:val="false"/>
          <w:smallCaps w:val="false"/>
          <w:color w:val="000000"/>
          <w:spacing w:val="0"/>
          <w:sz w:val="22"/>
          <w:u w:val="single"/>
        </w:rPr>
        <w:t>Notice of Termination</w:t>
      </w:r>
      <w:r>
        <w:rPr>
          <w:rFonts w:ascii="Times New Roman" w:hAnsi="Times New Roman"/>
          <w:b w:val="false"/>
          <w:i w:val="false"/>
          <w:caps w:val="false"/>
          <w:smallCaps w:val="false"/>
          <w:color w:val="000000"/>
          <w:spacing w:val="0"/>
          <w:sz w:val="22"/>
        </w:rPr>
        <w:t xml:space="preserve">”); </w:t>
      </w:r>
      <w:r>
        <w:rPr>
          <w:rFonts w:ascii="Times New Roman" w:hAnsi="Times New Roman"/>
          <w:b w:val="false"/>
          <w:i/>
          <w:caps w:val="false"/>
          <w:smallCaps w:val="false"/>
          <w:color w:val="000000"/>
          <w:spacing w:val="0"/>
          <w:sz w:val="22"/>
        </w:rPr>
        <w:t>provided, however</w:t>
      </w:r>
      <w:r>
        <w:rPr>
          <w:rFonts w:ascii="Times New Roman" w:hAnsi="Times New Roman"/>
          <w:b w:val="false"/>
          <w:i w:val="false"/>
          <w:caps w:val="false"/>
          <w:smallCaps w:val="false"/>
          <w:color w:val="000000"/>
          <w:spacing w:val="0"/>
          <w:sz w:val="22"/>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Company Obligations upon Termination</w:t>
      </w:r>
      <w:r>
        <w:rPr>
          <w:rFonts w:ascii="Times New Roman" w:hAnsi="Times New Roman"/>
          <w:b w:val="false"/>
          <w:i w:val="false"/>
          <w:caps w:val="false"/>
          <w:smallCaps w:val="false"/>
          <w:color w:val="000000"/>
          <w:spacing w:val="0"/>
          <w:sz w:val="22"/>
        </w:rPr>
        <w:t xml:space="preserve">.  Upon termination of Executive’s employment pursuant to any of the circumstances listed in this </w:t>
      </w:r>
      <w:r>
        <w:rPr>
          <w:rFonts w:ascii="Times New Roman" w:hAnsi="Times New Roman"/>
          <w:b w:val="false"/>
          <w:i w:val="false"/>
          <w:caps w:val="false"/>
          <w:smallCaps w:val="false"/>
          <w:color w:val="000000"/>
          <w:spacing w:val="0"/>
          <w:sz w:val="22"/>
          <w:u w:val="single"/>
        </w:rPr>
        <w:t>Section 3</w:t>
      </w:r>
      <w:r>
        <w:rPr>
          <w:rFonts w:ascii="Times New Roman" w:hAnsi="Times New Roman"/>
          <w:b w:val="false"/>
          <w:i w:val="false"/>
          <w:caps w:val="false"/>
          <w:smallCaps w:val="false"/>
          <w:color w:val="000000"/>
          <w:spacing w:val="0"/>
          <w:sz w:val="22"/>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Times New Roman" w:hAnsi="Times New Roman"/>
          <w:b w:val="false"/>
          <w:i w:val="false"/>
          <w:caps w:val="false"/>
          <w:smallCaps w:val="false"/>
          <w:color w:val="000000"/>
          <w:spacing w:val="0"/>
          <w:sz w:val="22"/>
          <w:u w:val="single"/>
        </w:rPr>
        <w:t>Section 2(e)</w:t>
      </w:r>
      <w:r>
        <w:rPr>
          <w:rFonts w:ascii="Times New Roman" w:hAnsi="Times New Roman"/>
          <w:b w:val="false"/>
          <w:i w:val="false"/>
          <w:caps w:val="false"/>
          <w:smallCaps w:val="false"/>
          <w:color w:val="000000"/>
          <w:spacing w:val="0"/>
          <w:sz w:val="22"/>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hAnsi="Times New Roman"/>
          <w:b w:val="false"/>
          <w:i w:val="false"/>
          <w:caps w:val="false"/>
          <w:smallCaps w:val="false"/>
          <w:color w:val="000000"/>
          <w:spacing w:val="0"/>
          <w:sz w:val="22"/>
          <w:u w:val="single"/>
        </w:rPr>
        <w:t>Company Arrangements</w:t>
      </w:r>
      <w:r>
        <w:rPr>
          <w:rFonts w:ascii="Times New Roman" w:hAnsi="Times New Roman"/>
          <w:b w:val="false"/>
          <w:i w:val="false"/>
          <w:caps w:val="false"/>
          <w:smallCaps w:val="false"/>
          <w:color w:val="000000"/>
          <w:spacing w:val="0"/>
          <w:sz w:val="22"/>
        </w:rPr>
        <w:t>”).  Except as otherwise expressly required by law (</w:t>
      </w:r>
      <w:r>
        <w:rPr>
          <w:rFonts w:ascii="Times New Roman" w:hAnsi="Times New Roman"/>
          <w:b w:val="false"/>
          <w:i w:val="false"/>
          <w:caps w:val="false"/>
          <w:smallCaps w:val="false"/>
          <w:color w:val="000000"/>
          <w:spacing w:val="0"/>
          <w:sz w:val="22"/>
          <w:u w:val="single"/>
        </w:rPr>
        <w:t>e.g.</w:t>
      </w:r>
      <w:r>
        <w:rPr>
          <w:rFonts w:ascii="Times New Roman" w:hAnsi="Times New Roman"/>
          <w:b w:val="false"/>
          <w:i w:val="false"/>
          <w:caps w:val="false"/>
          <w:smallCaps w:val="false"/>
          <w:color w:val="000000"/>
          <w:spacing w:val="0"/>
          <w:sz w:val="22"/>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Times New Roman" w:hAnsi="Times New Roman"/>
          <w:b w:val="false"/>
          <w:i w:val="false"/>
          <w:caps w:val="false"/>
          <w:smallCaps w:val="false"/>
          <w:color w:val="000000"/>
          <w:spacing w:val="0"/>
          <w:sz w:val="22"/>
          <w:u w:val="single"/>
        </w:rPr>
        <w:t xml:space="preserve">Section 3(c) </w:t>
      </w:r>
      <w:r>
        <w:rPr>
          <w:rFonts w:ascii="Times New Roman" w:hAnsi="Times New Roman"/>
          <w:b w:val="false"/>
          <w:i w:val="false"/>
          <w:caps w:val="false"/>
          <w:smallCaps w:val="false"/>
          <w:color w:val="000000"/>
          <w:spacing w:val="0"/>
          <w:sz w:val="22"/>
        </w:rPr>
        <w:t xml:space="preserve">or </w:t>
      </w:r>
      <w:r>
        <w:rPr>
          <w:rFonts w:ascii="Times New Roman" w:hAnsi="Times New Roman"/>
          <w:b w:val="false"/>
          <w:i w:val="false"/>
          <w:caps w:val="false"/>
          <w:smallCaps w:val="false"/>
          <w:color w:val="000000"/>
          <w:spacing w:val="0"/>
          <w:sz w:val="22"/>
          <w:u w:val="single"/>
        </w:rPr>
        <w:t>Section 4</w:t>
      </w:r>
      <w:r>
        <w:rPr>
          <w:rFonts w:ascii="Times New Roman" w:hAnsi="Times New Roman"/>
          <w:b w:val="false"/>
          <w:i w:val="false"/>
          <w:caps w:val="false"/>
          <w:smallCaps w:val="false"/>
          <w:color w:val="000000"/>
          <w:spacing w:val="0"/>
          <w:sz w:val="22"/>
        </w:rPr>
        <w:t>, as applicable.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3</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strike w:val="false"/>
          <w:dstrike w:val="false"/>
          <w:color w:val="000000"/>
          <w:spacing w:val="0"/>
          <w:sz w:val="22"/>
          <w:u w:val="none"/>
          <w:effect w:val="none"/>
        </w:rPr>
        <w:t>(d)</w:t>
      </w:r>
      <w:r>
        <w:rPr>
          <w:rFonts w:ascii="Times New Roman" w:hAnsi="Times New Roman"/>
          <w:b w:val="false"/>
          <w:i w:val="false"/>
          <w:caps w:val="false"/>
          <w:smallCaps w:val="false"/>
          <w:color w:val="000000"/>
          <w:spacing w:val="0"/>
          <w:sz w:val="22"/>
          <w:u w:val="single"/>
        </w:rPr>
        <w:t>Deemed Resignation</w:t>
      </w:r>
      <w:r>
        <w:rPr>
          <w:rFonts w:ascii="Times New Roman" w:hAnsi="Times New Roman"/>
          <w:b w:val="false"/>
          <w:i w:val="false"/>
          <w:caps w:val="false"/>
          <w:smallCaps w:val="false"/>
          <w:color w:val="000000"/>
          <w:spacing w:val="0"/>
          <w:sz w:val="22"/>
        </w:rPr>
        <w:t>.  Upon termination of Executive’s employment for any reason, Executive shall be deemed to have resigned from all offices and directorships, if any, then held with the Company or any of its subsidiaries.</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4.</w:t>
      </w:r>
      <w:r>
        <w:rPr>
          <w:rFonts w:ascii="Times New Roman" w:hAnsi="Times New Roman"/>
          <w:b/>
          <w:i w:val="false"/>
          <w:caps w:val="false"/>
          <w:smallCaps w:val="false"/>
          <w:color w:val="000000"/>
          <w:spacing w:val="0"/>
          <w:sz w:val="22"/>
          <w:u w:val="single"/>
        </w:rPr>
        <w:t>Severance Payments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Termination for Cause, or Termination Upon Death, Disability or Resignation from the Company Without Good Reason</w:t>
      </w:r>
      <w:r>
        <w:rPr>
          <w:rFonts w:ascii="Times New Roman" w:hAnsi="Times New Roman"/>
          <w:b w:val="false"/>
          <w:i w:val="false"/>
          <w:caps w:val="false"/>
          <w:smallCaps w:val="false"/>
          <w:color w:val="000000"/>
          <w:spacing w:val="0"/>
          <w:sz w:val="22"/>
        </w:rPr>
        <w:t xml:space="preserve">.  If Executive’s employment shall terminate as a result of Executive’s death pursuant to </w:t>
      </w:r>
      <w:r>
        <w:rPr>
          <w:rFonts w:ascii="Times New Roman" w:hAnsi="Times New Roman"/>
          <w:b w:val="false"/>
          <w:i w:val="false"/>
          <w:caps w:val="false"/>
          <w:smallCaps w:val="false"/>
          <w:color w:val="000000"/>
          <w:spacing w:val="0"/>
          <w:sz w:val="22"/>
          <w:u w:val="single"/>
        </w:rPr>
        <w:t>Section 3(a)(i)</w:t>
      </w:r>
      <w:r>
        <w:rPr>
          <w:rFonts w:ascii="Times New Roman" w:hAnsi="Times New Roman"/>
          <w:b w:val="false"/>
          <w:i w:val="false"/>
          <w:caps w:val="false"/>
          <w:smallCaps w:val="false"/>
          <w:color w:val="000000"/>
          <w:spacing w:val="0"/>
          <w:sz w:val="22"/>
        </w:rPr>
        <w:t xml:space="preserve"> or Disability pursuant to </w:t>
      </w:r>
      <w:r>
        <w:rPr>
          <w:rFonts w:ascii="Times New Roman" w:hAnsi="Times New Roman"/>
          <w:b w:val="false"/>
          <w:i w:val="false"/>
          <w:caps w:val="false"/>
          <w:smallCaps w:val="false"/>
          <w:color w:val="000000"/>
          <w:spacing w:val="0"/>
          <w:sz w:val="22"/>
          <w:u w:val="single"/>
        </w:rPr>
        <w:t>Section 3(a)(ii)</w:t>
      </w:r>
      <w:r>
        <w:rPr>
          <w:rFonts w:ascii="Times New Roman" w:hAnsi="Times New Roman"/>
          <w:b w:val="false"/>
          <w:i w:val="false"/>
          <w:caps w:val="false"/>
          <w:smallCaps w:val="false"/>
          <w:color w:val="000000"/>
          <w:spacing w:val="0"/>
          <w:sz w:val="22"/>
        </w:rPr>
        <w:t xml:space="preserve">, pursuant to </w:t>
      </w:r>
      <w:r>
        <w:rPr>
          <w:rFonts w:ascii="Times New Roman" w:hAnsi="Times New Roman"/>
          <w:b w:val="false"/>
          <w:i w:val="false"/>
          <w:caps w:val="false"/>
          <w:smallCaps w:val="false"/>
          <w:color w:val="000000"/>
          <w:spacing w:val="0"/>
          <w:sz w:val="22"/>
          <w:u w:val="single"/>
        </w:rPr>
        <w:t>Section 3(a)(iii)</w:t>
      </w:r>
      <w:r>
        <w:rPr>
          <w:rFonts w:ascii="Times New Roman" w:hAnsi="Times New Roman"/>
          <w:b w:val="false"/>
          <w:i w:val="false"/>
          <w:caps w:val="false"/>
          <w:smallCaps w:val="false"/>
          <w:color w:val="000000"/>
          <w:spacing w:val="0"/>
          <w:sz w:val="22"/>
        </w:rPr>
        <w:t xml:space="preserve"> for Cause, or pursuant to </w:t>
      </w:r>
      <w:r>
        <w:rPr>
          <w:rFonts w:ascii="Times New Roman" w:hAnsi="Times New Roman"/>
          <w:b w:val="false"/>
          <w:i w:val="false"/>
          <w:caps w:val="false"/>
          <w:smallCaps w:val="false"/>
          <w:color w:val="000000"/>
          <w:spacing w:val="0"/>
          <w:sz w:val="22"/>
          <w:u w:val="single"/>
        </w:rPr>
        <w:t>Section 3(a)(vi)</w:t>
      </w:r>
      <w:r>
        <w:rPr>
          <w:rFonts w:ascii="Times New Roman" w:hAnsi="Times New Roman"/>
          <w:b w:val="false"/>
          <w:i w:val="false"/>
          <w:caps w:val="false"/>
          <w:smallCaps w:val="false"/>
          <w:color w:val="000000"/>
          <w:spacing w:val="0"/>
          <w:sz w:val="22"/>
        </w:rPr>
        <w:t xml:space="preserve"> for Executive’s resignation from the Company without Good Reason, then Executive shall not be entitled to any severance payments or benefits, except as provided in </w:t>
      </w:r>
      <w:r>
        <w:rPr>
          <w:rFonts w:ascii="Times New Roman" w:hAnsi="Times New Roman"/>
          <w:b w:val="false"/>
          <w:i w:val="false"/>
          <w:caps w:val="false"/>
          <w:smallCaps w:val="false"/>
          <w:color w:val="000000"/>
          <w:spacing w:val="0"/>
          <w:sz w:val="22"/>
          <w:u w:val="single"/>
        </w:rPr>
        <w:t>Section 3(c)</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Termination without Cause, or Resignation from the Company with Good Reason</w:t>
      </w:r>
      <w:r>
        <w:rPr>
          <w:rFonts w:ascii="Times New Roman" w:hAnsi="Times New Roman"/>
          <w:b w:val="false"/>
          <w:i w:val="false"/>
          <w:caps w:val="false"/>
          <w:smallCaps w:val="false"/>
          <w:color w:val="000000"/>
          <w:spacing w:val="0"/>
          <w:sz w:val="22"/>
        </w:rPr>
        <w:t xml:space="preserve">.  If Executive’s employment terminates without Cause pursuant to </w:t>
      </w:r>
      <w:r>
        <w:rPr>
          <w:rFonts w:ascii="Times New Roman" w:hAnsi="Times New Roman"/>
          <w:b w:val="false"/>
          <w:i w:val="false"/>
          <w:caps w:val="false"/>
          <w:smallCaps w:val="false"/>
          <w:color w:val="000000"/>
          <w:spacing w:val="0"/>
          <w:sz w:val="22"/>
          <w:u w:val="single"/>
        </w:rPr>
        <w:t>Section 3(a)(iv)</w:t>
      </w:r>
      <w:r>
        <w:rPr>
          <w:rFonts w:ascii="Times New Roman" w:hAnsi="Times New Roman"/>
          <w:b w:val="false"/>
          <w:i w:val="false"/>
          <w:caps w:val="false"/>
          <w:smallCaps w:val="false"/>
          <w:color w:val="000000"/>
          <w:spacing w:val="0"/>
          <w:sz w:val="22"/>
        </w:rPr>
        <w:t xml:space="preserve">, or pursuant to </w:t>
      </w:r>
      <w:r>
        <w:rPr>
          <w:rFonts w:ascii="Times New Roman" w:hAnsi="Times New Roman"/>
          <w:b w:val="false"/>
          <w:i w:val="false"/>
          <w:caps w:val="false"/>
          <w:smallCaps w:val="false"/>
          <w:color w:val="000000"/>
          <w:spacing w:val="0"/>
          <w:sz w:val="22"/>
          <w:u w:val="single"/>
        </w:rPr>
        <w:t>Section 3(a)(v)</w:t>
      </w:r>
      <w:r>
        <w:rPr>
          <w:rFonts w:ascii="Times New Roman" w:hAnsi="Times New Roman"/>
          <w:b w:val="false"/>
          <w:i w:val="false"/>
          <w:caps w:val="false"/>
          <w:smallCaps w:val="false"/>
          <w:color w:val="000000"/>
          <w:spacing w:val="0"/>
          <w:sz w:val="22"/>
        </w:rPr>
        <w:t xml:space="preserve"> due to Executive’s resignation with Good Reason, then except as otherwise provided under </w:t>
      </w:r>
      <w:r>
        <w:rPr>
          <w:rFonts w:ascii="Times New Roman" w:hAnsi="Times New Roman"/>
          <w:b w:val="false"/>
          <w:i w:val="false"/>
          <w:caps w:val="false"/>
          <w:smallCaps w:val="false"/>
          <w:color w:val="000000"/>
          <w:spacing w:val="0"/>
          <w:sz w:val="22"/>
          <w:u w:val="single"/>
        </w:rPr>
        <w:t>Section 4(c)</w:t>
      </w:r>
      <w:r>
        <w:rPr>
          <w:rFonts w:ascii="Times New Roman" w:hAnsi="Times New Roman"/>
          <w:b w:val="false"/>
          <w:i w:val="false"/>
          <w:caps w:val="false"/>
          <w:smallCaps w:val="false"/>
          <w:color w:val="000000"/>
          <w:spacing w:val="0"/>
          <w:sz w:val="22"/>
        </w:rPr>
        <w:t xml:space="preserve"> and subject to Executive signing on or before the 21st day following Executive’s Separation from Service (as defined below), and not revoking, a release of claims substantially in the form attached as </w:t>
      </w:r>
      <w:r>
        <w:rPr>
          <w:rFonts w:ascii="Times New Roman" w:hAnsi="Times New Roman"/>
          <w:b w:val="false"/>
          <w:i w:val="false"/>
          <w:caps w:val="false"/>
          <w:smallCaps w:val="false"/>
          <w:color w:val="000000"/>
          <w:spacing w:val="0"/>
          <w:sz w:val="22"/>
          <w:u w:val="single"/>
        </w:rPr>
        <w:t>Exhibit A</w:t>
      </w:r>
      <w:r>
        <w:rPr>
          <w:rFonts w:ascii="Times New Roman" w:hAnsi="Times New Roman"/>
          <w:b w:val="false"/>
          <w:i w:val="false"/>
          <w:caps w:val="false"/>
          <w:smallCaps w:val="false"/>
          <w:color w:val="000000"/>
          <w:spacing w:val="0"/>
          <w:sz w:val="22"/>
        </w:rPr>
        <w:t xml:space="preserve"> to this Agreement (the “</w:t>
      </w:r>
      <w:r>
        <w:rPr>
          <w:rFonts w:ascii="Times New Roman" w:hAnsi="Times New Roman"/>
          <w:b w:val="false"/>
          <w:i w:val="false"/>
          <w:caps w:val="false"/>
          <w:smallCaps w:val="false"/>
          <w:color w:val="000000"/>
          <w:spacing w:val="0"/>
          <w:sz w:val="22"/>
          <w:u w:val="single"/>
        </w:rPr>
        <w:t>Release</w:t>
      </w:r>
      <w:r>
        <w:rPr>
          <w:rFonts w:ascii="Times New Roman" w:hAnsi="Times New Roman"/>
          <w:b w:val="false"/>
          <w:i w:val="false"/>
          <w:caps w:val="false"/>
          <w:smallCaps w:val="false"/>
          <w:color w:val="000000"/>
          <w:spacing w:val="0"/>
          <w:sz w:val="22"/>
        </w:rPr>
        <w:t xml:space="preserve">”) and Executive’s continued compliance with </w:t>
      </w:r>
      <w:r>
        <w:rPr>
          <w:rFonts w:ascii="Times New Roman" w:hAnsi="Times New Roman"/>
          <w:b w:val="false"/>
          <w:i w:val="false"/>
          <w:caps w:val="false"/>
          <w:smallCaps w:val="false"/>
          <w:color w:val="000000"/>
          <w:spacing w:val="0"/>
          <w:sz w:val="22"/>
          <w:u w:val="single"/>
        </w:rPr>
        <w:t>Section 5</w:t>
      </w:r>
      <w:r>
        <w:rPr>
          <w:rFonts w:ascii="Times New Roman" w:hAnsi="Times New Roman"/>
          <w:b w:val="false"/>
          <w:i w:val="false"/>
          <w:caps w:val="false"/>
          <w:smallCaps w:val="false"/>
          <w:color w:val="000000"/>
          <w:spacing w:val="0"/>
          <w:sz w:val="22"/>
        </w:rPr>
        <w:t xml:space="preserve">, Executive shall receive, in addition to payments and benefits set forth in </w:t>
      </w:r>
      <w:r>
        <w:rPr>
          <w:rFonts w:ascii="Times New Roman" w:hAnsi="Times New Roman"/>
          <w:b w:val="false"/>
          <w:i w:val="false"/>
          <w:caps w:val="false"/>
          <w:smallCaps w:val="false"/>
          <w:color w:val="000000"/>
          <w:spacing w:val="0"/>
          <w:sz w:val="22"/>
          <w:u w:val="single"/>
        </w:rPr>
        <w:t>Section 3(c)</w:t>
      </w:r>
      <w:r>
        <w:rPr>
          <w:rFonts w:ascii="Times New Roman" w:hAnsi="Times New Roman"/>
          <w:b w:val="false"/>
          <w:i w:val="false"/>
          <w:caps w:val="false"/>
          <w:smallCaps w:val="false"/>
          <w:color w:val="000000"/>
          <w:spacing w:val="0"/>
          <w:sz w:val="22"/>
        </w:rPr>
        <w:t>, the following:</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(i)an amount in cash equal to 1.0 times the Annual Base Salary, payable in the form of salary continuation in regular installments over the 12 month period following the date of Executive’s Separation from Service (the “</w:t>
      </w:r>
      <w:r>
        <w:rPr>
          <w:rFonts w:ascii="Times New Roman" w:hAnsi="Times New Roman"/>
          <w:b w:val="false"/>
          <w:i w:val="false"/>
          <w:caps w:val="false"/>
          <w:smallCaps w:val="false"/>
          <w:color w:val="000000"/>
          <w:spacing w:val="0"/>
          <w:sz w:val="22"/>
          <w:u w:val="single"/>
        </w:rPr>
        <w:t>Severance Period</w:t>
      </w:r>
      <w:r>
        <w:rPr>
          <w:rFonts w:ascii="Times New Roman" w:hAnsi="Times New Roman"/>
          <w:b w:val="false"/>
          <w:i w:val="false"/>
          <w:caps w:val="false"/>
          <w:smallCaps w:val="false"/>
          <w:color w:val="000000"/>
          <w:spacing w:val="0"/>
          <w:sz w:val="22"/>
        </w:rPr>
        <w:t>”) in accordance with the Company’s normal payroll practices;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(ii)to the extent unpaid as of the Date of Termination, an amount of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hAnsi="Times New Roman"/>
          <w:b w:val="false"/>
          <w:i w:val="false"/>
          <w:caps w:val="false"/>
          <w:smallCaps w:val="false"/>
          <w:color w:val="000000"/>
          <w:spacing w:val="0"/>
          <w:sz w:val="22"/>
          <w:u w:val="single"/>
        </w:rPr>
        <w:t>COBRA</w:t>
      </w:r>
      <w:r>
        <w:rPr>
          <w:rFonts w:ascii="Times New Roman" w:hAnsi="Times New Roman"/>
          <w:b w:val="false"/>
          <w:i w:val="false"/>
          <w:caps w:val="false"/>
          <w:smallCaps w:val="false"/>
          <w:color w:val="000000"/>
          <w:spacing w:val="0"/>
          <w:sz w:val="22"/>
        </w:rPr>
        <w:t>”),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(A) the last day of the Severance Period,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hAnsi="Times New Roman"/>
          <w:b w:val="false"/>
          <w:i w:val="false"/>
          <w:caps w:val="false"/>
          <w:smallCaps w:val="false"/>
          <w:color w:val="000000"/>
          <w:spacing w:val="0"/>
          <w:sz w:val="22"/>
          <w:u w:val="single"/>
        </w:rPr>
        <w:t>COBRA Continuation Period</w:t>
      </w:r>
      <w:r>
        <w:rPr>
          <w:rFonts w:ascii="Times New Roman" w:hAnsi="Times New Roman"/>
          <w:b w:val="false"/>
          <w:i w:val="false"/>
          <w:caps w:val="false"/>
          <w:smallCaps w:val="false"/>
          <w:color w:val="000000"/>
          <w:spacing w:val="0"/>
          <w:sz w:val="22"/>
        </w:rPr>
        <w:t xml:space="preserve">”).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4</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Date of Termination (which amount shall be based on the premium for the first month of COBRA coverage), less the amount Executive would have had to pay to receive such group health coverage as an active employee for Executive and his or her covered dependents based on the cost sharing levels in effect on the Date of Termination, which payments shall for the remainder of the COBRA Continuation Period.</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Change in Control</w:t>
      </w:r>
      <w:r>
        <w:rPr>
          <w:rFonts w:ascii="Times New Roman" w:hAnsi="Times New Roman"/>
          <w:b w:val="false"/>
          <w:i w:val="false"/>
          <w:caps w:val="false"/>
          <w:smallCaps w:val="false"/>
          <w:color w:val="000000"/>
          <w:spacing w:val="0"/>
          <w:sz w:val="22"/>
        </w:rPr>
        <w:t xml:space="preserve">.  In lieu of the payments and benefits set forth in </w:t>
      </w:r>
      <w:r>
        <w:rPr>
          <w:rFonts w:ascii="Times New Roman" w:hAnsi="Times New Roman"/>
          <w:b w:val="false"/>
          <w:i w:val="false"/>
          <w:caps w:val="false"/>
          <w:smallCaps w:val="false"/>
          <w:color w:val="000000"/>
          <w:spacing w:val="0"/>
          <w:sz w:val="22"/>
          <w:u w:val="single"/>
        </w:rPr>
        <w:t>Section 4(b)</w:t>
      </w:r>
      <w:r>
        <w:rPr>
          <w:rFonts w:ascii="Times New Roman" w:hAnsi="Times New Roman"/>
          <w:b w:val="false"/>
          <w:i w:val="false"/>
          <w:caps w:val="false"/>
          <w:smallCaps w:val="false"/>
          <w:color w:val="000000"/>
          <w:spacing w:val="0"/>
          <w:sz w:val="22"/>
        </w:rPr>
        <w:t xml:space="preserve">, in the event Executive’s employment terminates without Cause pursuant to </w:t>
      </w:r>
      <w:r>
        <w:rPr>
          <w:rFonts w:ascii="Times New Roman" w:hAnsi="Times New Roman"/>
          <w:b w:val="false"/>
          <w:i w:val="false"/>
          <w:caps w:val="false"/>
          <w:smallCaps w:val="false"/>
          <w:color w:val="000000"/>
          <w:spacing w:val="0"/>
          <w:sz w:val="22"/>
          <w:u w:val="single"/>
        </w:rPr>
        <w:t>Section 3(a)(iv)</w:t>
      </w:r>
      <w:r>
        <w:rPr>
          <w:rFonts w:ascii="Times New Roman" w:hAnsi="Times New Roman"/>
          <w:b w:val="false"/>
          <w:i w:val="false"/>
          <w:caps w:val="false"/>
          <w:smallCaps w:val="false"/>
          <w:color w:val="000000"/>
          <w:spacing w:val="0"/>
          <w:sz w:val="22"/>
        </w:rPr>
        <w:t xml:space="preserve">, or pursuant to </w:t>
      </w:r>
      <w:r>
        <w:rPr>
          <w:rFonts w:ascii="Times New Roman" w:hAnsi="Times New Roman"/>
          <w:b w:val="false"/>
          <w:i w:val="false"/>
          <w:caps w:val="false"/>
          <w:smallCaps w:val="false"/>
          <w:color w:val="000000"/>
          <w:spacing w:val="0"/>
          <w:sz w:val="22"/>
          <w:u w:val="single"/>
        </w:rPr>
        <w:t>Section 3(a)(v)</w:t>
      </w:r>
      <w:r>
        <w:rPr>
          <w:rFonts w:ascii="Times New Roman" w:hAnsi="Times New Roman"/>
          <w:b w:val="false"/>
          <w:i w:val="false"/>
          <w:caps w:val="false"/>
          <w:smallCaps w:val="false"/>
          <w:color w:val="000000"/>
          <w:spacing w:val="0"/>
          <w:sz w:val="22"/>
        </w:rPr>
        <w:t xml:space="preserve"> 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Times New Roman" w:hAnsi="Times New Roman"/>
          <w:b w:val="false"/>
          <w:i w:val="false"/>
          <w:caps w:val="false"/>
          <w:smallCaps w:val="false"/>
          <w:color w:val="000000"/>
          <w:spacing w:val="0"/>
          <w:sz w:val="22"/>
          <w:u w:val="single"/>
        </w:rPr>
        <w:t>Section 5</w:t>
      </w:r>
      <w:r>
        <w:rPr>
          <w:rFonts w:ascii="Times New Roman" w:hAnsi="Times New Roman"/>
          <w:b w:val="false"/>
          <w:i w:val="false"/>
          <w:caps w:val="false"/>
          <w:smallCaps w:val="false"/>
          <w:color w:val="000000"/>
          <w:spacing w:val="0"/>
          <w:sz w:val="22"/>
        </w:rPr>
        <w:t xml:space="preserve">, Executive shall receive, in addition to the payments and benefits set forth in </w:t>
      </w:r>
      <w:r>
        <w:rPr>
          <w:rFonts w:ascii="Times New Roman" w:hAnsi="Times New Roman"/>
          <w:b w:val="false"/>
          <w:i w:val="false"/>
          <w:caps w:val="false"/>
          <w:smallCaps w:val="false"/>
          <w:color w:val="000000"/>
          <w:spacing w:val="0"/>
          <w:sz w:val="22"/>
          <w:u w:val="single"/>
        </w:rPr>
        <w:t>Section 3(c)</w:t>
      </w:r>
      <w:r>
        <w:rPr>
          <w:rFonts w:ascii="Times New Roman" w:hAnsi="Times New Roman"/>
          <w:b w:val="false"/>
          <w:i w:val="false"/>
          <w:caps w:val="false"/>
          <w:smallCaps w:val="false"/>
          <w:color w:val="000000"/>
          <w:spacing w:val="0"/>
          <w:sz w:val="22"/>
        </w:rPr>
        <w:t>, the following:</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(i)an amount in cash equal to 1.5 times the Annual Base Salary, payable in equal installments over the 18 month period following the date of Executive’s Separation from Service (the “</w:t>
      </w:r>
      <w:r>
        <w:rPr>
          <w:rFonts w:ascii="Times New Roman" w:hAnsi="Times New Roman"/>
          <w:b w:val="false"/>
          <w:i w:val="false"/>
          <w:caps w:val="false"/>
          <w:smallCaps w:val="false"/>
          <w:color w:val="000000"/>
          <w:spacing w:val="0"/>
          <w:sz w:val="22"/>
          <w:u w:val="single"/>
        </w:rPr>
        <w:t>CIC Severance Period</w:t>
      </w:r>
      <w:r>
        <w:rPr>
          <w:rFonts w:ascii="Times New Roman" w:hAnsi="Times New Roman"/>
          <w:b w:val="false"/>
          <w:i w:val="false"/>
          <w:caps w:val="false"/>
          <w:smallCaps w:val="false"/>
          <w:color w:val="000000"/>
          <w:spacing w:val="0"/>
          <w:sz w:val="22"/>
        </w:rPr>
        <w:t>”) in accordance with the Company’s normal payroll practices;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(ii)the payment set forth in </w:t>
      </w:r>
      <w:r>
        <w:rPr>
          <w:rFonts w:ascii="Times New Roman" w:hAnsi="Times New Roman"/>
          <w:b w:val="false"/>
          <w:i w:val="false"/>
          <w:caps w:val="false"/>
          <w:smallCaps w:val="false"/>
          <w:color w:val="000000"/>
          <w:spacing w:val="0"/>
          <w:sz w:val="22"/>
          <w:u w:val="single"/>
        </w:rPr>
        <w:t>Section 4(b)(ii)</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(iii)the benefits set forth in </w:t>
      </w:r>
      <w:r>
        <w:rPr>
          <w:rFonts w:ascii="Times New Roman" w:hAnsi="Times New Roman"/>
          <w:b w:val="false"/>
          <w:i w:val="false"/>
          <w:caps w:val="false"/>
          <w:smallCaps w:val="false"/>
          <w:color w:val="000000"/>
          <w:spacing w:val="0"/>
          <w:sz w:val="22"/>
          <w:u w:val="single"/>
        </w:rPr>
        <w:t>Section 4(b)(iii)</w:t>
      </w:r>
      <w:r>
        <w:rPr>
          <w:rFonts w:ascii="Times New Roman" w:hAnsi="Times New Roman"/>
          <w:b w:val="false"/>
          <w:i w:val="false"/>
          <w:caps w:val="false"/>
          <w:smallCaps w:val="false"/>
          <w:color w:val="000000"/>
          <w:spacing w:val="0"/>
          <w:sz w:val="22"/>
        </w:rPr>
        <w:t xml:space="preserve">, provided that for this purpose, the “Severance Period” will mean the CIC Severance Period;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(iv)an amount in cash equal to 1.5 times the Target Annual Bonus, payable in a lump sum on the Company’s first ordinary payroll date that occurs after the Date of Termination;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(v)an amount in cash equal to a prorated portion of the Target Annual Bonus for the year in which the Date of Termination occurs, with such proration based on the portion of the year that Executive was employed by the Company prior to the Date of Termination, payable in a lump sum on the Company’s first ordinary payroll date that occurs after the Date of Termination; and</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(vi)all unvested equity or equity-based awards held by Executive under any Company equity compensation plans that vest solely based on continued employment or service shall immediately become 100% vested, with any other equity or equity-based awards being governed by the terms of the applicable award agreement.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w:t>
      </w:r>
      <w:r>
        <w:rPr>
          <w:rFonts w:ascii="Times New Roman" w:hAnsi="Times New Roman"/>
          <w:b w:val="false"/>
          <w:i w:val="false"/>
          <w:caps w:val="false"/>
          <w:smallCaps w:val="false"/>
          <w:color w:val="000000"/>
          <w:spacing w:val="0"/>
          <w:sz w:val="22"/>
          <w:u w:val="single"/>
        </w:rPr>
        <w:t>Survival</w:t>
      </w:r>
      <w:r>
        <w:rPr>
          <w:rFonts w:ascii="Times New Roman" w:hAnsi="Times New Roman"/>
          <w:b w:val="false"/>
          <w:i w:val="false"/>
          <w:caps w:val="false"/>
          <w:smallCaps w:val="false"/>
          <w:color w:val="000000"/>
          <w:spacing w:val="0"/>
          <w:sz w:val="22"/>
        </w:rPr>
        <w:t xml:space="preserve">.  Notwithstanding anything to the contrary in this Agreement, the provisions of </w:t>
      </w:r>
      <w:r>
        <w:rPr>
          <w:rFonts w:ascii="Times New Roman" w:hAnsi="Times New Roman"/>
          <w:b w:val="false"/>
          <w:i w:val="false"/>
          <w:caps w:val="false"/>
          <w:smallCaps w:val="false"/>
          <w:color w:val="000000"/>
          <w:spacing w:val="0"/>
          <w:sz w:val="22"/>
          <w:u w:val="single"/>
        </w:rPr>
        <w:t>Sections 5</w:t>
      </w:r>
      <w:r>
        <w:rPr>
          <w:rFonts w:ascii="Times New Roman" w:hAnsi="Times New Roman"/>
          <w:b w:val="false"/>
          <w:i w:val="false"/>
          <w:caps w:val="false"/>
          <w:smallCaps w:val="false"/>
          <w:color w:val="000000"/>
          <w:spacing w:val="0"/>
          <w:sz w:val="22"/>
        </w:rPr>
        <w:t xml:space="preserve"> through </w:t>
      </w:r>
      <w:r>
        <w:rPr>
          <w:rFonts w:ascii="Times New Roman" w:hAnsi="Times New Roman"/>
          <w:b w:val="false"/>
          <w:i w:val="false"/>
          <w:caps w:val="false"/>
          <w:smallCaps w:val="false"/>
          <w:color w:val="000000"/>
          <w:spacing w:val="0"/>
          <w:sz w:val="22"/>
          <w:u w:val="single"/>
        </w:rPr>
        <w:t>9</w:t>
      </w:r>
      <w:r>
        <w:rPr>
          <w:rFonts w:ascii="Times New Roman" w:hAnsi="Times New Roman"/>
          <w:b w:val="false"/>
          <w:i w:val="false"/>
          <w:caps w:val="false"/>
          <w:smallCaps w:val="false"/>
          <w:color w:val="000000"/>
          <w:spacing w:val="0"/>
          <w:sz w:val="22"/>
        </w:rPr>
        <w:t xml:space="preserve"> will survive the termination of Executive’s employment and the termination of the Term.</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5.</w:t>
      </w:r>
      <w:r>
        <w:rPr>
          <w:rFonts w:ascii="Times New Roman" w:hAnsi="Times New Roman"/>
          <w:b/>
          <w:i w:val="false"/>
          <w:caps w:val="false"/>
          <w:smallCaps w:val="false"/>
          <w:color w:val="000000"/>
          <w:spacing w:val="0"/>
          <w:sz w:val="22"/>
          <w:u w:val="single"/>
        </w:rPr>
        <w:t>Restrictive Covenants</w:t>
      </w:r>
      <w:r>
        <w:rPr>
          <w:rFonts w:ascii="Times New Roman" w:hAnsi="Times New Roman"/>
          <w:b/>
          <w:i w:val="false"/>
          <w:caps w:val="false"/>
          <w:smallCaps w:val="false"/>
          <w:strike w:val="false"/>
          <w:dstrike w:val="false"/>
          <w:color w:val="000000"/>
          <w:spacing w:val="0"/>
          <w:sz w:val="22"/>
          <w:u w:val="none"/>
          <w:effect w:val="none"/>
        </w:rPr>
        <w:t>.  </w:t>
      </w:r>
      <w:r>
        <w:rPr>
          <w:rFonts w:ascii="Times New Roman" w:hAnsi="Times New Roman"/>
          <w:b w:val="false"/>
          <w:i w:val="false"/>
          <w:caps w:val="false"/>
          <w:smallCaps w:val="false"/>
          <w:strike w:val="false"/>
          <w:dstrike w:val="false"/>
          <w:color w:val="000000"/>
          <w:spacing w:val="0"/>
          <w:sz w:val="22"/>
          <w:u w:val="none"/>
          <w:effect w:val="none"/>
        </w:rPr>
        <w:t xml:space="preserve">As a condition to the effectiveness of this Agreement, Executive will have executed and delivered to the Company no later than contemporaneously herewith the Employee Proprietary Information and Inventions Assignment Agreement attached as </w:t>
      </w:r>
      <w:r>
        <w:rPr>
          <w:rFonts w:ascii="Times New Roman" w:hAnsi="Times New Roman"/>
          <w:b w:val="false"/>
          <w:i w:val="false"/>
          <w:caps w:val="false"/>
          <w:smallCaps w:val="false"/>
          <w:color w:val="000000"/>
          <w:spacing w:val="0"/>
          <w:sz w:val="22"/>
          <w:u w:val="single"/>
        </w:rPr>
        <w:t>Exhibit B</w:t>
      </w:r>
      <w:r>
        <w:rPr>
          <w:rFonts w:ascii="Times New Roman Bold" w:hAnsi="Times New Roman Bold"/>
          <w:b/>
          <w:i w:val="false"/>
          <w:caps w:val="false"/>
          <w:smallCaps w:val="false"/>
          <w:strike w:val="false"/>
          <w:dstrike w:val="false"/>
          <w:color w:val="000000"/>
          <w:spacing w:val="0"/>
          <w:sz w:val="24"/>
          <w:u w:val="none"/>
          <w:effect w:val="none"/>
        </w:rPr>
        <w:t xml:space="preserve"> </w:t>
      </w:r>
      <w:r>
        <w:rPr>
          <w:rFonts w:ascii="Times New Roman" w:hAnsi="Times New Roman"/>
          <w:b w:val="false"/>
          <w:i w:val="false"/>
          <w:caps w:val="false"/>
          <w:smallCaps w:val="false"/>
          <w:strike w:val="false"/>
          <w:dstrike w:val="false"/>
          <w:color w:val="000000"/>
          <w:spacing w:val="0"/>
          <w:sz w:val="22"/>
          <w:u w:val="none"/>
          <w:effect w:val="none"/>
        </w:rPr>
        <w:t>(the “</w:t>
      </w:r>
      <w:r>
        <w:rPr>
          <w:rFonts w:ascii="Times New Roman" w:hAnsi="Times New Roman"/>
          <w:b w:val="false"/>
          <w:i w:val="false"/>
          <w:caps w:val="false"/>
          <w:smallCaps w:val="false"/>
          <w:color w:val="000000"/>
          <w:spacing w:val="0"/>
          <w:sz w:val="22"/>
          <w:u w:val="single"/>
        </w:rPr>
        <w:t>Restrictive Covenant Agreement</w:t>
      </w:r>
      <w:r>
        <w:rPr>
          <w:rFonts w:ascii="Times New Roman Bold" w:hAnsi="Times New Roman Bold"/>
          <w:b/>
          <w:i w:val="false"/>
          <w:caps w:val="false"/>
          <w:smallCaps w:val="false"/>
          <w:strike w:val="false"/>
          <w:dstrike w:val="false"/>
          <w:color w:val="000000"/>
          <w:spacing w:val="0"/>
          <w:sz w:val="24"/>
          <w:u w:val="none"/>
          <w:effect w:val="none"/>
        </w:rPr>
        <w:t>”</w:t>
      </w:r>
      <w:r>
        <w:rPr>
          <w:rFonts w:ascii="Times New Roman" w:hAnsi="Times New Roman"/>
          <w:b w:val="false"/>
          <w:i w:val="false"/>
          <w:caps w:val="false"/>
          <w:smallCaps w:val="false"/>
          <w:strike w:val="false"/>
          <w:dstrike w:val="false"/>
          <w:color w:val="000000"/>
          <w:spacing w:val="0"/>
          <w:sz w:val="22"/>
          <w:u w:val="none"/>
          <w:effect w:val="none"/>
        </w:rPr>
        <w: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5</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strike w:val="false"/>
          <w:dstrike w:val="false"/>
          <w:color w:val="000000"/>
          <w:spacing w:val="0"/>
          <w:sz w:val="24"/>
          <w:u w:val="none"/>
          <w:effect w:val="none"/>
        </w:rPr>
        <w:t>6.</w:t>
      </w:r>
      <w:r>
        <w:rPr>
          <w:rFonts w:ascii="Times New Roman" w:hAnsi="Times New Roman"/>
          <w:b/>
          <w:i w:val="false"/>
          <w:caps w:val="false"/>
          <w:smallCaps w:val="false"/>
          <w:color w:val="000000"/>
          <w:spacing w:val="0"/>
          <w:sz w:val="22"/>
          <w:u w:val="single"/>
        </w:rPr>
        <w:t>Assignment and Successors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7.</w:t>
      </w:r>
      <w:r>
        <w:rPr>
          <w:rFonts w:ascii="Times New Roman" w:hAnsi="Times New Roman"/>
          <w:b/>
          <w:i w:val="false"/>
          <w:caps w:val="false"/>
          <w:smallCaps w:val="false"/>
          <w:color w:val="000000"/>
          <w:spacing w:val="0"/>
          <w:sz w:val="22"/>
          <w:u w:val="single"/>
        </w:rPr>
        <w:t>Certain Definitions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Cause</w:t>
      </w:r>
      <w:r>
        <w:rPr>
          <w:rFonts w:ascii="Times New Roman" w:hAnsi="Times New Roman"/>
          <w:b w:val="false"/>
          <w:i w:val="false"/>
          <w:caps w:val="false"/>
          <w:smallCaps w:val="false"/>
          <w:color w:val="000000"/>
          <w:spacing w:val="0"/>
          <w:sz w:val="22"/>
        </w:rPr>
        <w:t>.  The Company shall have “Cause” to terminate Executive’s employment hereunder upon: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(i)The CEO’s reasonable, good faith determination that Executive has refused to (A) substantially perform the duties associated with Executive’s position with the Company or (B) carry out the reasonable and lawful instructions of the CEO concerning duties or actions consistent with the Executive’s position with the Company;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(ii)Executive’s breach of a material provision of this Agreement that, to the extent capable of cure, has remained uncured for a period of thirty (30) days following written notice from the Company;</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(iii)Executive’s conviction, plea of no contest, plea of </w:t>
      </w:r>
      <w:r>
        <w:rPr>
          <w:rFonts w:ascii="Times New Roman" w:hAnsi="Times New Roman"/>
          <w:b w:val="false"/>
          <w:i/>
          <w:caps w:val="false"/>
          <w:smallCaps w:val="false"/>
          <w:color w:val="000000"/>
          <w:spacing w:val="0"/>
          <w:sz w:val="22"/>
        </w:rPr>
        <w:t>nolo contendere</w:t>
      </w:r>
      <w:r>
        <w:rPr>
          <w:rFonts w:ascii="Times New Roman" w:hAnsi="Times New Roman"/>
          <w:b w:val="false"/>
          <w:i w:val="false"/>
          <w:caps w:val="false"/>
          <w:smallCaps w:val="false"/>
          <w:color w:val="000000"/>
          <w:spacing w:val="0"/>
          <w:sz w:val="22"/>
        </w:rPr>
        <w:t xml:space="preserve">, or imposition of unadjudicated probation for any felony or crime involving moral turpitude;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(iv)Executive’s unlawful use (including being under the influence) or possession of illegal drugs on the Company’s (or any of its affiliate’s) premises or while performing Executive’s duties and responsibilities under this Agreement; or</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(v)Executive’s commission of any act of fraud, embezzlement, misappropriation, willful misconduct, or breach of fiduciary duty against the Company or any of its affiliates.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Change in Control</w:t>
      </w:r>
      <w:r>
        <w:rPr>
          <w:rFonts w:ascii="Times New Roman" w:hAnsi="Times New Roman"/>
          <w:b w:val="false"/>
          <w:i w:val="false"/>
          <w:caps w:val="false"/>
          <w:smallCaps w:val="false"/>
          <w:color w:val="000000"/>
          <w:spacing w:val="0"/>
          <w:sz w:val="22"/>
        </w:rPr>
        <w:t xml:space="preserve">.  “Change in Control” shall have the meaning set forth in the Atea Pharmaceuticals, Inc. 2020 Incentive Award Plan, as in effect on the Effective Date.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Code</w:t>
      </w:r>
      <w:r>
        <w:rPr>
          <w:rFonts w:ascii="Times New Roman" w:hAnsi="Times New Roman"/>
          <w:b w:val="false"/>
          <w:i w:val="false"/>
          <w:caps w:val="false"/>
          <w:smallCaps w:val="false"/>
          <w:color w:val="000000"/>
          <w:spacing w:val="0"/>
          <w:sz w:val="22"/>
        </w:rPr>
        <w:t>.  “Code” shall mean the Internal Revenue Code of 1986, as amended, and the regulations and guidance promulgated thereunder.</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w:t>
      </w:r>
      <w:r>
        <w:rPr>
          <w:rFonts w:ascii="Times New Roman" w:hAnsi="Times New Roman"/>
          <w:b w:val="false"/>
          <w:i w:val="false"/>
          <w:caps w:val="false"/>
          <w:smallCaps w:val="false"/>
          <w:color w:val="000000"/>
          <w:spacing w:val="0"/>
          <w:sz w:val="22"/>
          <w:u w:val="single"/>
        </w:rPr>
        <w:t>Date of Termination</w:t>
      </w:r>
      <w:r>
        <w:rPr>
          <w:rFonts w:ascii="Times New Roman" w:hAnsi="Times New Roman"/>
          <w:b w:val="false"/>
          <w:i w:val="false"/>
          <w:caps w:val="false"/>
          <w:smallCaps w:val="false"/>
          <w:color w:val="000000"/>
          <w:spacing w:val="0"/>
          <w:sz w:val="22"/>
        </w:rPr>
        <w:t xml:space="preserve">.  “Date of Termination” shall mean (i) if Executive’s employment is terminated by Executive’s death, the date of Executive’s death; or (ii) if Executive’s employment is terminated pursuant to </w:t>
      </w:r>
      <w:r>
        <w:rPr>
          <w:rFonts w:ascii="Times New Roman" w:hAnsi="Times New Roman"/>
          <w:b w:val="false"/>
          <w:i w:val="false"/>
          <w:caps w:val="false"/>
          <w:smallCaps w:val="false"/>
          <w:color w:val="000000"/>
          <w:spacing w:val="0"/>
          <w:sz w:val="22"/>
          <w:u w:val="single"/>
        </w:rPr>
        <w:t>Section 3(a)(ii)</w:t>
      </w:r>
      <w:r>
        <w:rPr>
          <w:rFonts w:ascii="Times New Roman" w:hAnsi="Times New Roman"/>
          <w:b w:val="false"/>
          <w:i w:val="false"/>
          <w:caps w:val="false"/>
          <w:smallCaps w:val="false"/>
          <w:color w:val="000000"/>
          <w:spacing w:val="0"/>
          <w:sz w:val="22"/>
        </w:rPr>
        <w:t xml:space="preserve"> – </w:t>
      </w:r>
      <w:r>
        <w:rPr>
          <w:rFonts w:ascii="Times New Roman" w:hAnsi="Times New Roman"/>
          <w:b w:val="false"/>
          <w:i w:val="false"/>
          <w:caps w:val="false"/>
          <w:smallCaps w:val="false"/>
          <w:color w:val="000000"/>
          <w:spacing w:val="0"/>
          <w:sz w:val="22"/>
          <w:u w:val="single"/>
        </w:rPr>
        <w:t>(vi)</w:t>
      </w:r>
      <w:r>
        <w:rPr>
          <w:rFonts w:ascii="Times New Roman" w:hAnsi="Times New Roman"/>
          <w:b w:val="false"/>
          <w:i w:val="false"/>
          <w:caps w:val="false"/>
          <w:smallCaps w:val="false"/>
          <w:color w:val="000000"/>
          <w:spacing w:val="0"/>
          <w:sz w:val="22"/>
        </w:rPr>
        <w:t xml:space="preserve"> either the date indicated in the Notice of Termination or the date specified by the Company pursuant to </w:t>
      </w:r>
      <w:r>
        <w:rPr>
          <w:rFonts w:ascii="Times New Roman" w:hAnsi="Times New Roman"/>
          <w:b w:val="false"/>
          <w:i w:val="false"/>
          <w:caps w:val="false"/>
          <w:smallCaps w:val="false"/>
          <w:color w:val="000000"/>
          <w:spacing w:val="0"/>
          <w:sz w:val="22"/>
          <w:u w:val="single"/>
        </w:rPr>
        <w:t>Section 3(b)</w:t>
      </w:r>
      <w:r>
        <w:rPr>
          <w:rFonts w:ascii="Times New Roman" w:hAnsi="Times New Roman"/>
          <w:b w:val="false"/>
          <w:i w:val="false"/>
          <w:caps w:val="false"/>
          <w:smallCaps w:val="false"/>
          <w:color w:val="000000"/>
          <w:spacing w:val="0"/>
          <w:sz w:val="22"/>
        </w:rPr>
        <w:t>, whichever is earlier.</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(e)</w:t>
      </w:r>
      <w:r>
        <w:rPr>
          <w:rFonts w:ascii="Times New Roman" w:hAnsi="Times New Roman"/>
          <w:b w:val="false"/>
          <w:i w:val="false"/>
          <w:caps w:val="false"/>
          <w:smallCaps w:val="false"/>
          <w:color w:val="000000"/>
          <w:spacing w:val="0"/>
          <w:sz w:val="22"/>
          <w:u w:val="single"/>
        </w:rPr>
        <w:t>Disability</w:t>
      </w:r>
      <w:r>
        <w:rPr>
          <w:rFonts w:ascii="Times New Roman" w:hAnsi="Times New Roman"/>
          <w:b w:val="false"/>
          <w:i w:val="false"/>
          <w:caps w:val="false"/>
          <w:smallCaps w:val="false"/>
          <w:color w:val="000000"/>
          <w:spacing w:val="0"/>
          <w:sz w:val="22"/>
        </w:rPr>
        <w:t>.  “Disability” shall mean, at any time the Company or any of its affiliates sponsors a long-term disability plan for the Company’s employees, “disability” as defined in such long-</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6</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term disability plan for the purpose of determining a participant’s eligibility for benefits, </w:t>
      </w:r>
      <w:r>
        <w:rPr>
          <w:rFonts w:ascii="Times New Roman" w:hAnsi="Times New Roman"/>
          <w:b w:val="false"/>
          <w:i/>
          <w:caps w:val="false"/>
          <w:smallCaps w:val="false"/>
          <w:color w:val="000000"/>
          <w:spacing w:val="0"/>
          <w:sz w:val="22"/>
        </w:rPr>
        <w:t>provided, however</w:t>
      </w:r>
      <w:r>
        <w:rPr>
          <w:rFonts w:ascii="Times New Roman" w:hAnsi="Times New Roman"/>
          <w:b w:val="false"/>
          <w:i w:val="false"/>
          <w:caps w:val="false"/>
          <w:smallCaps w:val="false"/>
          <w:color w:val="000000"/>
          <w:spacing w:val="0"/>
          <w:sz w:val="22"/>
        </w:rPr>
        <w:t xml:space="preserve">,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(f)</w:t>
      </w:r>
      <w:r>
        <w:rPr>
          <w:rFonts w:ascii="Times New Roman" w:hAnsi="Times New Roman"/>
          <w:b w:val="false"/>
          <w:i w:val="false"/>
          <w:caps w:val="false"/>
          <w:smallCaps w:val="false"/>
          <w:color w:val="000000"/>
          <w:spacing w:val="0"/>
          <w:sz w:val="22"/>
          <w:u w:val="single"/>
        </w:rPr>
        <w:t>Good Reason</w:t>
      </w:r>
      <w:r>
        <w:rPr>
          <w:rFonts w:ascii="Times New Roman" w:hAnsi="Times New Roman"/>
          <w:b w:val="false"/>
          <w:i w:val="false"/>
          <w:caps w:val="false"/>
          <w:smallCaps w:val="false"/>
          <w:color w:val="000000"/>
          <w:spacing w:val="0"/>
          <w:sz w:val="22"/>
        </w:rPr>
        <w:t xml:space="preserve">.  For the sole purpose of determining Executive’s right to severance payments and benefits as described above, Executive’s resignation will be with “Good Reason” if Executive resigns within ninety (90) days after any of the following events, unless Executive consents in writing to the applicable event:  (i) a reduction in Executive’s Annual Base Salary or Target Annual Bonus, (ii) a material decrease in Executive’s authority or areas of responsibility as are commensurate with Executive’s title or position with the Company, (iii) the relocation of Executive’s primary office to a location more than twenty-five (25) miles from the Executive’s primary office as of the date of this Agreement (for the avoidance of doubt, other than a relocation of Executive’s primary work location to the Company’s headquarters in the Boston, Massachusetts metropolitan area) or (iv) the Company’s breach of a material provision of this Agreement.  Notwithstanding the foregoing, no Good Reason will have occurred unless and until:  (a) Executive has provided the Company, within sixty (60) 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8.</w:t>
      </w:r>
      <w:r>
        <w:rPr>
          <w:rFonts w:ascii="Times New Roman" w:hAnsi="Times New Roman"/>
          <w:b/>
          <w:i w:val="false"/>
          <w:caps w:val="false"/>
          <w:smallCaps w:val="false"/>
          <w:color w:val="000000"/>
          <w:spacing w:val="0"/>
          <w:sz w:val="22"/>
          <w:u w:val="single"/>
        </w:rPr>
        <w:t>Parachute Payments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(a)Notwithstanding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hAnsi="Times New Roman"/>
          <w:b w:val="false"/>
          <w:i w:val="false"/>
          <w:caps w:val="false"/>
          <w:smallCaps w:val="false"/>
          <w:color w:val="000000"/>
          <w:spacing w:val="0"/>
          <w:sz w:val="22"/>
          <w:u w:val="single"/>
        </w:rPr>
        <w:t>Section 4</w:t>
      </w:r>
      <w:r>
        <w:rPr>
          <w:rFonts w:ascii="Times New Roman" w:hAnsi="Times New Roman"/>
          <w:b w:val="false"/>
          <w:i w:val="false"/>
          <w:caps w:val="false"/>
          <w:smallCaps w:val="false"/>
          <w:color w:val="000000"/>
          <w:spacing w:val="0"/>
          <w:sz w:val="22"/>
        </w:rPr>
        <w:t xml:space="preserve"> hereof, being hereinafter referred to as the “</w:t>
      </w:r>
      <w:r>
        <w:rPr>
          <w:rFonts w:ascii="Times New Roman" w:hAnsi="Times New Roman"/>
          <w:b w:val="false"/>
          <w:i w:val="false"/>
          <w:caps w:val="false"/>
          <w:smallCaps w:val="false"/>
          <w:color w:val="000000"/>
          <w:spacing w:val="0"/>
          <w:sz w:val="22"/>
          <w:u w:val="single"/>
        </w:rPr>
        <w:t>Total Payments</w:t>
      </w:r>
      <w:r>
        <w:rPr>
          <w:rFonts w:ascii="Times New Roman" w:hAnsi="Times New Roman"/>
          <w:b w:val="false"/>
          <w:i w:val="false"/>
          <w:caps w:val="false"/>
          <w:smallCaps w:val="false"/>
          <w:color w:val="000000"/>
          <w:spacing w:val="0"/>
          <w:sz w:val="22"/>
        </w:rPr>
        <w:t>”), would be subject (in whole or in part) to the excise tax imposed by Section 4999 of the Code (the “</w:t>
      </w:r>
      <w:r>
        <w:rPr>
          <w:rFonts w:ascii="Times New Roman" w:hAnsi="Times New Roman"/>
          <w:b w:val="false"/>
          <w:i w:val="false"/>
          <w:caps w:val="false"/>
          <w:smallCaps w:val="false"/>
          <w:color w:val="000000"/>
          <w:spacing w:val="0"/>
          <w:sz w:val="22"/>
          <w:u w:val="single"/>
        </w:rPr>
        <w:t>Excise Tax</w:t>
      </w:r>
      <w:r>
        <w:rPr>
          <w:rFonts w:ascii="Times New Roman" w:hAnsi="Times New Roman"/>
          <w:b w:val="false"/>
          <w:i w:val="false"/>
          <w:caps w:val="false"/>
          <w:smallCaps w:val="false"/>
          <w:color w:val="000000"/>
          <w:spacing w:val="0"/>
          <w:sz w:val="22"/>
        </w:rPr>
        <w:t xml:space="preserve">”), then the Total Payments shall be reduced (in the order provided in </w:t>
      </w:r>
      <w:r>
        <w:rPr>
          <w:rFonts w:ascii="Times New Roman" w:hAnsi="Times New Roman"/>
          <w:b w:val="false"/>
          <w:i w:val="false"/>
          <w:caps w:val="false"/>
          <w:smallCaps w:val="false"/>
          <w:color w:val="000000"/>
          <w:spacing w:val="0"/>
          <w:sz w:val="22"/>
          <w:u w:val="single"/>
        </w:rPr>
        <w:t>Section 8(b)</w:t>
      </w:r>
      <w:r>
        <w:rPr>
          <w:rFonts w:ascii="Times New Roman" w:hAnsi="Times New Roman"/>
          <w:b w:val="false"/>
          <w:i w:val="false"/>
          <w:caps w:val="false"/>
          <w:smallCaps w:val="false"/>
          <w:color w:val="000000"/>
          <w:spacing w:val="0"/>
          <w:sz w:val="22"/>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(b)The Total Payments shall be reduced in the following order:  (i) reduction on a pro rata basis of any cash severance payments that are exempt from Section 409A of the Code (“</w:t>
      </w:r>
      <w:r>
        <w:rPr>
          <w:rFonts w:ascii="Times New Roman" w:hAnsi="Times New Roman"/>
          <w:b w:val="false"/>
          <w:i w:val="false"/>
          <w:caps w:val="false"/>
          <w:smallCaps w:val="false"/>
          <w:color w:val="000000"/>
          <w:spacing w:val="0"/>
          <w:sz w:val="22"/>
          <w:u w:val="single"/>
        </w:rPr>
        <w:t>Section 409A</w:t>
      </w:r>
      <w:r>
        <w:rPr>
          <w:rFonts w:ascii="Times New Roman" w:hAnsi="Times New Roman"/>
          <w:b w:val="false"/>
          <w:i w:val="false"/>
          <w:caps w:val="false"/>
          <w:smallCaps w:val="false"/>
          <w:color w:val="000000"/>
          <w:spacing w:val="0"/>
          <w:sz w:val="22"/>
        </w:rPr>
        <w:t xml:space="preserve">”),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7</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 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(c)All determinations regarding the application of this </w:t>
      </w:r>
      <w:r>
        <w:rPr>
          <w:rFonts w:ascii="Times New Roman" w:hAnsi="Times New Roman"/>
          <w:b w:val="false"/>
          <w:i w:val="false"/>
          <w:caps w:val="false"/>
          <w:smallCaps w:val="false"/>
          <w:color w:val="000000"/>
          <w:spacing w:val="0"/>
          <w:sz w:val="22"/>
          <w:u w:val="single"/>
        </w:rPr>
        <w:t>Section 8</w:t>
      </w:r>
      <w:r>
        <w:rPr>
          <w:rFonts w:ascii="Times New Roman" w:hAnsi="Times New Roman"/>
          <w:b w:val="false"/>
          <w:i w:val="false"/>
          <w:caps w:val="false"/>
          <w:smallCaps w:val="false"/>
          <w:color w:val="000000"/>
          <w:spacing w:val="0"/>
          <w:sz w:val="22"/>
        </w:rPr>
        <w:t xml:space="preserve"> shall be made by an accounting firm or consulting group with experience in performing calculations regarding the applicability of Section 280G of the Code and the Excise Tax selected by the Company (the “</w:t>
      </w:r>
      <w:r>
        <w:rPr>
          <w:rFonts w:ascii="Times New Roman" w:hAnsi="Times New Roman"/>
          <w:b w:val="false"/>
          <w:i w:val="false"/>
          <w:caps w:val="false"/>
          <w:smallCaps w:val="false"/>
          <w:color w:val="000000"/>
          <w:spacing w:val="0"/>
          <w:sz w:val="22"/>
          <w:u w:val="single"/>
        </w:rPr>
        <w:t>Independent Advisors</w:t>
      </w:r>
      <w:r>
        <w:rPr>
          <w:rFonts w:ascii="Times New Roman" w:hAnsi="Times New Roman"/>
          <w:b w:val="false"/>
          <w:i w:val="false"/>
          <w:caps w:val="false"/>
          <w:smallCaps w:val="false"/>
          <w:color w:val="000000"/>
          <w:spacing w:val="0"/>
          <w:sz w:val="22"/>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(d)In the event it is later determined that a greater reduction in the Total Payments should have been made to implement the objective and intent of this </w:t>
      </w:r>
      <w:r>
        <w:rPr>
          <w:rFonts w:ascii="Times New Roman" w:hAnsi="Times New Roman"/>
          <w:b w:val="false"/>
          <w:i w:val="false"/>
          <w:caps w:val="false"/>
          <w:smallCaps w:val="false"/>
          <w:color w:val="000000"/>
          <w:spacing w:val="0"/>
          <w:sz w:val="22"/>
          <w:u w:val="single"/>
        </w:rPr>
        <w:t>Section 8</w:t>
      </w:r>
      <w:r>
        <w:rPr>
          <w:rFonts w:ascii="Times New Roman" w:hAnsi="Times New Roman"/>
          <w:b w:val="false"/>
          <w:i w:val="false"/>
          <w:caps w:val="false"/>
          <w:smallCaps w:val="false"/>
          <w:color w:val="000000"/>
          <w:spacing w:val="0"/>
          <w:sz w:val="22"/>
        </w:rPr>
        <w:t xml:space="preserve">, the excess amount shall be returned promptly by Executive to the Company.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9.</w:t>
      </w:r>
      <w:r>
        <w:rPr>
          <w:rFonts w:ascii="Times New Roman" w:hAnsi="Times New Roman"/>
          <w:b/>
          <w:i w:val="false"/>
          <w:caps w:val="false"/>
          <w:smallCaps w:val="false"/>
          <w:color w:val="000000"/>
          <w:spacing w:val="0"/>
          <w:sz w:val="22"/>
          <w:u w:val="single"/>
        </w:rPr>
        <w:t>Miscellaneous Provisions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Governing Law</w:t>
      </w:r>
      <w:r>
        <w:rPr>
          <w:rFonts w:ascii="Times New Roman" w:hAnsi="Times New Roman"/>
          <w:b w:val="false"/>
          <w:i w:val="false"/>
          <w:caps w:val="false"/>
          <w:smallCaps w:val="false"/>
          <w:color w:val="000000"/>
          <w:spacing w:val="0"/>
          <w:sz w:val="22"/>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Validity</w:t>
      </w:r>
      <w:r>
        <w:rPr>
          <w:rFonts w:ascii="Times New Roman" w:hAnsi="Times New Roman"/>
          <w:b w:val="false"/>
          <w:i w:val="false"/>
          <w:caps w:val="false"/>
          <w:smallCaps w:val="false"/>
          <w:color w:val="000000"/>
          <w:spacing w:val="0"/>
          <w:sz w:val="22"/>
        </w:rPr>
        <w:t>.  The invalidity or unenforceability of any provision or provisions of this Agreement shall not affect the validity or enforceability of any other provision of this Agreement, which shall remain in full force and effect.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Notices</w:t>
      </w:r>
      <w:r>
        <w:rPr>
          <w:rFonts w:ascii="Times New Roman" w:hAnsi="Times New Roman"/>
          <w:b w:val="false"/>
          <w:i w:val="false"/>
          <w:caps w:val="false"/>
          <w:smallCaps w:val="false"/>
          <w:color w:val="000000"/>
          <w:spacing w:val="0"/>
          <w:sz w:val="22"/>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(i)If to the Company, to the General Counsel of the Company at the Company’s headquarters,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(ii)If to Executive, to the last address that the Company has in its personnel records for Executive, or</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(iii)At any other address as any Party shall have specified by notice in writing to the other Party.</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8</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strike w:val="false"/>
          <w:dstrike w:val="false"/>
          <w:color w:val="000000"/>
          <w:spacing w:val="0"/>
          <w:sz w:val="22"/>
          <w:u w:val="none"/>
          <w:effect w:val="none"/>
        </w:rPr>
        <w:t>(d)</w:t>
      </w:r>
      <w:r>
        <w:rPr>
          <w:rFonts w:ascii="Times New Roman" w:hAnsi="Times New Roman"/>
          <w:b w:val="false"/>
          <w:i w:val="false"/>
          <w:caps w:val="false"/>
          <w:smallCaps w:val="false"/>
          <w:color w:val="000000"/>
          <w:spacing w:val="0"/>
          <w:sz w:val="22"/>
          <w:u w:val="single"/>
        </w:rPr>
        <w:t>Counterparts</w:t>
      </w:r>
      <w:r>
        <w:rPr>
          <w:rFonts w:ascii="Times New Roman" w:hAnsi="Times New Roman"/>
          <w:b w:val="false"/>
          <w:i w:val="false"/>
          <w:caps w:val="false"/>
          <w:smallCaps w:val="false"/>
          <w:color w:val="000000"/>
          <w:spacing w:val="0"/>
          <w:sz w:val="22"/>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(e)</w:t>
      </w:r>
      <w:r>
        <w:rPr>
          <w:rFonts w:ascii="Times New Roman" w:hAnsi="Times New Roman"/>
          <w:b w:val="false"/>
          <w:i w:val="false"/>
          <w:caps w:val="false"/>
          <w:smallCaps w:val="false"/>
          <w:color w:val="000000"/>
          <w:spacing w:val="0"/>
          <w:sz w:val="22"/>
          <w:u w:val="single"/>
        </w:rPr>
        <w:t>Entire Agreement</w:t>
      </w:r>
      <w:r>
        <w:rPr>
          <w:rFonts w:ascii="Times New Roman" w:hAnsi="Times New Roman"/>
          <w:b w:val="false"/>
          <w:i w:val="false"/>
          <w:caps w:val="false"/>
          <w:smallCaps w:val="false"/>
          <w:color w:val="000000"/>
          <w:spacing w:val="0"/>
          <w:sz w:val="22"/>
        </w:rPr>
        <w:t xml:space="preserve">.  The terms of this Agreement, and the Restrictive Covenant Agreement incorporated herein by reference as set forth in </w:t>
      </w:r>
      <w:r>
        <w:rPr>
          <w:rFonts w:ascii="Times New Roman" w:hAnsi="Times New Roman"/>
          <w:b w:val="false"/>
          <w:i w:val="false"/>
          <w:caps w:val="false"/>
          <w:smallCaps w:val="false"/>
          <w:color w:val="000000"/>
          <w:spacing w:val="0"/>
          <w:sz w:val="22"/>
          <w:u w:val="single"/>
        </w:rPr>
        <w:t>Section 5</w:t>
      </w:r>
      <w:r>
        <w:rPr>
          <w:rFonts w:ascii="Times New Roman" w:hAnsi="Times New Roman"/>
          <w:b w:val="false"/>
          <w:i w:val="false"/>
          <w:caps w:val="false"/>
          <w:smallCaps w:val="false"/>
          <w:color w:val="000000"/>
          <w:spacing w:val="0"/>
          <w:sz w:val="22"/>
        </w:rPr>
        <w:t xml:space="preserve">, are intended by the Parties to be the final expression of their agreement with respect to the subject matter hereof </w:t>
      </w:r>
      <w:r>
        <w:rPr>
          <w:rFonts w:ascii="Times New Roman" w:hAnsi="Times New Roman"/>
          <w:b w:val="false"/>
          <w:i w:val="false"/>
          <w:caps w:val="false"/>
          <w:smallCaps w:val="false"/>
          <w:color w:val="000000"/>
          <w:spacing w:val="-3"/>
          <w:sz w:val="22"/>
        </w:rPr>
        <w:t>and supersede all prior understandings and agreements, whether written or oral, including any prior employment offer letter or employment agreement between Executive and the Company</w:t>
      </w:r>
      <w:r>
        <w:rPr>
          <w:rFonts w:ascii="Times New Roman" w:hAnsi="Times New Roman"/>
          <w:b w:val="false"/>
          <w:i w:val="false"/>
          <w:caps w:val="false"/>
          <w:smallCaps w:val="false"/>
          <w:color w:val="000000"/>
          <w:spacing w:val="0"/>
          <w:sz w:val="22"/>
        </w:rPr>
        <w:t xml:space="preserve">.  The Parties further intend that this Agreement shall constitute the complete and exclusive statement of their terms and that no extrinsic evidence whatsoever may be introduced in any judicial, administrative, or other legal proceeding to vary the terms of this Agreement.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(f)</w:t>
      </w:r>
      <w:r>
        <w:rPr>
          <w:rFonts w:ascii="Times New Roman" w:hAnsi="Times New Roman"/>
          <w:b w:val="false"/>
          <w:i w:val="false"/>
          <w:caps w:val="false"/>
          <w:smallCaps w:val="false"/>
          <w:color w:val="000000"/>
          <w:spacing w:val="0"/>
          <w:sz w:val="22"/>
          <w:u w:val="single"/>
        </w:rPr>
        <w:t>Amendments; Waivers</w:t>
      </w:r>
      <w:r>
        <w:rPr>
          <w:rFonts w:ascii="Times New Roman" w:hAnsi="Times New Roman"/>
          <w:b w:val="false"/>
          <w:i w:val="false"/>
          <w:caps w:val="false"/>
          <w:smallCaps w:val="false"/>
          <w:color w:val="000000"/>
          <w:spacing w:val="0"/>
          <w:sz w:val="22"/>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hAnsi="Times New Roman"/>
          <w:b w:val="false"/>
          <w:i/>
          <w:caps w:val="false"/>
          <w:smallCaps w:val="false"/>
          <w:color w:val="000000"/>
          <w:spacing w:val="0"/>
          <w:sz w:val="22"/>
        </w:rPr>
        <w:t>provided</w:t>
      </w:r>
      <w:r>
        <w:rPr>
          <w:rFonts w:ascii="Times New Roman" w:hAnsi="Times New Roman"/>
          <w:b w:val="false"/>
          <w:i w:val="false"/>
          <w:caps w:val="false"/>
          <w:smallCaps w:val="false"/>
          <w:color w:val="000000"/>
          <w:spacing w:val="0"/>
          <w:sz w:val="22"/>
        </w:rPr>
        <w:t xml:space="preserve">, </w:t>
      </w:r>
      <w:r>
        <w:rPr>
          <w:rFonts w:ascii="Times New Roman" w:hAnsi="Times New Roman"/>
          <w:b w:val="false"/>
          <w:i/>
          <w:caps w:val="false"/>
          <w:smallCaps w:val="false"/>
          <w:color w:val="000000"/>
          <w:spacing w:val="0"/>
          <w:sz w:val="22"/>
        </w:rPr>
        <w:t>however</w:t>
      </w:r>
      <w:r>
        <w:rPr>
          <w:rFonts w:ascii="Times New Roman" w:hAnsi="Times New Roman"/>
          <w:b w:val="false"/>
          <w:i w:val="false"/>
          <w:caps w:val="false"/>
          <w:smallCaps w:val="false"/>
          <w:color w:val="000000"/>
          <w:spacing w:val="0"/>
          <w:sz w:val="22"/>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(g)</w:t>
      </w:r>
      <w:r>
        <w:rPr>
          <w:rFonts w:ascii="Times New Roman" w:hAnsi="Times New Roman"/>
          <w:b w:val="false"/>
          <w:i w:val="false"/>
          <w:caps w:val="false"/>
          <w:smallCaps w:val="false"/>
          <w:color w:val="000000"/>
          <w:spacing w:val="0"/>
          <w:sz w:val="22"/>
          <w:u w:val="single"/>
        </w:rPr>
        <w:t>Construction</w:t>
      </w:r>
      <w:r>
        <w:rPr>
          <w:rFonts w:ascii="Times New Roman" w:hAnsi="Times New Roman"/>
          <w:b w:val="false"/>
          <w:i w:val="false"/>
          <w:caps w:val="false"/>
          <w:smallCaps w:val="false"/>
          <w:color w:val="000000"/>
          <w:spacing w:val="0"/>
          <w:sz w:val="22"/>
        </w:rPr>
        <w:t xml:space="preserve">.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(h)</w:t>
      </w:r>
      <w:r>
        <w:rPr>
          <w:rFonts w:ascii="Times New Roman" w:hAnsi="Times New Roman"/>
          <w:b w:val="false"/>
          <w:i w:val="false"/>
          <w:caps w:val="false"/>
          <w:smallCaps w:val="false"/>
          <w:color w:val="000000"/>
          <w:spacing w:val="0"/>
          <w:sz w:val="22"/>
          <w:u w:val="single"/>
        </w:rPr>
        <w:t>Arbitration</w:t>
      </w:r>
      <w:r>
        <w:rPr>
          <w:rFonts w:ascii="Times New Roman" w:hAnsi="Times New Roman"/>
          <w:b w:val="false"/>
          <w:i w:val="false"/>
          <w:caps w:val="false"/>
          <w:smallCaps w:val="false"/>
          <w:color w:val="000000"/>
          <w:spacing w:val="0"/>
          <w:sz w:val="22"/>
        </w:rPr>
        <w:t xml:space="preserve">.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 JAMS/Endispute; (ii) each Party to 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9</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Times New Roman" w:hAnsi="Times New Roman"/>
          <w:b w:val="false"/>
          <w:i w:val="false"/>
          <w:caps w:val="false"/>
          <w:smallCaps w:val="false"/>
          <w:color w:val="000000"/>
          <w:spacing w:val="0"/>
          <w:sz w:val="22"/>
          <w:u w:val="single"/>
        </w:rPr>
        <w:t>AAA</w:t>
      </w:r>
      <w:r>
        <w:rPr>
          <w:rFonts w:ascii="Times New Roman" w:hAnsi="Times New Roman"/>
          <w:b w:val="false"/>
          <w:i w:val="false"/>
          <w:caps w:val="false"/>
          <w:smallCaps w:val="false"/>
          <w:color w:val="000000"/>
          <w:spacing w:val="0"/>
          <w:sz w:val="22"/>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w:t>
      </w:r>
      <w:r>
        <w:rPr>
          <w:rFonts w:ascii="Times New Roman" w:hAnsi="Times New Roman"/>
          <w:b w:val="false"/>
          <w:i w:val="false"/>
          <w:caps w:val="false"/>
          <w:smallCaps w:val="false"/>
          <w:color w:val="000000"/>
          <w:spacing w:val="0"/>
          <w:sz w:val="22"/>
          <w:u w:val="single"/>
        </w:rPr>
        <w:t>Enforcement</w:t>
      </w:r>
      <w:r>
        <w:rPr>
          <w:rFonts w:ascii="Times New Roman" w:hAnsi="Times New Roman"/>
          <w:b w:val="false"/>
          <w:i w:val="false"/>
          <w:caps w:val="false"/>
          <w:smallCaps w:val="false"/>
          <w:color w:val="000000"/>
          <w:spacing w:val="0"/>
          <w:sz w:val="22"/>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(j)</w:t>
      </w:r>
      <w:r>
        <w:rPr>
          <w:rFonts w:ascii="Times New Roman" w:hAnsi="Times New Roman"/>
          <w:b w:val="false"/>
          <w:i w:val="false"/>
          <w:caps w:val="false"/>
          <w:smallCaps w:val="false"/>
          <w:color w:val="000000"/>
          <w:spacing w:val="0"/>
          <w:sz w:val="22"/>
          <w:u w:val="single"/>
        </w:rPr>
        <w:t>Withholding</w:t>
      </w:r>
      <w:r>
        <w:rPr>
          <w:rFonts w:ascii="Times New Roman" w:hAnsi="Times New Roman"/>
          <w:b w:val="false"/>
          <w:i w:val="false"/>
          <w:caps w:val="false"/>
          <w:smallCaps w:val="false"/>
          <w:color w:val="000000"/>
          <w:spacing w:val="0"/>
          <w:sz w:val="22"/>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(k)</w:t>
      </w:r>
      <w:r>
        <w:rPr>
          <w:rFonts w:ascii="Times New Roman" w:hAnsi="Times New Roman"/>
          <w:b w:val="false"/>
          <w:i w:val="false"/>
          <w:caps w:val="false"/>
          <w:smallCaps w:val="false"/>
          <w:color w:val="000000"/>
          <w:spacing w:val="0"/>
          <w:sz w:val="22"/>
          <w:u w:val="single"/>
        </w:rPr>
        <w:t>Section 409A</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w:t>
      </w:r>
      <w:r>
        <w:rPr>
          <w:rFonts w:ascii="Times New Roman" w:hAnsi="Times New Roman"/>
          <w:b w:val="false"/>
          <w:i/>
          <w:caps w:val="false"/>
          <w:smallCaps w:val="false"/>
          <w:color w:val="000000"/>
          <w:spacing w:val="0"/>
          <w:sz w:val="22"/>
        </w:rPr>
        <w:t>General.</w:t>
      </w:r>
      <w:r>
        <w:rPr>
          <w:rFonts w:ascii="Times New Roman" w:hAnsi="Times New Roman"/>
          <w:b w:val="false"/>
          <w:i w:val="false"/>
          <w:caps w:val="false"/>
          <w:smallCaps w:val="false"/>
          <w:color w:val="000000"/>
          <w:spacing w:val="0"/>
          <w:sz w:val="22"/>
        </w:rPr>
        <w:t>  The intent of the Parties is that the payments and benefits under this Agreement comply with or be exempt from Section 409A and, accordingly, to the maximum extent permitted, this Agreement shall be interpreted to be in compliance therewith.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w:t>
      </w:r>
      <w:r>
        <w:rPr>
          <w:rFonts w:ascii="Times New Roman" w:hAnsi="Times New Roman"/>
          <w:b w:val="false"/>
          <w:i/>
          <w:caps w:val="false"/>
          <w:smallCaps w:val="false"/>
          <w:color w:val="000000"/>
          <w:spacing w:val="0"/>
          <w:sz w:val="22"/>
        </w:rPr>
        <w:t>Separation from Service.  </w:t>
      </w:r>
      <w:r>
        <w:rPr>
          <w:rFonts w:ascii="Times New Roman" w:hAnsi="Times New Roman"/>
          <w:b w:val="false"/>
          <w:i w:val="false"/>
          <w:caps w:val="false"/>
          <w:smallCaps w:val="false"/>
          <w:color w:val="000000"/>
          <w:spacing w:val="0"/>
          <w:sz w:val="22"/>
        </w:rPr>
        <w:t>Notwithstanding anything in this Agreement to the contrary, any compensation or 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hAnsi="Times New Roman"/>
          <w:b w:val="false"/>
          <w:i w:val="false"/>
          <w:caps w:val="false"/>
          <w:smallCaps w:val="false"/>
          <w:color w:val="000000"/>
          <w:spacing w:val="0"/>
          <w:sz w:val="22"/>
          <w:u w:val="single"/>
        </w:rPr>
        <w:t>Separation from Service</w:t>
      </w:r>
      <w:r>
        <w:rPr>
          <w:rFonts w:ascii="Times New Roman" w:hAnsi="Times New Roman"/>
          <w:b w:val="false"/>
          <w:i w:val="false"/>
          <w:caps w:val="false"/>
          <w:smallCaps w:val="false"/>
          <w:color w:val="000000"/>
          <w:spacing w:val="0"/>
          <w:sz w:val="22"/>
        </w:rPr>
        <w:t xml:space="preserve">”) and, except as provided below, any such compensation or benefits described in </w:t>
      </w:r>
      <w:r>
        <w:rPr>
          <w:rFonts w:ascii="Times New Roman" w:hAnsi="Times New Roman"/>
          <w:b w:val="false"/>
          <w:i w:val="false"/>
          <w:caps w:val="false"/>
          <w:smallCaps w:val="false"/>
          <w:color w:val="000000"/>
          <w:spacing w:val="0"/>
          <w:sz w:val="22"/>
          <w:u w:val="single"/>
        </w:rPr>
        <w:t>Section 4</w:t>
      </w:r>
      <w:r>
        <w:rPr>
          <w:rFonts w:ascii="Times New Roman" w:hAnsi="Times New Roman"/>
          <w:b w:val="false"/>
          <w:i w:val="false"/>
          <w:caps w:val="false"/>
          <w:smallCaps w:val="false"/>
          <w:color w:val="000000"/>
          <w:spacing w:val="0"/>
          <w:sz w:val="22"/>
        </w:rPr>
        <w:t xml:space="preserve"> shall not be paid, or, in the case of installments, shall not commence payment, until the thirtieth (30th) day following Executive’s Separation from Service (the “</w:t>
      </w:r>
      <w:r>
        <w:rPr>
          <w:rFonts w:ascii="Times New Roman" w:hAnsi="Times New Roman"/>
          <w:b w:val="false"/>
          <w:i w:val="false"/>
          <w:caps w:val="false"/>
          <w:smallCaps w:val="false"/>
          <w:color w:val="000000"/>
          <w:spacing w:val="0"/>
          <w:sz w:val="22"/>
          <w:u w:val="single"/>
        </w:rPr>
        <w:t>First Payment Date</w:t>
      </w:r>
      <w:r>
        <w:rPr>
          <w:rFonts w:ascii="Times New Roman" w:hAnsi="Times New Roman"/>
          <w:b w:val="false"/>
          <w:i w:val="false"/>
          <w:caps w:val="false"/>
          <w:smallCaps w:val="false"/>
          <w:color w:val="000000"/>
          <w:spacing w:val="0"/>
          <w:sz w:val="22"/>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10</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strike w:val="false"/>
          <w:dstrike w:val="false"/>
          <w:color w:val="000000"/>
          <w:spacing w:val="0"/>
          <w:sz w:val="22"/>
          <w:u w:val="none"/>
          <w:effect w:val="none"/>
        </w:rPr>
        <w:t>(iii)</w:t>
      </w:r>
      <w:r>
        <w:rPr>
          <w:rFonts w:ascii="Times New Roman" w:hAnsi="Times New Roman"/>
          <w:b w:val="false"/>
          <w:i/>
          <w:caps w:val="false"/>
          <w:smallCaps w:val="false"/>
          <w:color w:val="000000"/>
          <w:spacing w:val="0"/>
          <w:sz w:val="22"/>
        </w:rPr>
        <w:t>Specified Employee.</w:t>
      </w:r>
      <w:r>
        <w:rPr>
          <w:rFonts w:ascii="Times New Roman" w:hAnsi="Times New Roman"/>
          <w:b w:val="false"/>
          <w:i w:val="false"/>
          <w:caps w:val="false"/>
          <w:smallCaps w:val="false"/>
          <w:color w:val="000000"/>
          <w:spacing w:val="0"/>
          <w:sz w:val="22"/>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(iv)</w:t>
      </w:r>
      <w:r>
        <w:rPr>
          <w:rFonts w:ascii="Times New Roman" w:hAnsi="Times New Roman"/>
          <w:b w:val="false"/>
          <w:i/>
          <w:caps w:val="false"/>
          <w:smallCaps w:val="false"/>
          <w:color w:val="000000"/>
          <w:spacing w:val="0"/>
          <w:sz w:val="22"/>
        </w:rPr>
        <w:t>Expense Reimbursements.  </w:t>
      </w:r>
      <w:r>
        <w:rPr>
          <w:rFonts w:ascii="Times New Roman" w:hAnsi="Times New Roman"/>
          <w:b w:val="false"/>
          <w:i w:val="false"/>
          <w:caps w:val="false"/>
          <w:smallCaps w:val="false"/>
          <w:color w:val="000000"/>
          <w:spacing w:val="0"/>
          <w:sz w:val="22"/>
        </w:rPr>
        <w:t>To the extent that any reimbursements under this Agreement are subject to Section 409A, (i) any such reimbursements payable to Executive shall be paid to Executive no later than December 31 of the year following the year in which the expense was incurred, (ii) Executive shall submit Executive’s reimbursement request promptly following the date the expense is incurred, (iii) the amount of expenses reimbursed in one year shall not affect the amount eligible for reimbursement in any subsequent year, other than medical expenses referred to in Section 105(b) of the Code, and (iv) Executive’s right to reimbursement under this Agreement will not be subject to liquidation or exchange for another benefit.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w:t>
      </w:r>
      <w:r>
        <w:rPr>
          <w:rFonts w:ascii="Times New Roman" w:hAnsi="Times New Roman"/>
          <w:b w:val="false"/>
          <w:i/>
          <w:caps w:val="false"/>
          <w:smallCaps w:val="false"/>
          <w:color w:val="000000"/>
          <w:spacing w:val="0"/>
          <w:sz w:val="22"/>
        </w:rPr>
        <w:t>Installments.</w:t>
      </w:r>
      <w:r>
        <w:rPr>
          <w:rFonts w:ascii="Times New Roman" w:hAnsi="Times New Roman"/>
          <w:b w:val="false"/>
          <w:i w:val="false"/>
          <w:caps w:val="false"/>
          <w:smallCaps w:val="false"/>
          <w:color w:val="000000"/>
          <w:spacing w:val="0"/>
          <w:sz w:val="22"/>
        </w:rPr>
        <w:t>  Executive’s right to receive any installment payments under this Agreement, including 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10.</w:t>
      </w:r>
      <w:r>
        <w:rPr>
          <w:rFonts w:ascii="Times New Roman" w:hAnsi="Times New Roman"/>
          <w:b/>
          <w:i w:val="false"/>
          <w:caps w:val="false"/>
          <w:smallCaps w:val="false"/>
          <w:color w:val="000000"/>
          <w:spacing w:val="0"/>
          <w:sz w:val="22"/>
          <w:u w:val="single"/>
        </w:rPr>
        <w:t>Executive Acknowledgement</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t>
      </w:r>
      <w:r>
        <w:rPr>
          <w:rFonts w:ascii="Times New Roman" w:hAnsi="Times New Roman"/>
          <w:b w:val="false"/>
          <w:i/>
          <w:caps w:val="false"/>
          <w:smallCaps w:val="false"/>
          <w:sz w:val="22"/>
        </w:rPr>
        <w:t>Signature Page Follows</w:t>
      </w:r>
      <w:r>
        <w:rPr>
          <w:rFonts w:ascii="Times New Roman" w:hAnsi="Times New Roman"/>
          <w:b w:val="false"/>
          <w:i w:val="false"/>
          <w:caps w:val="false"/>
          <w:smallCaps w:val="false"/>
          <w:sz w:val="22"/>
        </w:rPr>
        <w:t>]</w:t>
      </w:r>
    </w:p>
    <w:p>
      <w:pPr>
        <w:pStyle w:val="TextBody"/>
        <w:spacing w:before="0" w:after="0"/>
        <w:rPr/>
      </w:pPr>
      <w:r>
        <w:rPr/>
        <w:t> </w:t>
      </w:r>
    </w:p>
    <w:p>
      <w:pPr>
        <w:pStyle w:val="TextBody"/>
        <w:spacing w:before="0" w:after="0"/>
        <w:jc w:val="center"/>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2"/>
        </w:rPr>
      </w:pPr>
      <w:bookmarkStart w:id="82" w:name="_AEIOULastRenderedPageBreakAEIOU12"/>
      <w:bookmarkEnd w:id="82"/>
      <w:r>
        <w:rPr>
          <w:rFonts w:ascii="Times New Roman" w:hAnsi="Times New Roman"/>
          <w:b w:val="false"/>
          <w:i w:val="false"/>
          <w:caps w:val="false"/>
          <w:smallCaps w:val="false"/>
          <w:sz w:val="22"/>
        </w:rPr>
        <w:t>IN WITNESS WHEREOF, the Parties have executed this Agreement on the date and year first above written.</w:t>
      </w:r>
    </w:p>
    <w:p>
      <w:pPr>
        <w:pStyle w:val="TextBody"/>
        <w:spacing w:before="0" w:after="0"/>
        <w:rPr/>
      </w:pPr>
      <w:r>
        <w:rPr/>
        <w:t> </w:t>
      </w:r>
    </w:p>
    <w:tbl>
      <w:tblPr>
        <w:tblW w:w="4690" w:type="dxa"/>
        <w:jc w:val="right"/>
        <w:tblInd w:w="0" w:type="dxa"/>
        <w:tblCellMar>
          <w:top w:w="0" w:type="dxa"/>
          <w:left w:w="0" w:type="dxa"/>
          <w:bottom w:w="0" w:type="dxa"/>
          <w:right w:w="0" w:type="dxa"/>
        </w:tblCellMar>
      </w:tblPr>
      <w:tblGrid>
        <w:gridCol w:w="350"/>
        <w:gridCol w:w="4340"/>
      </w:tblGrid>
      <w:tr>
        <w:trPr/>
        <w:tc>
          <w:tcPr>
            <w:tcW w:w="4690" w:type="dxa"/>
            <w:gridSpan w:val="2"/>
            <w:tcBorders/>
            <w:shd w:fill="auto" w:val="clear"/>
          </w:tcPr>
          <w:p>
            <w:pPr>
              <w:pStyle w:val="TableContents"/>
              <w:spacing w:before="0" w:after="0"/>
              <w:ind w:left="0" w:right="0" w:hanging="0"/>
              <w:jc w:val="left"/>
              <w:rPr>
                <w:rFonts w:ascii="Times New Roman" w:hAnsi="Times New Roman"/>
                <w:b/>
                <w:i w:val="false"/>
                <w:caps w:val="false"/>
                <w:smallCaps w:val="false"/>
                <w:sz w:val="22"/>
              </w:rPr>
            </w:pPr>
            <w:r>
              <w:rPr>
                <w:rFonts w:ascii="Times New Roman" w:hAnsi="Times New Roman"/>
                <w:b/>
                <w:i w:val="false"/>
                <w:caps w:val="false"/>
                <w:smallCaps w:val="false"/>
                <w:sz w:val="22"/>
              </w:rPr>
              <w:t>ATEA PHARMACEUTICALS, INC.</w:t>
            </w:r>
          </w:p>
        </w:tc>
      </w:tr>
      <w:tr>
        <w:trPr/>
        <w:tc>
          <w:tcPr>
            <w:tcW w:w="350" w:type="dxa"/>
            <w:tcBorders/>
            <w:shd w:fill="auto" w:val="clear"/>
          </w:tcPr>
          <w:p>
            <w:pPr>
              <w:pStyle w:val="TableContents"/>
              <w:spacing w:before="0" w:after="0"/>
              <w:ind w:left="0" w:right="0" w:hanging="0"/>
              <w:jc w:val="left"/>
              <w:rPr/>
            </w:pPr>
            <w:r>
              <w:rPr/>
              <w:t> </w:t>
            </w:r>
          </w:p>
        </w:tc>
        <w:tc>
          <w:tcPr>
            <w:tcW w:w="4340" w:type="dxa"/>
            <w:tcBorders/>
            <w:shd w:fill="auto" w:val="clear"/>
          </w:tcPr>
          <w:p>
            <w:pPr>
              <w:pStyle w:val="TableContents"/>
              <w:spacing w:before="0" w:after="0"/>
              <w:ind w:left="0" w:right="0" w:hanging="0"/>
              <w:jc w:val="left"/>
              <w:rPr/>
            </w:pPr>
            <w:r>
              <w:rPr/>
              <w:t> </w:t>
            </w:r>
          </w:p>
        </w:tc>
      </w:tr>
      <w:tr>
        <w:trPr/>
        <w:tc>
          <w:tcPr>
            <w:tcW w:w="350"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w:t>
            </w:r>
          </w:p>
        </w:tc>
        <w:tc>
          <w:tcPr>
            <w:tcW w:w="4340"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 Jean-Pierre Sommadossi, Ph.D.</w:t>
            </w:r>
          </w:p>
        </w:tc>
      </w:tr>
      <w:tr>
        <w:trPr/>
        <w:tc>
          <w:tcPr>
            <w:tcW w:w="350" w:type="dxa"/>
            <w:tcBorders/>
            <w:shd w:fill="auto" w:val="clear"/>
          </w:tcPr>
          <w:p>
            <w:pPr>
              <w:pStyle w:val="TableContents"/>
              <w:spacing w:before="0" w:after="0"/>
              <w:ind w:left="0" w:right="0" w:hanging="0"/>
              <w:jc w:val="left"/>
              <w:rPr/>
            </w:pPr>
            <w:r>
              <w:rPr/>
              <w:t> </w:t>
            </w:r>
          </w:p>
        </w:tc>
        <w:tc>
          <w:tcPr>
            <w:tcW w:w="4340" w:type="dxa"/>
            <w:tcBorders>
              <w:top w:val="single" w:sz="6" w:space="0" w:color="000000"/>
            </w:tcBorders>
            <w:shd w:fill="auto" w:val="clear"/>
            <w:tcMar>
              <w:top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Name:  Jean-Pierre Sommadossi, Ph.D.</w:t>
            </w:r>
          </w:p>
        </w:tc>
      </w:tr>
      <w:tr>
        <w:trPr/>
        <w:tc>
          <w:tcPr>
            <w:tcW w:w="350" w:type="dxa"/>
            <w:tcBorders/>
            <w:shd w:fill="auto" w:val="clear"/>
          </w:tcPr>
          <w:p>
            <w:pPr>
              <w:pStyle w:val="TableContents"/>
              <w:spacing w:before="0" w:after="0"/>
              <w:ind w:left="0" w:right="0" w:hanging="0"/>
              <w:jc w:val="left"/>
              <w:rPr/>
            </w:pPr>
            <w:r>
              <w:rPr/>
              <w:t> </w:t>
            </w:r>
          </w:p>
        </w:tc>
        <w:tc>
          <w:tcPr>
            <w:tcW w:w="4340" w:type="dxa"/>
            <w:tcBorders/>
            <w:shd w:fill="auto" w:val="cle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Title:    Chairman and Chief Executive Officer</w:t>
            </w:r>
          </w:p>
        </w:tc>
      </w:tr>
    </w:tbl>
    <w:p>
      <w:pPr>
        <w:pStyle w:val="TextBody"/>
        <w:spacing w:before="0" w:after="0"/>
        <w:rPr/>
      </w:pPr>
      <w:r>
        <w:rPr/>
        <w:t> </w:t>
      </w:r>
    </w:p>
    <w:p>
      <w:pPr>
        <w:pStyle w:val="TextBody"/>
        <w:spacing w:before="0" w:after="0"/>
        <w:rPr/>
      </w:pPr>
      <w:r>
        <w:rPr/>
        <w:t> </w:t>
      </w:r>
    </w:p>
    <w:p>
      <w:pPr>
        <w:pStyle w:val="TextBody"/>
        <w:spacing w:before="0" w:after="0"/>
        <w:rPr/>
      </w:pPr>
      <w:r>
        <w:rPr/>
        <w:t> </w:t>
      </w:r>
    </w:p>
    <w:tbl>
      <w:tblPr>
        <w:tblW w:w="1654" w:type="dxa"/>
        <w:jc w:val="right"/>
        <w:tblInd w:w="0" w:type="dxa"/>
        <w:tblCellMar>
          <w:top w:w="0" w:type="dxa"/>
          <w:left w:w="0" w:type="dxa"/>
          <w:bottom w:w="0" w:type="dxa"/>
          <w:right w:w="0" w:type="dxa"/>
        </w:tblCellMar>
      </w:tblPr>
      <w:tblGrid>
        <w:gridCol w:w="827"/>
        <w:gridCol w:w="827"/>
      </w:tblGrid>
      <w:tr>
        <w:trPr/>
        <w:tc>
          <w:tcPr>
            <w:tcW w:w="1654" w:type="dxa"/>
            <w:gridSpan w:val="2"/>
            <w:tcBorders/>
            <w:shd w:fill="auto" w:val="clear"/>
          </w:tcPr>
          <w:p>
            <w:pPr>
              <w:pStyle w:val="TableContents"/>
              <w:spacing w:before="0" w:after="0"/>
              <w:ind w:left="0" w:right="0" w:hanging="0"/>
              <w:jc w:val="left"/>
              <w:rPr>
                <w:rFonts w:ascii="Times New Roman" w:hAnsi="Times New Roman"/>
                <w:b/>
                <w:i w:val="false"/>
                <w:caps w:val="false"/>
                <w:smallCaps w:val="false"/>
                <w:sz w:val="22"/>
              </w:rPr>
            </w:pPr>
            <w:r>
              <w:rPr>
                <w:rFonts w:ascii="Times New Roman" w:hAnsi="Times New Roman"/>
                <w:b/>
                <w:i w:val="false"/>
                <w:caps w:val="false"/>
                <w:smallCaps w:val="false"/>
                <w:sz w:val="22"/>
              </w:rPr>
              <w:t>EXECUTIVE</w:t>
            </w:r>
          </w:p>
        </w:tc>
      </w:tr>
      <w:tr>
        <w:trPr/>
        <w:tc>
          <w:tcPr>
            <w:tcW w:w="1654" w:type="dxa"/>
            <w:gridSpan w:val="2"/>
            <w:tcBorders/>
            <w:shd w:fill="auto" w:val="clear"/>
          </w:tcPr>
          <w:p>
            <w:pPr>
              <w:pStyle w:val="TableContents"/>
              <w:spacing w:before="0" w:after="0"/>
              <w:ind w:left="0" w:right="0" w:hanging="0"/>
              <w:jc w:val="left"/>
              <w:rPr/>
            </w:pPr>
            <w:r>
              <w:rPr/>
              <w:t> </w:t>
            </w:r>
          </w:p>
        </w:tc>
      </w:tr>
      <w:tr>
        <w:trPr/>
        <w:tc>
          <w:tcPr>
            <w:tcW w:w="1654" w:type="dxa"/>
            <w:gridSpan w:val="2"/>
            <w:tcBorders/>
            <w:shd w:fill="auto" w:val="clear"/>
          </w:tcPr>
          <w:p>
            <w:pPr>
              <w:pStyle w:val="TableContents"/>
              <w:spacing w:before="0" w:after="0"/>
              <w:ind w:left="0" w:right="0" w:hanging="0"/>
              <w:jc w:val="left"/>
              <w:rPr/>
            </w:pPr>
            <w:r>
              <w:rPr/>
              <w:t> </w:t>
            </w:r>
          </w:p>
        </w:tc>
      </w:tr>
      <w:tr>
        <w:trPr/>
        <w:tc>
          <w:tcPr>
            <w:tcW w:w="827" w:type="dxa"/>
            <w:tcBorders/>
            <w:shd w:fill="auto" w:val="clear"/>
          </w:tcPr>
          <w:p>
            <w:pPr>
              <w:pStyle w:val="TableContents"/>
              <w:spacing w:before="0" w:after="0"/>
              <w:ind w:left="0" w:right="0" w:hanging="0"/>
              <w:jc w:val="left"/>
              <w:rPr/>
            </w:pPr>
            <w:r>
              <w:rPr/>
              <w:t> </w:t>
            </w:r>
          </w:p>
        </w:tc>
        <w:tc>
          <w:tcPr>
            <w:tcW w:w="827" w:type="dxa"/>
            <w:tcBorders/>
            <w:shd w:fill="auto" w:val="clear"/>
          </w:tcPr>
          <w:p>
            <w:pPr>
              <w:pStyle w:val="TableContents"/>
              <w:spacing w:before="0" w:after="0"/>
              <w:ind w:left="0" w:right="0" w:hanging="0"/>
              <w:jc w:val="left"/>
              <w:rPr/>
            </w:pPr>
            <w:r>
              <w:rPr/>
              <w:t> </w:t>
            </w:r>
          </w:p>
        </w:tc>
      </w:tr>
      <w:tr>
        <w:trPr/>
        <w:tc>
          <w:tcPr>
            <w:tcW w:w="1654" w:type="dxa"/>
            <w:gridSpan w:val="2"/>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 John Vavricka</w:t>
            </w:r>
          </w:p>
        </w:tc>
      </w:tr>
      <w:tr>
        <w:trPr/>
        <w:tc>
          <w:tcPr>
            <w:tcW w:w="1654" w:type="dxa"/>
            <w:gridSpan w:val="2"/>
            <w:tcBorders>
              <w:top w:val="single" w:sz="6" w:space="0" w:color="000000"/>
            </w:tcBorders>
            <w:shd w:fill="auto" w:val="clear"/>
            <w:tcMar>
              <w:top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John Vavricka</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[Signature Page to Employment Agreement]</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u w:val="single"/>
        </w:rPr>
      </w:pPr>
      <w:bookmarkStart w:id="83" w:name="_AEIOULastRenderedPageBreakAEIOU22"/>
      <w:bookmarkEnd w:id="83"/>
      <w:r>
        <w:rPr>
          <w:rFonts w:ascii="Times New Roman" w:hAnsi="Times New Roman"/>
          <w:b/>
          <w:i w:val="false"/>
          <w:caps w:val="false"/>
          <w:smallCaps w:val="false"/>
          <w:sz w:val="22"/>
          <w:u w:val="single"/>
        </w:rPr>
        <w:t>EXHIBIT A</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Separation Agreement and Release</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This Separation Agreement and Release (“</w:t>
      </w:r>
      <w:r>
        <w:rPr>
          <w:rFonts w:ascii="Times New Roman" w:hAnsi="Times New Roman"/>
          <w:b w:val="false"/>
          <w:i w:val="false"/>
          <w:caps w:val="false"/>
          <w:smallCaps w:val="false"/>
          <w:sz w:val="22"/>
          <w:u w:val="single"/>
        </w:rPr>
        <w:t>Agreement</w:t>
      </w:r>
      <w:r>
        <w:rPr>
          <w:rFonts w:ascii="Times New Roman" w:hAnsi="Times New Roman"/>
          <w:b w:val="false"/>
          <w:i w:val="false"/>
          <w:caps w:val="false"/>
          <w:smallCaps w:val="false"/>
          <w:sz w:val="22"/>
        </w:rPr>
        <w:t>”) is made by and between John Vavricka (“</w:t>
      </w:r>
      <w:r>
        <w:rPr>
          <w:rFonts w:ascii="Times New Roman" w:hAnsi="Times New Roman"/>
          <w:b w:val="false"/>
          <w:i w:val="false"/>
          <w:caps w:val="false"/>
          <w:smallCaps w:val="false"/>
          <w:sz w:val="22"/>
          <w:u w:val="single"/>
        </w:rPr>
        <w:t>Executive</w:t>
      </w:r>
      <w:r>
        <w:rPr>
          <w:rFonts w:ascii="Times New Roman" w:hAnsi="Times New Roman"/>
          <w:b w:val="false"/>
          <w:i w:val="false"/>
          <w:caps w:val="false"/>
          <w:smallCaps w:val="false"/>
          <w:sz w:val="22"/>
        </w:rPr>
        <w:t>”) and Atea Pharmaceuticals, Inc. (the “</w:t>
      </w:r>
      <w:r>
        <w:rPr>
          <w:rFonts w:ascii="Times New Roman" w:hAnsi="Times New Roman"/>
          <w:b w:val="false"/>
          <w:i w:val="false"/>
          <w:caps w:val="false"/>
          <w:smallCaps w:val="false"/>
          <w:sz w:val="22"/>
          <w:u w:val="single"/>
        </w:rPr>
        <w:t>Company</w:t>
      </w:r>
      <w:r>
        <w:rPr>
          <w:rFonts w:ascii="Times New Roman" w:hAnsi="Times New Roman"/>
          <w:b w:val="false"/>
          <w:i w:val="false"/>
          <w:caps w:val="false"/>
          <w:smallCaps w:val="false"/>
          <w:sz w:val="22"/>
        </w:rPr>
        <w:t>”) (collectively referred to as the “Parties” or individually referred to as a “Party”).  Capitalized terms used but not defined in this Agreement shall have the meanings set forth in the Employment Agreement (as defined below).</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WHEREAS, the Parties have previously entered into that certain Employment Agreement, dated as of _____, 2020 (the “</w:t>
      </w:r>
      <w:r>
        <w:rPr>
          <w:rFonts w:ascii="Times New Roman" w:hAnsi="Times New Roman"/>
          <w:b w:val="false"/>
          <w:i w:val="false"/>
          <w:caps w:val="false"/>
          <w:smallCaps w:val="false"/>
          <w:sz w:val="22"/>
          <w:u w:val="single"/>
        </w:rPr>
        <w:t>Employment Agreement</w:t>
      </w:r>
      <w:r>
        <w:rPr>
          <w:rFonts w:ascii="Times New Roman" w:hAnsi="Times New Roman"/>
          <w:b w:val="false"/>
          <w:i w:val="false"/>
          <w:caps w:val="false"/>
          <w:smallCaps w:val="false"/>
          <w:sz w:val="22"/>
        </w:rPr>
        <w:t>”) and that certain Employee Proprietary Information and Inventions Assignment Agreement, dated as of ________, 2020 (the “</w:t>
      </w:r>
      <w:r>
        <w:rPr>
          <w:rFonts w:ascii="Times New Roman" w:hAnsi="Times New Roman"/>
          <w:b w:val="false"/>
          <w:i w:val="false"/>
          <w:caps w:val="false"/>
          <w:smallCaps w:val="false"/>
          <w:sz w:val="22"/>
          <w:u w:val="single"/>
        </w:rPr>
        <w:t>Restrictive Covenant Agreement</w:t>
      </w:r>
      <w:r>
        <w:rPr>
          <w:rFonts w:ascii="Times New Roman" w:hAnsi="Times New Roman"/>
          <w:b w:val="false"/>
          <w:i w:val="false"/>
          <w:caps w:val="false"/>
          <w:smallCaps w:val="false"/>
          <w:sz w:val="22"/>
        </w:rPr>
        <w:t xml:space="preserve">”); and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WHEREAS, in connection with Executive’s termination of employment with the Company or a subsidiary or affiliate of the Company effective ________, 20__,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pursuant to contract or applicable law (collectively, the “</w:t>
      </w:r>
      <w:r>
        <w:rPr>
          <w:rFonts w:ascii="Times New Roman" w:hAnsi="Times New Roman"/>
          <w:b w:val="false"/>
          <w:i w:val="false"/>
          <w:caps w:val="false"/>
          <w:smallCaps w:val="false"/>
          <w:sz w:val="22"/>
          <w:u w:val="single"/>
        </w:rPr>
        <w:t>Retained Claims</w:t>
      </w:r>
      <w:r>
        <w:rPr>
          <w:rFonts w:ascii="Times New Roman" w:hAnsi="Times New Roman"/>
          <w:b w:val="false"/>
          <w:i w:val="false"/>
          <w:caps w:val="false"/>
          <w:smallCaps w:val="false"/>
          <w:sz w:val="22"/>
        </w:rPr>
        <w:t xml:space="preserve">”).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w:t>
      </w:r>
      <w:r>
        <w:rPr>
          <w:rFonts w:ascii="Times New Roman" w:hAnsi="Times New Roman"/>
          <w:b w:val="false"/>
          <w:i w:val="false"/>
          <w:caps w:val="false"/>
          <w:smallCaps w:val="false"/>
          <w:sz w:val="22"/>
          <w:u w:val="single"/>
        </w:rPr>
        <w:t>Severance Payments and Benefits; Salary and Benefits</w:t>
      </w:r>
      <w:r>
        <w:rPr>
          <w:rFonts w:ascii="Times New Roman" w:hAnsi="Times New Roman"/>
          <w:b w:val="false"/>
          <w:i w:val="false"/>
          <w:caps w:val="false"/>
          <w:smallCaps w:val="false"/>
          <w:sz w:val="22"/>
        </w:rPr>
        <w:t xml:space="preserve">.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r>
        <w:rPr>
          <w:rFonts w:ascii="Times New Roman" w:hAnsi="Times New Roman"/>
          <w:b w:val="false"/>
          <w:i w:val="false"/>
          <w:caps w:val="false"/>
          <w:smallCaps w:val="false"/>
          <w:sz w:val="22"/>
          <w:u w:val="single"/>
        </w:rPr>
        <w:t>3(c)</w:t>
      </w:r>
      <w:r>
        <w:rPr>
          <w:rFonts w:ascii="Times New Roman" w:hAnsi="Times New Roman"/>
          <w:b w:val="false"/>
          <w:i w:val="false"/>
          <w:caps w:val="false"/>
          <w:smallCaps w:val="false"/>
          <w:sz w:val="22"/>
        </w:rPr>
        <w:t xml:space="preserve"> of the Employment Agreement, subject to and in accordance with the terms thereof.</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w:t>
      </w:r>
      <w:r>
        <w:rPr>
          <w:rFonts w:ascii="Times New Roman" w:hAnsi="Times New Roman"/>
          <w:b w:val="false"/>
          <w:i w:val="false"/>
          <w:caps w:val="false"/>
          <w:smallCaps w:val="false"/>
          <w:sz w:val="22"/>
          <w:u w:val="single"/>
        </w:rPr>
        <w:t>Release of Claims</w:t>
      </w:r>
      <w:r>
        <w:rPr>
          <w:rFonts w:ascii="Times New Roman" w:hAnsi="Times New Roman"/>
          <w:b w:val="false"/>
          <w:i w:val="false"/>
          <w:caps w:val="false"/>
          <w:smallCaps w:val="false"/>
          <w:sz w:val="22"/>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hAnsi="Times New Roman"/>
          <w:b w:val="false"/>
          <w:i w:val="false"/>
          <w:caps w:val="false"/>
          <w:smallCaps w:val="false"/>
          <w:sz w:val="22"/>
          <w:u w:val="single"/>
        </w:rPr>
        <w:t>Releasees</w:t>
      </w:r>
      <w:r>
        <w:rPr>
          <w:rFonts w:ascii="Times New Roman" w:hAnsi="Times New Roman"/>
          <w:b w:val="false"/>
          <w:i w:val="false"/>
          <w:caps w:val="false"/>
          <w:smallCaps w:val="false"/>
          <w:sz w:val="22"/>
        </w:rPr>
        <w:t xml:space="preserve">”).  Executive, on Executive’s own behalf and on behalf of any of Executive’s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Releasees arising from any omissions, acts, facts, or damages that have occurred up until and including the date Executive signs this Agreement, including, without limitation:</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(a)any and all claims relating to or arising from Executive’s employment or service relationship with the Company or any of its direct or indirect subsidiaries or affiliates and the termination of that relationship;</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(e)any and all claims for violation of the federal or any state constitution;</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(f)any and all claims arising out of any other laws and regulations relating to employment or employment discrimination;</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(g)any claim for any loss, cost, damage, or expense arising out of any dispute over the non-withholding or other tax treatment of any of the proceeds received by Executive as a result of this Agreement; </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(h)any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(i)any and all claims for attorneys’ fees and costs.</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A-2</w:t>
      </w:r>
    </w:p>
    <w:p>
      <w:pPr>
        <w:pStyle w:val="HorizontalLine"/>
        <w:rPr/>
      </w:pPr>
      <w:r>
        <w:rPr/>
      </w:r>
    </w:p>
    <w:p>
      <w:pPr>
        <w:pStyle w:val="TextBody"/>
        <w:spacing w:before="0" w:after="0"/>
        <w:rPr/>
      </w:pPr>
      <w:r>
        <w:rPr/>
        <w:t>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w:t>
      </w:r>
      <w:r>
        <w:rPr>
          <w:rFonts w:ascii="Times New Roman" w:hAnsi="Times New Roman"/>
          <w:b w:val="false"/>
          <w:i w:val="false"/>
          <w:caps w:val="false"/>
          <w:smallCaps w:val="false"/>
          <w:sz w:val="22"/>
          <w:u w:val="single"/>
        </w:rPr>
        <w:t>Acknowledgment of Waiver of Claims under ADEA</w:t>
      </w:r>
      <w:r>
        <w:rPr>
          <w:rFonts w:ascii="Times New Roman" w:hAnsi="Times New Roman"/>
          <w:b w:val="false"/>
          <w:i w:val="false"/>
          <w:caps w:val="false"/>
          <w:smallCaps w:val="false"/>
          <w:sz w:val="22"/>
        </w:rPr>
        <w:t>.  Executive understands and acknowledges that Executive is waiving and releasing any rights Executive may have under the Age Discrimination in Employment Act of 1967 (“</w:t>
      </w:r>
      <w:r>
        <w:rPr>
          <w:rFonts w:ascii="Times New Roman" w:hAnsi="Times New Roman"/>
          <w:b w:val="false"/>
          <w:i w:val="false"/>
          <w:caps w:val="false"/>
          <w:smallCaps w:val="false"/>
          <w:sz w:val="22"/>
          <w:u w:val="single"/>
        </w:rPr>
        <w:t>ADEA</w:t>
      </w:r>
      <w:r>
        <w:rPr>
          <w:rFonts w:ascii="Times New Roman" w:hAnsi="Times New Roman"/>
          <w:b w:val="false"/>
          <w:i w:val="false"/>
          <w:caps w:val="false"/>
          <w:smallCaps w:val="false"/>
          <w:sz w:val="22"/>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w:t>
      </w:r>
      <w:r>
        <w:rPr>
          <w:rFonts w:ascii="Times New Roman" w:hAnsi="Times New Roman"/>
          <w:b w:val="false"/>
          <w:i w:val="false"/>
          <w:caps w:val="false"/>
          <w:smallCaps w:val="false"/>
          <w:sz w:val="22"/>
          <w:u w:val="single"/>
        </w:rPr>
        <w:t>Restrictive Covenants</w:t>
      </w:r>
      <w:r>
        <w:rPr>
          <w:rFonts w:ascii="Times New Roman" w:hAnsi="Times New Roman"/>
          <w:b w:val="false"/>
          <w:i w:val="false"/>
          <w:caps w:val="false"/>
          <w:smallCaps w:val="false"/>
          <w:sz w:val="22"/>
        </w:rPr>
        <w: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(a)Executive acknowledges and agrees that the restrictive covenants and other post-termination obligations set forth in the Restrictive Covenant Agreement, including without limitation Executive’s obligations relating to confidentiality, non-use and non-disclosure of Proprietary Information (as defined in the Restrictive Covenant Agreement), non-solicitation, cooperation, and return of property, are hereby incorporated by reference and shall remain in full force and effect pursuant to their terms to the maximum extent permitted by applicable law, except that the Parties expressly agree to modify the Restrictive Covenant Agreement by removing Section 6.1, and each subpart thereto, of the Restrictive Covenant Agreement, which shall be of no further force or effect upon the Effective Date (as defined below). Executive represents and warrants that Executive has complied with all provisions of the Restrictive Covenant Agreement at all times through the Effective Date.</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(b)In consideration for the severance payments and benefits set forth in Section 1 of this Agreement, Executive agrees for a period of one year after the Effective Date (the “</w:t>
      </w:r>
      <w:r>
        <w:rPr>
          <w:rFonts w:ascii="Times New Roman" w:hAnsi="Times New Roman"/>
          <w:b w:val="false"/>
          <w:i w:val="false"/>
          <w:caps w:val="false"/>
          <w:smallCaps w:val="false"/>
          <w:sz w:val="22"/>
          <w:u w:val="single"/>
        </w:rPr>
        <w:t>Non-Competition Restricted Period</w:t>
      </w:r>
      <w:r>
        <w:rPr>
          <w:rFonts w:ascii="Times New Roman" w:hAnsi="Times New Roman"/>
          <w:b w:val="false"/>
          <w:i w:val="false"/>
          <w:caps w:val="false"/>
          <w:smallCaps w:val="false"/>
          <w:sz w:val="22"/>
        </w:rPr>
        <w:t xml:space="preserve">”) to not, directly or indirectly, on Executive’s own behalf or for the benefit of any other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A-3</w:t>
      </w:r>
    </w:p>
    <w:p>
      <w:pPr>
        <w:pStyle w:val="HorizontalLine"/>
        <w:rPr/>
      </w:pPr>
      <w:r>
        <w:rPr/>
      </w:r>
    </w:p>
    <w:p>
      <w:pPr>
        <w:pStyle w:val="TextBody"/>
        <w:spacing w:before="0" w:after="0"/>
        <w:rPr/>
      </w:pPr>
      <w:r>
        <w:rPr/>
        <w:t>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individual or entity other than the Company: (i) operate, conduct, or engage in, or prepare to operate, conduct, or engage in the Business (as defined below); (ii) own, finance, or invest in (except as the holder of not more than one percent of the outstanding stock of a publicly-held company) any Business; or (iii) participate in, render services to, or assist any person or entity that engages in or is preparing to engage in the Business in any capacity (whether as an employee, consultant, contractor, partner, officer, director, or otherwise) (x) which involves the same or similar types of services Executive performed for the Company at any time during the last two years of Executive’s employment with the Company or (y) in which Executive could reasonably be expected to use or disclose Proprietary Information, in each case (i), (ii) or (iii) in the Restricted Territory (as defined below). Without limiting the Company’s ability to seek other remedies available in law or equity, if Executive violates this Section 4(b), the Non-Competition Restricted Period shall be extended by one day for each day that Executive is in violation of such provisions, up to a maximum extension equal to the length of the Non-Competition Restricted Period, so as to give the Company the full benefit of the bargained-for length of forbearance.</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(c)Executive’s continued compliance with the terms of the Restrictive Covenant Agreement (as modified in Section 4(a) above) and the noncompetition obligations set forth in Section 4(b) above (collectively, the “</w:t>
      </w:r>
      <w:r>
        <w:rPr>
          <w:rFonts w:ascii="Times New Roman" w:hAnsi="Times New Roman"/>
          <w:b w:val="false"/>
          <w:i w:val="false"/>
          <w:caps w:val="false"/>
          <w:smallCaps w:val="false"/>
          <w:sz w:val="22"/>
          <w:u w:val="single"/>
        </w:rPr>
        <w:t>Restrictive Covenants</w:t>
      </w:r>
      <w:r>
        <w:rPr>
          <w:rFonts w:ascii="Times New Roman" w:hAnsi="Times New Roman"/>
          <w:b w:val="false"/>
          <w:i w:val="false"/>
          <w:caps w:val="false"/>
          <w:smallCaps w:val="false"/>
          <w:sz w:val="22"/>
        </w:rPr>
        <w:t>”) is a material condition to receipt of the severance payments and benefits set forth in Section 1 of this Agreement. In the event Executive breaches any part of such Restrictive Covenants, then, in addition to any remedies and enforcement mechanisms set forth in the Restrictive Covenant Agreement, the Employment Agreement and this Agreement, and any other remedies available to the Company (including equitable and injunctive remedies), Executive shall forfeit any additional consideration owing and shall be obligated to promptly return to the Company (within fifteen (15) business days of any breach) the full gross amount of all severance payments and benefits provided.</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(d)If any provision of the Restrictive Covenants shall be determined to be unenforceable by any court of competent jurisdiction or arbitrator by reason of its extending for too great a period of time or over too large a geographic area or over too great a range of activities, it shall be interpreted to extend only over the maximum period of time, geographic area or range of activities as to which it may be enforceable.</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(e)As used in this Agreement: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(i)The term “</w:t>
      </w:r>
      <w:r>
        <w:rPr>
          <w:rFonts w:ascii="Times New Roman" w:hAnsi="Times New Roman"/>
          <w:b w:val="false"/>
          <w:i w:val="false"/>
          <w:caps w:val="false"/>
          <w:smallCaps w:val="false"/>
          <w:sz w:val="22"/>
          <w:u w:val="single"/>
        </w:rPr>
        <w:t>Business</w:t>
      </w:r>
      <w:r>
        <w:rPr>
          <w:rFonts w:ascii="Times New Roman" w:hAnsi="Times New Roman"/>
          <w:b w:val="false"/>
          <w:i w:val="false"/>
          <w:caps w:val="false"/>
          <w:smallCaps w:val="false"/>
          <w:sz w:val="22"/>
        </w:rPr>
        <w:t>” means any business or part thereof that develops, manufactures, markets, licenses, sells or provides any product or service related to or comprising small molecules for the treatment of or prevention of diseases resulting from infection with coronaviruses, flavivirus or respiratory syncytial virus that competes with any product or service (i) being discovered, developed, manufactured, marketed, licensed, sold or provided by the Company or (ii) as to which the Company has taken substantial steps toward or invested substantial resources in developing, manufacturing, marketing, licensing, selling or providing, in each case, at any time during Executive’s employment or engagement with the Company.</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(ii)The term “</w:t>
      </w:r>
      <w:r>
        <w:rPr>
          <w:rFonts w:ascii="Times New Roman" w:hAnsi="Times New Roman"/>
          <w:b w:val="false"/>
          <w:i w:val="false"/>
          <w:caps w:val="false"/>
          <w:smallCaps w:val="false"/>
          <w:sz w:val="22"/>
          <w:u w:val="single"/>
        </w:rPr>
        <w:t>Restricted Territory</w:t>
      </w:r>
      <w:r>
        <w:rPr>
          <w:rFonts w:ascii="Times New Roman" w:hAnsi="Times New Roman"/>
          <w:b w:val="false"/>
          <w:i w:val="false"/>
          <w:caps w:val="false"/>
          <w:smallCaps w:val="false"/>
          <w:sz w:val="22"/>
        </w:rPr>
        <w:t>” means each city, county, state, territory and country in which (i) Executive provided services or had a material presence or influence at any time during the last two years of Executive’s employment or engagement with the Company or (ii) the Company is engaged in or has plans to engage in the Business as of the termination of Executive’s employment or engagement with the Company.</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A-4</w:t>
      </w:r>
    </w:p>
    <w:p>
      <w:pPr>
        <w:pStyle w:val="HorizontalLine"/>
        <w:rPr/>
      </w:pPr>
      <w:r>
        <w:rPr/>
      </w:r>
    </w:p>
    <w:p>
      <w:pPr>
        <w:pStyle w:val="TextBody"/>
        <w:spacing w:before="0" w:after="0"/>
        <w:rPr/>
      </w:pPr>
      <w:r>
        <w:rPr/>
        <w:t> </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5.</w:t>
      </w:r>
      <w:r>
        <w:rPr>
          <w:rFonts w:ascii="Times New Roman" w:hAnsi="Times New Roman"/>
          <w:b w:val="false"/>
          <w:i w:val="false"/>
          <w:caps w:val="false"/>
          <w:smallCaps w:val="false"/>
          <w:sz w:val="22"/>
          <w:u w:val="single"/>
        </w:rPr>
        <w:t>Severability</w:t>
      </w:r>
      <w:r>
        <w:rPr>
          <w:rFonts w:ascii="Times New Roman" w:hAnsi="Times New Roman"/>
          <w:b w:val="false"/>
          <w:i w:val="false"/>
          <w:caps w:val="false"/>
          <w:smallCaps w:val="false"/>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6.</w:t>
      </w:r>
      <w:r>
        <w:rPr>
          <w:rFonts w:ascii="Times New Roman" w:hAnsi="Times New Roman"/>
          <w:b w:val="false"/>
          <w:i w:val="false"/>
          <w:caps w:val="false"/>
          <w:smallCaps w:val="false"/>
          <w:sz w:val="22"/>
          <w:u w:val="single"/>
        </w:rPr>
        <w:t>No Oral Modification</w:t>
      </w:r>
      <w:r>
        <w:rPr>
          <w:rFonts w:ascii="Times New Roman" w:hAnsi="Times New Roman"/>
          <w:b w:val="false"/>
          <w:i w:val="false"/>
          <w:caps w:val="false"/>
          <w:smallCaps w:val="false"/>
          <w:sz w:val="22"/>
        </w:rPr>
        <w:t>.  This Agreement may only be amended in a writing signed by Executive and a duly authorized officer of the Company.</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7.</w:t>
      </w:r>
      <w:r>
        <w:rPr>
          <w:rFonts w:ascii="Times New Roman" w:hAnsi="Times New Roman"/>
          <w:b w:val="false"/>
          <w:i w:val="false"/>
          <w:caps w:val="false"/>
          <w:smallCaps w:val="false"/>
          <w:sz w:val="22"/>
          <w:u w:val="single"/>
        </w:rPr>
        <w:t>Governing Law; Dispute Resolution</w:t>
      </w:r>
      <w:r>
        <w:rPr>
          <w:rFonts w:ascii="Times New Roman" w:hAnsi="Times New Roman"/>
          <w:b w:val="false"/>
          <w:i w:val="false"/>
          <w:caps w:val="false"/>
          <w:smallCaps w:val="false"/>
          <w:sz w:val="22"/>
        </w:rPr>
        <w:t>.  This Agreement shall be subject to the provisions of Sections 9(a), 9(c), and 9(h) of the Employment Agreement.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8.</w:t>
      </w:r>
      <w:r>
        <w:rPr>
          <w:rFonts w:ascii="Times New Roman" w:hAnsi="Times New Roman"/>
          <w:b w:val="false"/>
          <w:i w:val="false"/>
          <w:caps w:val="false"/>
          <w:smallCaps w:val="false"/>
          <w:sz w:val="22"/>
          <w:u w:val="single"/>
        </w:rPr>
        <w:t>Effective Date</w:t>
      </w:r>
      <w:r>
        <w:rPr>
          <w:rFonts w:ascii="Times New Roman" w:hAnsi="Times New Roman"/>
          <w:b w:val="false"/>
          <w:i w:val="false"/>
          <w:caps w:val="false"/>
          <w:smallCaps w:val="false"/>
          <w:sz w:val="22"/>
        </w:rPr>
        <w:t>.  Executive has seven business days after Executive signs this Agreement to revoke it and this Agreement will become effective on the day immediately following the seventh  business day after Executive signed this Agreement (the “</w:t>
      </w:r>
      <w:r>
        <w:rPr>
          <w:rFonts w:ascii="Times New Roman" w:hAnsi="Times New Roman"/>
          <w:b w:val="false"/>
          <w:i w:val="false"/>
          <w:caps w:val="false"/>
          <w:smallCaps w:val="false"/>
          <w:sz w:val="22"/>
          <w:u w:val="single"/>
        </w:rPr>
        <w:t>Effective Date</w:t>
      </w:r>
      <w:r>
        <w:rPr>
          <w:rFonts w:ascii="Times New Roman" w:hAnsi="Times New Roman"/>
          <w:b w:val="false"/>
          <w:i w:val="false"/>
          <w:caps w:val="false"/>
          <w:smallCaps w:val="false"/>
          <w:sz w:val="22"/>
        </w:rPr>
        <w:t>”).  For the avoidance of doubt, if Executive revokes this Agreement as provided herein, the Parties’ modification to the Restrictive Covenant Agreement set forth in Section 4(a) above shall be void and of no effect and, unless the Company has elected or elects in writing to expressly waive Executive’s noncompetition obligations set forth in Section 6.1(a) of the Restrictive Covenant Agreement as provided in Section 6.6 of the Restrictive Covenant Agreement, the Restrictive Covenant Agreement, including without limitation Section 6.1 of the Restrictive Covenant Agreement, shall remain in full force and effect.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9.</w:t>
      </w:r>
      <w:r>
        <w:rPr>
          <w:rFonts w:ascii="Times New Roman" w:hAnsi="Times New Roman"/>
          <w:b w:val="false"/>
          <w:i w:val="false"/>
          <w:caps w:val="false"/>
          <w:smallCaps w:val="false"/>
          <w:sz w:val="22"/>
          <w:u w:val="single"/>
        </w:rPr>
        <w:t>Voluntary Execution of Agreement</w:t>
      </w:r>
      <w:r>
        <w:rPr>
          <w:rFonts w:ascii="Times New Roman" w:hAnsi="Times New Roman"/>
          <w:b w:val="false"/>
          <w:i w:val="false"/>
          <w:caps w:val="false"/>
          <w:smallCaps w:val="false"/>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IN WITNESS WHEREOF, the Parties have executed this Agreement on the respective dates set forth below.  </w:t>
      </w:r>
    </w:p>
    <w:p>
      <w:pPr>
        <w:pStyle w:val="TextBody"/>
        <w:spacing w:before="0" w:after="0"/>
        <w:rPr/>
      </w:pPr>
      <w:r>
        <w:rPr/>
        <w:t> </w:t>
      </w:r>
    </w:p>
    <w:tbl>
      <w:tblPr>
        <w:tblW w:w="4404" w:type="dxa"/>
        <w:jc w:val="center"/>
        <w:tblInd w:w="0" w:type="dxa"/>
        <w:tblCellMar>
          <w:top w:w="0" w:type="dxa"/>
          <w:left w:w="0" w:type="dxa"/>
          <w:bottom w:w="0" w:type="dxa"/>
          <w:right w:w="0" w:type="dxa"/>
        </w:tblCellMar>
      </w:tblPr>
      <w:tblGrid>
        <w:gridCol w:w="635"/>
        <w:gridCol w:w="60"/>
        <w:gridCol w:w="60"/>
        <w:gridCol w:w="1221"/>
        <w:gridCol w:w="2428"/>
      </w:tblGrid>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shd w:fill="auto" w:val="clear"/>
          </w:tcPr>
          <w:p>
            <w:pPr>
              <w:pStyle w:val="TableContents"/>
              <w:spacing w:before="0" w:after="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EXECUTIVE</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1" w:type="dxa"/>
            <w:tcBorders/>
            <w:shd w:fill="auto" w:val="clear"/>
          </w:tcPr>
          <w:p>
            <w:pPr>
              <w:pStyle w:val="TableContents"/>
              <w:spacing w:before="0" w:after="0"/>
              <w:ind w:left="0" w:right="0" w:hanging="0"/>
              <w:rPr/>
            </w:pPr>
            <w:r>
              <w:rPr/>
              <w:t> </w:t>
            </w:r>
          </w:p>
        </w:tc>
        <w:tc>
          <w:tcPr>
            <w:tcW w:w="2428" w:type="dxa"/>
            <w:tcBorders/>
            <w:shd w:fill="auto" w:val="clear"/>
          </w:tcPr>
          <w:p>
            <w:pPr>
              <w:pStyle w:val="TableContents"/>
              <w:spacing w:before="0" w:after="0"/>
              <w:ind w:left="0" w:right="0" w:hanging="0"/>
              <w:rPr/>
            </w:pPr>
            <w:r>
              <w:rPr/>
              <w:t> </w:t>
            </w:r>
          </w:p>
        </w:tc>
      </w:tr>
      <w:tr>
        <w:trPr/>
        <w:tc>
          <w:tcPr>
            <w:tcW w:w="63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Dated:</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3649" w:type="dxa"/>
            <w:gridSpan w:val="2"/>
            <w:tcBorders>
              <w:bottom w:val="single" w:sz="6" w:space="0" w:color="000000"/>
            </w:tcBorders>
            <w:shd w:fill="auto" w:val="clear"/>
            <w:tcMar>
              <w:bottom w:w="28" w:type="dxa"/>
            </w:tcM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top w:val="single" w:sz="6" w:space="0" w:color="000000"/>
            </w:tcBorders>
            <w:shd w:fill="auto" w:val="clear"/>
            <w:tcMar>
              <w:top w:w="28" w:type="dxa"/>
            </w:tcM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John Vavricka</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1" w:type="dxa"/>
            <w:tcBorders/>
            <w:shd w:fill="auto" w:val="clear"/>
          </w:tcPr>
          <w:p>
            <w:pPr>
              <w:pStyle w:val="TableContents"/>
              <w:spacing w:before="0" w:after="0"/>
              <w:ind w:left="0" w:right="0" w:hanging="0"/>
              <w:rPr/>
            </w:pPr>
            <w:r>
              <w:rPr/>
              <w:t> </w:t>
            </w:r>
          </w:p>
        </w:tc>
        <w:tc>
          <w:tcPr>
            <w:tcW w:w="2428" w:type="dxa"/>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1" w:type="dxa"/>
            <w:tcBorders/>
            <w:shd w:fill="auto" w:val="clear"/>
          </w:tcPr>
          <w:p>
            <w:pPr>
              <w:pStyle w:val="TableContents"/>
              <w:spacing w:before="0" w:after="0"/>
              <w:ind w:left="0" w:right="0" w:hanging="0"/>
              <w:rPr/>
            </w:pPr>
            <w:r>
              <w:rPr/>
              <w:t> </w:t>
            </w:r>
          </w:p>
        </w:tc>
        <w:tc>
          <w:tcPr>
            <w:tcW w:w="2428" w:type="dxa"/>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shd w:fill="auto" w:val="clear"/>
          </w:tcPr>
          <w:p>
            <w:pPr>
              <w:pStyle w:val="TableContents"/>
              <w:spacing w:before="0" w:after="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ATEA PHARMACEUTICALS, INC.</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9" w:type="dxa"/>
            <w:gridSpan w:val="2"/>
            <w:tcBorders/>
            <w:shd w:fill="auto" w:val="clear"/>
          </w:tcPr>
          <w:p>
            <w:pPr>
              <w:pStyle w:val="TableContents"/>
              <w:spacing w:before="0" w:after="0"/>
              <w:ind w:left="0" w:right="0" w:hanging="0"/>
              <w:rPr/>
            </w:pPr>
            <w:r>
              <w:rPr/>
              <w:t> </w:t>
            </w:r>
          </w:p>
        </w:tc>
      </w:tr>
      <w:tr>
        <w:trPr/>
        <w:tc>
          <w:tcPr>
            <w:tcW w:w="63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Dated:</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1221"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w:t>
            </w:r>
          </w:p>
        </w:tc>
        <w:tc>
          <w:tcPr>
            <w:tcW w:w="2428" w:type="dxa"/>
            <w:tcBorders>
              <w:bottom w:val="single" w:sz="6" w:space="0" w:color="000000"/>
            </w:tcBorders>
            <w:shd w:fill="auto" w:val="clear"/>
            <w:tcMar>
              <w:bottom w:w="28" w:type="dxa"/>
            </w:tcM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top w:val="single" w:sz="6" w:space="0" w:color="000000"/>
            </w:tcBorders>
            <w:shd w:fill="auto" w:val="clear"/>
            <w:tcMar>
              <w:top w:w="28" w:type="dxa"/>
            </w:tcM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1" w:type="dxa"/>
            <w:tcBorders/>
            <w:shd w:fill="auto" w:val="clear"/>
          </w:tcPr>
          <w:p>
            <w:pPr>
              <w:pStyle w:val="TableContents"/>
              <w:spacing w:before="0" w:after="0"/>
              <w:ind w:left="0" w:right="0" w:hanging="0"/>
              <w:rPr/>
            </w:pPr>
            <w:r>
              <w:rPr/>
              <w:t> </w:t>
            </w:r>
          </w:p>
        </w:tc>
        <w:tc>
          <w:tcPr>
            <w:tcW w:w="2428"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Name:</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221" w:type="dxa"/>
            <w:tcBorders/>
            <w:shd w:fill="auto" w:val="clear"/>
          </w:tcPr>
          <w:p>
            <w:pPr>
              <w:pStyle w:val="TableContents"/>
              <w:spacing w:before="0" w:after="0"/>
              <w:ind w:left="0" w:right="0" w:hanging="0"/>
              <w:rPr/>
            </w:pPr>
            <w:r>
              <w:rPr/>
              <w:t> </w:t>
            </w:r>
          </w:p>
        </w:tc>
        <w:tc>
          <w:tcPr>
            <w:tcW w:w="2428" w:type="dxa"/>
            <w:tcBorders/>
            <w:shd w:fill="auto" w:val="cle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Title:</w:t>
            </w:r>
          </w:p>
        </w:tc>
      </w:tr>
    </w:tbl>
    <w:p>
      <w:pPr>
        <w:pStyle w:val="TextBody"/>
        <w:spacing w:before="0" w:after="0"/>
        <w:rPr/>
      </w:pPr>
      <w:r>
        <w:rPr/>
        <w:t> </w:t>
      </w:r>
    </w:p>
    <w:p>
      <w:pPr>
        <w:pStyle w:val="TextBody"/>
        <w:spacing w:before="0" w:after="0"/>
        <w:jc w:val="center"/>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EXHIBIT B</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Restrictive Covenant Agreement</w:t>
      </w:r>
    </w:p>
    <w:p>
      <w:pPr>
        <w:pStyle w:val="TextBody"/>
        <w:spacing w:before="0" w:after="24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[attached]</w:t>
      </w:r>
    </w:p>
    <w:p>
      <w:pPr>
        <w:pStyle w:val="TextBody"/>
        <w:spacing w:before="240" w:after="0"/>
        <w:rPr/>
      </w:pPr>
      <w:r>
        <w:rPr/>
        <w:t> </w:t>
      </w:r>
      <w:r>
        <w:br w:type="page"/>
      </w:r>
    </w:p>
    <w:p>
      <w:pPr>
        <w:pStyle w:val="TextBody"/>
        <w:spacing w:before="0" w:after="0"/>
        <w:rPr/>
      </w:pPr>
      <w:bookmarkStart w:id="84" w:name="avir-ex1011_176.htm"/>
      <w:bookmarkStart w:id="85" w:name="ksavirex1011_176"/>
      <w:bookmarkEnd w:id="84"/>
      <w:bookmarkEnd w:id="85"/>
      <w:r>
        <w:rPr/>
        <w:t> </w:t>
      </w:r>
    </w:p>
    <w:p>
      <w:pPr>
        <w:pStyle w:val="TextBody"/>
        <w:shd w:fill="FFFFFF" w:val="clear"/>
        <w:spacing w:before="0" w:after="240"/>
        <w:jc w:val="right"/>
        <w:rPr>
          <w:rFonts w:ascii="Times New Roman" w:hAnsi="Times New Roman"/>
          <w:b/>
          <w:i w:val="false"/>
          <w:caps w:val="false"/>
          <w:smallCaps w:val="false"/>
          <w:color w:val="000000"/>
          <w:sz w:val="22"/>
        </w:rPr>
      </w:pPr>
      <w:r>
        <w:rPr>
          <w:rFonts w:ascii="Times New Roman" w:hAnsi="Times New Roman"/>
          <w:b/>
          <w:i w:val="false"/>
          <w:caps w:val="false"/>
          <w:smallCaps w:val="false"/>
          <w:color w:val="000000"/>
          <w:sz w:val="22"/>
        </w:rPr>
        <w:t>Exhibit 10.11</w:t>
      </w:r>
    </w:p>
    <w:p>
      <w:pPr>
        <w:pStyle w:val="TextBody"/>
        <w:spacing w:before="0" w:after="240"/>
        <w:jc w:val="center"/>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Employment Agreement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This Employment Agreement (this “</w:t>
      </w:r>
      <w:r>
        <w:rPr>
          <w:rFonts w:ascii="Times New Roman" w:hAnsi="Times New Roman"/>
          <w:b w:val="false"/>
          <w:i w:val="false"/>
          <w:caps w:val="false"/>
          <w:smallCaps w:val="false"/>
          <w:sz w:val="22"/>
          <w:u w:val="single"/>
        </w:rPr>
        <w:t>Agreement</w:t>
      </w:r>
      <w:r>
        <w:rPr>
          <w:rFonts w:ascii="Times New Roman" w:hAnsi="Times New Roman"/>
          <w:b w:val="false"/>
          <w:i w:val="false"/>
          <w:caps w:val="false"/>
          <w:smallCaps w:val="false"/>
          <w:sz w:val="22"/>
        </w:rPr>
        <w:t>”), dated as of November 3, 2020, is made by and between Atea Pharmaceuticals, Inc., a Delaware corporation (together with any successor thereto, the “</w:t>
      </w:r>
      <w:r>
        <w:rPr>
          <w:rFonts w:ascii="Times New Roman" w:hAnsi="Times New Roman"/>
          <w:b w:val="false"/>
          <w:i w:val="false"/>
          <w:caps w:val="false"/>
          <w:smallCaps w:val="false"/>
          <w:sz w:val="22"/>
          <w:u w:val="single"/>
        </w:rPr>
        <w:t>Company</w:t>
      </w:r>
      <w:r>
        <w:rPr>
          <w:rFonts w:ascii="Times New Roman" w:hAnsi="Times New Roman"/>
          <w:b w:val="false"/>
          <w:i w:val="false"/>
          <w:caps w:val="false"/>
          <w:smallCaps w:val="false"/>
          <w:sz w:val="22"/>
        </w:rPr>
        <w:t>”), and Wayne Foster (“</w:t>
      </w:r>
      <w:r>
        <w:rPr>
          <w:rFonts w:ascii="Times New Roman" w:hAnsi="Times New Roman"/>
          <w:b w:val="false"/>
          <w:i w:val="false"/>
          <w:caps w:val="false"/>
          <w:smallCaps w:val="false"/>
          <w:sz w:val="22"/>
          <w:u w:val="single"/>
        </w:rPr>
        <w:t>Executive</w:t>
      </w:r>
      <w:r>
        <w:rPr>
          <w:rFonts w:ascii="Times New Roman" w:hAnsi="Times New Roman"/>
          <w:b w:val="false"/>
          <w:i w:val="false"/>
          <w:caps w:val="false"/>
          <w:smallCaps w:val="false"/>
          <w:sz w:val="22"/>
        </w:rPr>
        <w:t>”) (collectively referred to herein as the “</w:t>
      </w:r>
      <w:r>
        <w:rPr>
          <w:rFonts w:ascii="Times New Roman" w:hAnsi="Times New Roman"/>
          <w:b w:val="false"/>
          <w:i w:val="false"/>
          <w:caps w:val="false"/>
          <w:smallCaps w:val="false"/>
          <w:sz w:val="22"/>
          <w:u w:val="single"/>
        </w:rPr>
        <w:t>Parties</w:t>
      </w:r>
      <w:r>
        <w:rPr>
          <w:rFonts w:ascii="Times New Roman" w:hAnsi="Times New Roman"/>
          <w:b w:val="false"/>
          <w:i w:val="false"/>
          <w:caps w:val="false"/>
          <w:smallCaps w:val="false"/>
          <w:sz w:val="22"/>
        </w:rPr>
        <w:t>” or individually referred to as a “</w:t>
      </w:r>
      <w:r>
        <w:rPr>
          <w:rFonts w:ascii="Times New Roman" w:hAnsi="Times New Roman"/>
          <w:b w:val="false"/>
          <w:i w:val="false"/>
          <w:caps w:val="false"/>
          <w:smallCaps w:val="false"/>
          <w:sz w:val="22"/>
          <w:u w:val="single"/>
        </w:rPr>
        <w:t>Party</w:t>
      </w:r>
      <w:r>
        <w:rPr>
          <w:rFonts w:ascii="Times New Roman" w:hAnsi="Times New Roman"/>
          <w:b w:val="false"/>
          <w:i w:val="false"/>
          <w:caps w:val="false"/>
          <w:smallCaps w:val="false"/>
          <w:sz w:val="22"/>
        </w:rPr>
        <w:t>”), and will become effective, if at all, upon the date of the closing of Company’s initial public offering of stock (“</w:t>
      </w:r>
      <w:r>
        <w:rPr>
          <w:rFonts w:ascii="Times New Roman" w:hAnsi="Times New Roman"/>
          <w:b w:val="false"/>
          <w:i w:val="false"/>
          <w:caps w:val="false"/>
          <w:smallCaps w:val="false"/>
          <w:sz w:val="22"/>
          <w:u w:val="single"/>
        </w:rPr>
        <w:t>IPO</w:t>
      </w:r>
      <w:r>
        <w:rPr>
          <w:rFonts w:ascii="Times New Roman" w:hAnsi="Times New Roman"/>
          <w:b w:val="false"/>
          <w:i w:val="false"/>
          <w:caps w:val="false"/>
          <w:smallCaps w:val="false"/>
          <w:sz w:val="22"/>
        </w:rPr>
        <w:t>”) pursuant to an effective registration statement filed under the Securities Act of 1933, as amended (the “</w:t>
      </w:r>
      <w:r>
        <w:rPr>
          <w:rFonts w:ascii="Times New Roman" w:hAnsi="Times New Roman"/>
          <w:b w:val="false"/>
          <w:i w:val="false"/>
          <w:caps w:val="false"/>
          <w:smallCaps w:val="false"/>
          <w:sz w:val="22"/>
          <w:u w:val="single"/>
        </w:rPr>
        <w:t>Effective Date</w:t>
      </w:r>
      <w:r>
        <w:rPr>
          <w:rFonts w:ascii="Times New Roman" w:hAnsi="Times New Roman"/>
          <w:b w:val="false"/>
          <w:i w:val="false"/>
          <w:caps w:val="false"/>
          <w:smallCaps w:val="false"/>
          <w:sz w:val="22"/>
        </w:rPr>
        <w:t xml:space="preserve">”).   </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RECITALS</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w:t>
            </w:r>
          </w:p>
        </w:tc>
        <w:tc>
          <w:tcPr>
            <w:tcW w:w="9960" w:type="dxa"/>
            <w:tcBorders/>
            <w:shd w:fill="auto" w:val="clear"/>
          </w:tcPr>
          <w:p>
            <w:pPr>
              <w:pStyle w:val="TableContents"/>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It is the desire of the Company to assure itself of the services of Executive as of the Effective Date and thereafter by entering into this Agreement.</w:t>
            </w:r>
          </w:p>
        </w:tc>
      </w:tr>
    </w:tbl>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w:t>
            </w:r>
          </w:p>
        </w:tc>
        <w:tc>
          <w:tcPr>
            <w:tcW w:w="9975" w:type="dxa"/>
            <w:tcBorders/>
            <w:shd w:fill="auto" w:val="clear"/>
          </w:tcPr>
          <w:p>
            <w:pPr>
              <w:pStyle w:val="TableContents"/>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Executive and the Company mutually desire that Executive provide services to the Company on the terms herein provided. </w:t>
            </w:r>
          </w:p>
        </w:tc>
      </w:tr>
    </w:tbl>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AGREEMENT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NOW, THEREFORE, in consideration of the foregoing and of the respective covenants and agreements set forth below, the Parties hereto agree as follows:</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1.</w:t>
      </w:r>
      <w:r>
        <w:rPr>
          <w:rFonts w:ascii="Times New Roman" w:hAnsi="Times New Roman"/>
          <w:b/>
          <w:i w:val="false"/>
          <w:caps w:val="false"/>
          <w:smallCaps w:val="false"/>
          <w:color w:val="000000"/>
          <w:spacing w:val="0"/>
          <w:sz w:val="22"/>
          <w:u w:val="single"/>
        </w:rPr>
        <w:t>Employment</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General</w:t>
      </w:r>
      <w:r>
        <w:rPr>
          <w:rFonts w:ascii="Times New Roman" w:hAnsi="Times New Roman"/>
          <w:b w:val="false"/>
          <w:i w:val="false"/>
          <w:caps w:val="false"/>
          <w:smallCaps w:val="false"/>
          <w:color w:val="000000"/>
          <w:spacing w:val="0"/>
          <w:sz w:val="22"/>
        </w:rPr>
        <w:t xml:space="preserve">.  Effective on the Effective Date, the Company shall employ Executive, and Executive shall be employed by the Company, for the period and in the positions set forth in this </w:t>
      </w:r>
      <w:r>
        <w:rPr>
          <w:rFonts w:ascii="Times New Roman" w:hAnsi="Times New Roman"/>
          <w:b w:val="false"/>
          <w:i w:val="false"/>
          <w:caps w:val="false"/>
          <w:smallCaps w:val="false"/>
          <w:color w:val="000000"/>
          <w:spacing w:val="0"/>
          <w:sz w:val="22"/>
          <w:u w:val="single"/>
        </w:rPr>
        <w:t>Section 1</w:t>
      </w:r>
      <w:r>
        <w:rPr>
          <w:rFonts w:ascii="Times New Roman" w:hAnsi="Times New Roman"/>
          <w:b w:val="false"/>
          <w:i w:val="false"/>
          <w:caps w:val="false"/>
          <w:smallCaps w:val="false"/>
          <w:color w:val="000000"/>
          <w:spacing w:val="0"/>
          <w:sz w:val="22"/>
        </w:rPr>
        <w:t>, and subject to the other terms and conditions herein provided; provided, however, that this Agreement is expressly conditioned upon the IPO closing before March 31, 2021 and will be null and void if this condition is not satisfied.</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At-Will Employment</w:t>
      </w:r>
      <w:r>
        <w:rPr>
          <w:rFonts w:ascii="Times New Roman" w:hAnsi="Times New Roman"/>
          <w:b w:val="false"/>
          <w:i w:val="false"/>
          <w:caps w:val="false"/>
          <w:smallCaps w:val="false"/>
          <w:color w:val="000000"/>
          <w:spacing w:val="0"/>
          <w:sz w:val="22"/>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 w:hAnsi="Times New Roman"/>
          <w:b w:val="false"/>
          <w:i w:val="false"/>
          <w:caps w:val="false"/>
          <w:smallCaps w:val="false"/>
          <w:color w:val="000000"/>
          <w:spacing w:val="0"/>
          <w:sz w:val="22"/>
          <w:u w:val="single"/>
        </w:rPr>
        <w:t>Section 3(b)</w:t>
      </w:r>
      <w:r>
        <w:rPr>
          <w:rFonts w:ascii="Times New Roman" w:hAnsi="Times New Roman"/>
          <w:b w:val="false"/>
          <w:i w:val="false"/>
          <w:caps w:val="false"/>
          <w:smallCaps w:val="false"/>
          <w:color w:val="000000"/>
          <w:spacing w:val="0"/>
          <w:sz w:val="22"/>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hAnsi="Times New Roman"/>
          <w:b w:val="false"/>
          <w:i w:val="false"/>
          <w:caps w:val="false"/>
          <w:smallCaps w:val="false"/>
          <w:color w:val="000000"/>
          <w:spacing w:val="0"/>
          <w:sz w:val="22"/>
          <w:u w:val="single"/>
        </w:rPr>
        <w:t>Term</w:t>
      </w:r>
      <w:r>
        <w:rPr>
          <w:rFonts w:ascii="Times New Roman" w:hAnsi="Times New Roman"/>
          <w:b w:val="false"/>
          <w:i w:val="false"/>
          <w:caps w:val="false"/>
          <w:smallCaps w:val="false"/>
          <w:color w:val="000000"/>
          <w:spacing w:val="0"/>
          <w:sz w:val="22"/>
        </w:rPr>
        <w:t xml:space="preserve">”) shall commence on the Effective Date and end on the date this Agreement is terminated under </w:t>
      </w:r>
      <w:r>
        <w:rPr>
          <w:rFonts w:ascii="Times New Roman" w:hAnsi="Times New Roman"/>
          <w:b w:val="false"/>
          <w:i w:val="false"/>
          <w:caps w:val="false"/>
          <w:smallCaps w:val="false"/>
          <w:color w:val="000000"/>
          <w:spacing w:val="0"/>
          <w:sz w:val="22"/>
          <w:u w:val="single"/>
        </w:rPr>
        <w:t>Section 3</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Positions and Duties</w:t>
      </w:r>
      <w:r>
        <w:rPr>
          <w:rFonts w:ascii="Times New Roman" w:hAnsi="Times New Roman"/>
          <w:b w:val="false"/>
          <w:i w:val="false"/>
          <w:caps w:val="false"/>
          <w:smallCaps w:val="false"/>
          <w:color w:val="000000"/>
          <w:spacing w:val="0"/>
          <w:sz w:val="22"/>
        </w:rPr>
        <w:t>.  During the Term, Executive shall serve as Senior Vice President, Finance and Administration of the Company, with such responsibilities, duties and authority normally associated with such position and as may from time to time be assigned to Executive by the Chief Executive Officer of the Company (the “</w:t>
      </w:r>
      <w:r>
        <w:rPr>
          <w:rFonts w:ascii="Times New Roman" w:hAnsi="Times New Roman"/>
          <w:b w:val="false"/>
          <w:i w:val="false"/>
          <w:caps w:val="false"/>
          <w:smallCaps w:val="false"/>
          <w:color w:val="000000"/>
          <w:spacing w:val="0"/>
          <w:sz w:val="22"/>
          <w:u w:val="single"/>
        </w:rPr>
        <w:t>CEO</w:t>
      </w:r>
      <w:r>
        <w:rPr>
          <w:rFonts w:ascii="Times New Roman" w:hAnsi="Times New Roman"/>
          <w:b w:val="false"/>
          <w:i w:val="false"/>
          <w:caps w:val="false"/>
          <w:smallCaps w:val="false"/>
          <w:color w:val="000000"/>
          <w:spacing w:val="0"/>
          <w:sz w:val="22"/>
        </w:rPr>
        <w:t xml:space="preserve">”) or Executive’s direct supervisor.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provided that Executive shall be permitted to (i) manage Executive’s personal, financial and legal affairs, (ii)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participate in trade associations, and (iii) serve on the board of directors of not-for-profit or tax-exempt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and as delivered or made available to Executive (each, a “</w:t>
      </w:r>
      <w:r>
        <w:rPr>
          <w:rFonts w:ascii="Times New Roman" w:hAnsi="Times New Roman"/>
          <w:b w:val="false"/>
          <w:i w:val="false"/>
          <w:caps w:val="false"/>
          <w:smallCaps w:val="false"/>
          <w:color w:val="000000"/>
          <w:spacing w:val="0"/>
          <w:sz w:val="22"/>
          <w:u w:val="single"/>
        </w:rPr>
        <w:t>Policy</w:t>
      </w:r>
      <w:r>
        <w:rPr>
          <w:rFonts w:ascii="Times New Roman" w:hAnsi="Times New Roman"/>
          <w:b w:val="false"/>
          <w:i w:val="false"/>
          <w:caps w:val="false"/>
          <w:smallCaps w:val="false"/>
          <w:color w:val="000000"/>
          <w:spacing w:val="0"/>
          <w:sz w:val="22"/>
        </w:rPr>
        <w:t xml:space="preserve">”).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2.</w:t>
      </w:r>
      <w:r>
        <w:rPr>
          <w:rFonts w:ascii="Times New Roman" w:hAnsi="Times New Roman"/>
          <w:b/>
          <w:i w:val="false"/>
          <w:caps w:val="false"/>
          <w:smallCaps w:val="false"/>
          <w:color w:val="000000"/>
          <w:spacing w:val="0"/>
          <w:sz w:val="22"/>
          <w:u w:val="single"/>
        </w:rPr>
        <w:t>Compensation and Related Matters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Annual Base Salary</w:t>
      </w:r>
      <w:r>
        <w:rPr>
          <w:rFonts w:ascii="Times New Roman" w:hAnsi="Times New Roman"/>
          <w:b w:val="false"/>
          <w:i w:val="false"/>
          <w:caps w:val="false"/>
          <w:smallCaps w:val="false"/>
          <w:color w:val="000000"/>
          <w:spacing w:val="0"/>
          <w:sz w:val="22"/>
        </w:rPr>
        <w:t>.  During the Term, Executive shall receive a base salary at a rate of $350,000 per annum, which shall be paid in accordance with the customary payroll practices of the Company and shall be pro-rated for partial years of employment.  Such annual base salary shall be reviewed (and may be adjusted) from time to time by the Board of Directors of the Company or an authorized committee thereof (in either case, the “</w:t>
      </w:r>
      <w:r>
        <w:rPr>
          <w:rFonts w:ascii="Times New Roman" w:hAnsi="Times New Roman"/>
          <w:b w:val="false"/>
          <w:i w:val="false"/>
          <w:caps w:val="false"/>
          <w:smallCaps w:val="false"/>
          <w:color w:val="000000"/>
          <w:spacing w:val="0"/>
          <w:sz w:val="22"/>
          <w:u w:val="single"/>
        </w:rPr>
        <w:t>Board</w:t>
      </w:r>
      <w:r>
        <w:rPr>
          <w:rFonts w:ascii="Times New Roman" w:hAnsi="Times New Roman"/>
          <w:b w:val="false"/>
          <w:i w:val="false"/>
          <w:caps w:val="false"/>
          <w:smallCaps w:val="false"/>
          <w:color w:val="000000"/>
          <w:spacing w:val="0"/>
          <w:sz w:val="22"/>
        </w:rPr>
        <w:t>”) (such annual base salary, as it may be adjusted from time to time, the “</w:t>
      </w:r>
      <w:r>
        <w:rPr>
          <w:rFonts w:ascii="Times New Roman" w:hAnsi="Times New Roman"/>
          <w:b w:val="false"/>
          <w:i w:val="false"/>
          <w:caps w:val="false"/>
          <w:smallCaps w:val="false"/>
          <w:color w:val="000000"/>
          <w:spacing w:val="0"/>
          <w:sz w:val="22"/>
          <w:u w:val="single"/>
        </w:rPr>
        <w:t>Annual Base Salary</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Annual Cash Bonus Opportunity</w:t>
      </w:r>
      <w:r>
        <w:rPr>
          <w:rFonts w:ascii="Times New Roman" w:hAnsi="Times New Roman"/>
          <w:b w:val="false"/>
          <w:i w:val="false"/>
          <w:caps w:val="false"/>
          <w:smallCaps w:val="false"/>
          <w:color w:val="000000"/>
          <w:spacing w:val="0"/>
          <w:sz w:val="22"/>
        </w:rPr>
        <w:t>.  During the Term, Executive will be eligible to participate in an annual incentive program established by the Board.  Executive’s annual incentive compensation under such incentive program (the “</w:t>
      </w:r>
      <w:r>
        <w:rPr>
          <w:rFonts w:ascii="Times New Roman" w:hAnsi="Times New Roman"/>
          <w:b w:val="false"/>
          <w:i w:val="false"/>
          <w:caps w:val="false"/>
          <w:smallCaps w:val="false"/>
          <w:color w:val="000000"/>
          <w:spacing w:val="0"/>
          <w:sz w:val="22"/>
          <w:u w:val="single"/>
        </w:rPr>
        <w:t>Annual Bonus</w:t>
      </w:r>
      <w:r>
        <w:rPr>
          <w:rFonts w:ascii="Times New Roman" w:hAnsi="Times New Roman"/>
          <w:b w:val="false"/>
          <w:i w:val="false"/>
          <w:caps w:val="false"/>
          <w:smallCaps w:val="false"/>
          <w:color w:val="000000"/>
          <w:spacing w:val="0"/>
          <w:sz w:val="22"/>
        </w:rPr>
        <w:t>”) shall be targeted at 35% of Executive’s Annual Base Salary (such target, as may be adjusted by the Board from time to time, the “</w:t>
      </w:r>
      <w:r>
        <w:rPr>
          <w:rFonts w:ascii="Times New Roman" w:hAnsi="Times New Roman"/>
          <w:b w:val="false"/>
          <w:i w:val="false"/>
          <w:caps w:val="false"/>
          <w:smallCaps w:val="false"/>
          <w:color w:val="000000"/>
          <w:spacing w:val="0"/>
          <w:sz w:val="22"/>
          <w:u w:val="single"/>
        </w:rPr>
        <w:t>Target Annual Bonus</w:t>
      </w:r>
      <w:r>
        <w:rPr>
          <w:rFonts w:ascii="Times New Roman" w:hAnsi="Times New Roman"/>
          <w:b w:val="false"/>
          <w:i w:val="false"/>
          <w:caps w:val="false"/>
          <w:smallCaps w:val="false"/>
          <w:color w:val="000000"/>
          <w:spacing w:val="0"/>
          <w:sz w:val="22"/>
        </w:rPr>
        <w:t xml:space="preserve">”).  The Annual Bonus payable under the incentive program shall be based on the achievement of performance goals to be determined by the Board and may in the Board’s discretion be calculated in a manner intended to reflect any mid-year changes in Annual Base Salary or Target Annual Bonus.  The payment of any Annual Bonus pursuant to the incentive program shall be subject to Executive’s continued employment with the Company through the date of payment, except as otherwise provided in </w:t>
      </w:r>
      <w:r>
        <w:rPr>
          <w:rFonts w:ascii="Times New Roman" w:hAnsi="Times New Roman"/>
          <w:b w:val="false"/>
          <w:i w:val="false"/>
          <w:caps w:val="false"/>
          <w:smallCaps w:val="false"/>
          <w:color w:val="000000"/>
          <w:spacing w:val="0"/>
          <w:sz w:val="22"/>
          <w:u w:val="single"/>
        </w:rPr>
        <w:t>Section 4(b)</w:t>
      </w:r>
      <w:r>
        <w:rPr>
          <w:rFonts w:ascii="Times New Roman" w:hAnsi="Times New Roman"/>
          <w:b w:val="false"/>
          <w:i w:val="false"/>
          <w:caps w:val="false"/>
          <w:smallCaps w:val="false"/>
          <w:color w:val="000000"/>
          <w:spacing w:val="0"/>
          <w:sz w:val="22"/>
        </w:rPr>
        <w:t xml:space="preserv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Benefits</w:t>
      </w:r>
      <w:r>
        <w:rPr>
          <w:rFonts w:ascii="Times New Roman" w:hAnsi="Times New Roman"/>
          <w:b w:val="false"/>
          <w:i w:val="false"/>
          <w:caps w:val="false"/>
          <w:smallCaps w:val="false"/>
          <w:color w:val="000000"/>
          <w:spacing w:val="0"/>
          <w:sz w:val="22"/>
        </w:rPr>
        <w:t xml:space="preserve">.  During the Term, Executive shall be eligible to participate in employee benefit plans, programs and arrangements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 w:hAnsi="Times New Roman"/>
          <w:b w:val="false"/>
          <w:i w:val="false"/>
          <w:caps w:val="false"/>
          <w:smallCaps w:val="false"/>
          <w:color w:val="000000"/>
          <w:spacing w:val="0"/>
          <w:sz w:val="22"/>
          <w:u w:val="single"/>
        </w:rPr>
        <w:t>Section 4</w:t>
      </w:r>
      <w:r>
        <w:rPr>
          <w:rFonts w:ascii="Times New Roman" w:hAnsi="Times New Roman"/>
          <w:b w:val="false"/>
          <w:i w:val="false"/>
          <w:caps w:val="false"/>
          <w:smallCaps w:val="false"/>
          <w:color w:val="000000"/>
          <w:spacing w:val="0"/>
          <w:sz w:val="22"/>
        </w:rPr>
        <w:t xml:space="preserve"> of this Agreement.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w:t>
      </w:r>
      <w:r>
        <w:rPr>
          <w:rFonts w:ascii="Times New Roman" w:hAnsi="Times New Roman"/>
          <w:b w:val="false"/>
          <w:i w:val="false"/>
          <w:caps w:val="false"/>
          <w:smallCaps w:val="false"/>
          <w:color w:val="000000"/>
          <w:spacing w:val="0"/>
          <w:sz w:val="22"/>
          <w:u w:val="single"/>
        </w:rPr>
        <w:t>Vacation</w:t>
      </w:r>
      <w:r>
        <w:rPr>
          <w:rFonts w:ascii="Times New Roman" w:hAnsi="Times New Roman"/>
          <w:b w:val="false"/>
          <w:i w:val="false"/>
          <w:caps w:val="false"/>
          <w:smallCaps w:val="false"/>
          <w:color w:val="000000"/>
          <w:spacing w:val="0"/>
          <w:sz w:val="22"/>
        </w:rPr>
        <w:t xml:space="preserve">.  During the Term, Executive shall be entitled to paid personal leave in accordance with the Company’s Policies.  Any vacation shall be taken at the reasonable and mutual convenience of the Company and Executive.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(e)</w:t>
      </w:r>
      <w:r>
        <w:rPr>
          <w:rFonts w:ascii="Times New Roman" w:hAnsi="Times New Roman"/>
          <w:b w:val="false"/>
          <w:i w:val="false"/>
          <w:caps w:val="false"/>
          <w:smallCaps w:val="false"/>
          <w:color w:val="000000"/>
          <w:spacing w:val="0"/>
          <w:sz w:val="22"/>
          <w:u w:val="single"/>
        </w:rPr>
        <w:t>Business Expenses</w:t>
      </w:r>
      <w:r>
        <w:rPr>
          <w:rFonts w:ascii="Times New Roman" w:hAnsi="Times New Roman"/>
          <w:b w:val="false"/>
          <w:i w:val="false"/>
          <w:caps w:val="false"/>
          <w:smallCaps w:val="false"/>
          <w:color w:val="000000"/>
          <w:spacing w:val="0"/>
          <w:sz w:val="22"/>
        </w:rPr>
        <w:t>.  During the Term, the Company shall reimburse Executive for all reasonable travel and other business expenses incurred by Executive in the performance of Executive’s duties to the Company in accordance with the Company’s expense reimbursement Policy.</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(f)</w:t>
      </w:r>
      <w:r>
        <w:rPr>
          <w:rFonts w:ascii="Times New Roman" w:hAnsi="Times New Roman"/>
          <w:b w:val="false"/>
          <w:i w:val="false"/>
          <w:caps w:val="false"/>
          <w:smallCaps w:val="false"/>
          <w:color w:val="000000"/>
          <w:spacing w:val="0"/>
          <w:sz w:val="22"/>
          <w:u w:val="single"/>
        </w:rPr>
        <w:t>Key Person Insurance</w:t>
      </w:r>
      <w:r>
        <w:rPr>
          <w:rFonts w:ascii="Times New Roman" w:hAnsi="Times New Roman"/>
          <w:b w:val="false"/>
          <w:i w:val="false"/>
          <w:caps w:val="false"/>
          <w:smallCaps w:val="false"/>
          <w:color w:val="000000"/>
          <w:spacing w:val="0"/>
          <w:sz w:val="22"/>
        </w:rPr>
        <w:t xml:space="preserve">.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strike w:val="false"/>
          <w:dstrike w:val="false"/>
          <w:color w:val="000000"/>
          <w:spacing w:val="0"/>
          <w:sz w:val="24"/>
          <w:u w:val="none"/>
          <w:effect w:val="none"/>
        </w:rPr>
        <w:t>3.</w:t>
      </w:r>
      <w:r>
        <w:rPr>
          <w:rFonts w:ascii="Times New Roman" w:hAnsi="Times New Roman"/>
          <w:b/>
          <w:i w:val="false"/>
          <w:caps w:val="false"/>
          <w:smallCaps w:val="false"/>
          <w:color w:val="000000"/>
          <w:spacing w:val="0"/>
          <w:sz w:val="22"/>
          <w:u w:val="single"/>
        </w:rPr>
        <w:t>Termination</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Executive’s employment hereunder and the Term may be terminated by the Company or Executive, as applicable, without any breach of this Agreement under the following circumstances and the Term will end on the Date of Termination: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Circumstances</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w:t>
      </w:r>
      <w:r>
        <w:rPr>
          <w:rFonts w:ascii="Times New Roman" w:hAnsi="Times New Roman"/>
          <w:b w:val="false"/>
          <w:i/>
          <w:caps w:val="false"/>
          <w:smallCaps w:val="false"/>
          <w:color w:val="000000"/>
          <w:spacing w:val="0"/>
          <w:sz w:val="22"/>
        </w:rPr>
        <w:t>Death</w:t>
      </w:r>
      <w:r>
        <w:rPr>
          <w:rFonts w:ascii="Times New Roman" w:hAnsi="Times New Roman"/>
          <w:b w:val="false"/>
          <w:i w:val="false"/>
          <w:caps w:val="false"/>
          <w:smallCaps w:val="false"/>
          <w:color w:val="000000"/>
          <w:spacing w:val="0"/>
          <w:sz w:val="22"/>
        </w:rPr>
        <w:t>.  Executive’s employment hereunder shall terminate upon Executive’s death.</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w:t>
      </w:r>
      <w:r>
        <w:rPr>
          <w:rFonts w:ascii="Times New Roman" w:hAnsi="Times New Roman"/>
          <w:b w:val="false"/>
          <w:i/>
          <w:caps w:val="false"/>
          <w:smallCaps w:val="false"/>
          <w:color w:val="000000"/>
          <w:spacing w:val="0"/>
          <w:sz w:val="22"/>
        </w:rPr>
        <w:t>Disability</w:t>
      </w:r>
      <w:r>
        <w:rPr>
          <w:rFonts w:ascii="Times New Roman" w:hAnsi="Times New Roman"/>
          <w:b w:val="false"/>
          <w:i w:val="false"/>
          <w:caps w:val="false"/>
          <w:smallCaps w:val="false"/>
          <w:color w:val="000000"/>
          <w:spacing w:val="0"/>
          <w:sz w:val="22"/>
        </w:rPr>
        <w:t>.  If Executive has incurred a Disability, as defined below, the Company may terminate Executive’s employment.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w:t>
      </w:r>
      <w:r>
        <w:rPr>
          <w:rFonts w:ascii="Times New Roman" w:hAnsi="Times New Roman"/>
          <w:b w:val="false"/>
          <w:i/>
          <w:caps w:val="false"/>
          <w:smallCaps w:val="false"/>
          <w:color w:val="000000"/>
          <w:spacing w:val="0"/>
          <w:sz w:val="22"/>
        </w:rPr>
        <w:t>Termination for Cause</w:t>
      </w:r>
      <w:r>
        <w:rPr>
          <w:rFonts w:ascii="Times New Roman" w:hAnsi="Times New Roman"/>
          <w:b w:val="false"/>
          <w:i w:val="false"/>
          <w:caps w:val="false"/>
          <w:smallCaps w:val="false"/>
          <w:color w:val="000000"/>
          <w:spacing w:val="0"/>
          <w:sz w:val="22"/>
        </w:rPr>
        <w:t>.  The Company may terminate Executive’s employment for Cause, as defined below.</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(iv)</w:t>
      </w:r>
      <w:r>
        <w:rPr>
          <w:rFonts w:ascii="Times New Roman" w:hAnsi="Times New Roman"/>
          <w:b w:val="false"/>
          <w:i/>
          <w:caps w:val="false"/>
          <w:smallCaps w:val="false"/>
          <w:color w:val="000000"/>
          <w:spacing w:val="0"/>
          <w:sz w:val="22"/>
        </w:rPr>
        <w:t>Termination without Cause</w:t>
      </w:r>
      <w:r>
        <w:rPr>
          <w:rFonts w:ascii="Times New Roman" w:hAnsi="Times New Roman"/>
          <w:b w:val="false"/>
          <w:i w:val="false"/>
          <w:caps w:val="false"/>
          <w:smallCaps w:val="false"/>
          <w:color w:val="000000"/>
          <w:spacing w:val="0"/>
          <w:sz w:val="22"/>
        </w:rPr>
        <w:t>.  The Company may terminate Executive’s employment without Cause.</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w:t>
      </w:r>
      <w:r>
        <w:rPr>
          <w:rFonts w:ascii="Times New Roman" w:hAnsi="Times New Roman"/>
          <w:b w:val="false"/>
          <w:i/>
          <w:caps w:val="false"/>
          <w:smallCaps w:val="false"/>
          <w:color w:val="000000"/>
          <w:spacing w:val="0"/>
          <w:sz w:val="22"/>
        </w:rPr>
        <w:t>Resignation from the Company with Good Reason.  </w:t>
      </w:r>
      <w:r>
        <w:rPr>
          <w:rFonts w:ascii="Times New Roman" w:hAnsi="Times New Roman"/>
          <w:b w:val="false"/>
          <w:i w:val="false"/>
          <w:caps w:val="false"/>
          <w:smallCaps w:val="false"/>
          <w:color w:val="000000"/>
          <w:spacing w:val="0"/>
          <w:sz w:val="22"/>
        </w:rPr>
        <w:t>Executive may resign Executive’s employment with the Company with Good Reason, as defined below.</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(vi)</w:t>
      </w:r>
      <w:r>
        <w:rPr>
          <w:rFonts w:ascii="Times New Roman" w:hAnsi="Times New Roman"/>
          <w:b w:val="false"/>
          <w:i/>
          <w:caps w:val="false"/>
          <w:smallCaps w:val="false"/>
          <w:color w:val="000000"/>
          <w:spacing w:val="0"/>
          <w:sz w:val="22"/>
        </w:rPr>
        <w:t>Resignation from the Company without Good Reason</w:t>
      </w:r>
      <w:r>
        <w:rPr>
          <w:rFonts w:ascii="Times New Roman" w:hAnsi="Times New Roman"/>
          <w:b w:val="false"/>
          <w:i w:val="false"/>
          <w:caps w:val="false"/>
          <w:smallCaps w:val="false"/>
          <w:color w:val="000000"/>
          <w:spacing w:val="0"/>
          <w:sz w:val="22"/>
        </w:rPr>
        <w:t>.  Executive may resign Executive’s employment with the Company for any reason other than Good Reason or for no reason.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Notice of Termination</w:t>
      </w:r>
      <w:r>
        <w:rPr>
          <w:rFonts w:ascii="Times New Roman" w:hAnsi="Times New Roman"/>
          <w:b w:val="false"/>
          <w:i w:val="false"/>
          <w:caps w:val="false"/>
          <w:smallCaps w:val="false"/>
          <w:color w:val="000000"/>
          <w:spacing w:val="0"/>
          <w:sz w:val="22"/>
        </w:rPr>
        <w:t xml:space="preserve">.  Any termination of Executive’s employment by the Company or by Executive under this </w:t>
      </w:r>
      <w:r>
        <w:rPr>
          <w:rFonts w:ascii="Times New Roman" w:hAnsi="Times New Roman"/>
          <w:b w:val="false"/>
          <w:i w:val="false"/>
          <w:caps w:val="false"/>
          <w:smallCaps w:val="false"/>
          <w:color w:val="000000"/>
          <w:spacing w:val="0"/>
          <w:sz w:val="22"/>
          <w:u w:val="single"/>
        </w:rPr>
        <w:t>Section 3</w:t>
      </w:r>
      <w:r>
        <w:rPr>
          <w:rFonts w:ascii="Times New Roman" w:hAnsi="Times New Roman"/>
          <w:b w:val="false"/>
          <w:i w:val="false"/>
          <w:caps w:val="false"/>
          <w:smallCaps w:val="false"/>
          <w:color w:val="000000"/>
          <w:spacing w:val="0"/>
          <w:sz w:val="22"/>
        </w:rPr>
        <w:t xml:space="preserve"> (other than termination pursuant to </w:t>
      </w:r>
      <w:r>
        <w:rPr>
          <w:rFonts w:ascii="Times New Roman" w:hAnsi="Times New Roman"/>
          <w:b w:val="false"/>
          <w:i w:val="false"/>
          <w:caps w:val="false"/>
          <w:smallCaps w:val="false"/>
          <w:color w:val="000000"/>
          <w:spacing w:val="0"/>
          <w:sz w:val="22"/>
          <w:u w:val="single"/>
        </w:rPr>
        <w:t>Section 3(a)(i))</w:t>
      </w:r>
      <w:r>
        <w:rPr>
          <w:rFonts w:ascii="Times New Roman" w:hAnsi="Times New Roman"/>
          <w:b w:val="false"/>
          <w:i w:val="false"/>
          <w:caps w:val="false"/>
          <w:smallCaps w:val="false"/>
          <w:color w:val="000000"/>
          <w:spacing w:val="0"/>
          <w:sz w:val="22"/>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hAnsi="Times New Roman"/>
          <w:b w:val="false"/>
          <w:i w:val="false"/>
          <w:caps w:val="false"/>
          <w:smallCaps w:val="false"/>
          <w:color w:val="000000"/>
          <w:spacing w:val="0"/>
          <w:sz w:val="22"/>
          <w:u w:val="single"/>
        </w:rPr>
        <w:t>Notice of Termination</w:t>
      </w:r>
      <w:r>
        <w:rPr>
          <w:rFonts w:ascii="Times New Roman" w:hAnsi="Times New Roman"/>
          <w:b w:val="false"/>
          <w:i w:val="false"/>
          <w:caps w:val="false"/>
          <w:smallCaps w:val="false"/>
          <w:color w:val="000000"/>
          <w:spacing w:val="0"/>
          <w:sz w:val="22"/>
        </w:rPr>
        <w:t xml:space="preserve">”); </w:t>
      </w:r>
      <w:r>
        <w:rPr>
          <w:rFonts w:ascii="Times New Roman" w:hAnsi="Times New Roman"/>
          <w:b w:val="false"/>
          <w:i/>
          <w:caps w:val="false"/>
          <w:smallCaps w:val="false"/>
          <w:color w:val="000000"/>
          <w:spacing w:val="0"/>
          <w:sz w:val="22"/>
        </w:rPr>
        <w:t>provided, however</w:t>
      </w:r>
      <w:r>
        <w:rPr>
          <w:rFonts w:ascii="Times New Roman" w:hAnsi="Times New Roman"/>
          <w:b w:val="false"/>
          <w:i w:val="false"/>
          <w:caps w:val="false"/>
          <w:smallCaps w:val="false"/>
          <w:color w:val="000000"/>
          <w:spacing w:val="0"/>
          <w:sz w:val="22"/>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Company Obligations upon Termination</w:t>
      </w:r>
      <w:r>
        <w:rPr>
          <w:rFonts w:ascii="Times New Roman" w:hAnsi="Times New Roman"/>
          <w:b w:val="false"/>
          <w:i w:val="false"/>
          <w:caps w:val="false"/>
          <w:smallCaps w:val="false"/>
          <w:color w:val="000000"/>
          <w:spacing w:val="0"/>
          <w:sz w:val="22"/>
        </w:rPr>
        <w:t xml:space="preserve">.  Upon termination of Executive’s employment pursuant to any of the circumstances listed in this </w:t>
      </w:r>
      <w:r>
        <w:rPr>
          <w:rFonts w:ascii="Times New Roman" w:hAnsi="Times New Roman"/>
          <w:b w:val="false"/>
          <w:i w:val="false"/>
          <w:caps w:val="false"/>
          <w:smallCaps w:val="false"/>
          <w:color w:val="000000"/>
          <w:spacing w:val="0"/>
          <w:sz w:val="22"/>
          <w:u w:val="single"/>
        </w:rPr>
        <w:t>Section 3</w:t>
      </w:r>
      <w:r>
        <w:rPr>
          <w:rFonts w:ascii="Times New Roman" w:hAnsi="Times New Roman"/>
          <w:b w:val="false"/>
          <w:i w:val="false"/>
          <w:caps w:val="false"/>
          <w:smallCaps w:val="false"/>
          <w:color w:val="000000"/>
          <w:spacing w:val="0"/>
          <w:sz w:val="22"/>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Times New Roman" w:hAnsi="Times New Roman"/>
          <w:b w:val="false"/>
          <w:i w:val="false"/>
          <w:caps w:val="false"/>
          <w:smallCaps w:val="false"/>
          <w:color w:val="000000"/>
          <w:spacing w:val="0"/>
          <w:sz w:val="22"/>
          <w:u w:val="single"/>
        </w:rPr>
        <w:t>Section 2(e)</w:t>
      </w:r>
      <w:r>
        <w:rPr>
          <w:rFonts w:ascii="Times New Roman" w:hAnsi="Times New Roman"/>
          <w:b w:val="false"/>
          <w:i w:val="false"/>
          <w:caps w:val="false"/>
          <w:smallCaps w:val="false"/>
          <w:color w:val="000000"/>
          <w:spacing w:val="0"/>
          <w:sz w:val="22"/>
        </w:rPr>
        <w:t xml:space="preserve">; and (iii) any amount accrued and arising from Executive’s participation in, or benefits accrued under any employee benefit plans, programs or arrangements, which amounts shall be payable in accordance with the terms and conditions of such employee benefit plans, programs or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arrangements (collectively, the “</w:t>
      </w:r>
      <w:r>
        <w:rPr>
          <w:rFonts w:ascii="Times New Roman" w:hAnsi="Times New Roman"/>
          <w:b w:val="false"/>
          <w:i w:val="false"/>
          <w:caps w:val="false"/>
          <w:smallCaps w:val="false"/>
          <w:color w:val="000000"/>
          <w:spacing w:val="0"/>
          <w:sz w:val="22"/>
          <w:u w:val="single"/>
        </w:rPr>
        <w:t>Company Arrangements</w:t>
      </w:r>
      <w:r>
        <w:rPr>
          <w:rFonts w:ascii="Times New Roman" w:hAnsi="Times New Roman"/>
          <w:b w:val="false"/>
          <w:i w:val="false"/>
          <w:caps w:val="false"/>
          <w:smallCaps w:val="false"/>
          <w:color w:val="000000"/>
          <w:spacing w:val="0"/>
          <w:sz w:val="22"/>
        </w:rPr>
        <w:t>”).  Except as otherwise expressly required by law (</w:t>
      </w:r>
      <w:r>
        <w:rPr>
          <w:rFonts w:ascii="Times New Roman" w:hAnsi="Times New Roman"/>
          <w:b w:val="false"/>
          <w:i w:val="false"/>
          <w:caps w:val="false"/>
          <w:smallCaps w:val="false"/>
          <w:color w:val="000000"/>
          <w:spacing w:val="0"/>
          <w:sz w:val="22"/>
          <w:u w:val="single"/>
        </w:rPr>
        <w:t>e.g.</w:t>
      </w:r>
      <w:r>
        <w:rPr>
          <w:rFonts w:ascii="Times New Roman" w:hAnsi="Times New Roman"/>
          <w:b w:val="false"/>
          <w:i w:val="false"/>
          <w:caps w:val="false"/>
          <w:smallCaps w:val="false"/>
          <w:color w:val="000000"/>
          <w:spacing w:val="0"/>
          <w:sz w:val="22"/>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Times New Roman" w:hAnsi="Times New Roman"/>
          <w:b w:val="false"/>
          <w:i w:val="false"/>
          <w:caps w:val="false"/>
          <w:smallCaps w:val="false"/>
          <w:color w:val="000000"/>
          <w:spacing w:val="0"/>
          <w:sz w:val="22"/>
          <w:u w:val="single"/>
        </w:rPr>
        <w:t xml:space="preserve">Section 3(c) </w:t>
      </w:r>
      <w:r>
        <w:rPr>
          <w:rFonts w:ascii="Times New Roman" w:hAnsi="Times New Roman"/>
          <w:b w:val="false"/>
          <w:i w:val="false"/>
          <w:caps w:val="false"/>
          <w:smallCaps w:val="false"/>
          <w:color w:val="000000"/>
          <w:spacing w:val="0"/>
          <w:sz w:val="22"/>
        </w:rPr>
        <w:t xml:space="preserve">or </w:t>
      </w:r>
      <w:r>
        <w:rPr>
          <w:rFonts w:ascii="Times New Roman" w:hAnsi="Times New Roman"/>
          <w:b w:val="false"/>
          <w:i w:val="false"/>
          <w:caps w:val="false"/>
          <w:smallCaps w:val="false"/>
          <w:color w:val="000000"/>
          <w:spacing w:val="0"/>
          <w:sz w:val="22"/>
          <w:u w:val="single"/>
        </w:rPr>
        <w:t>Section 4</w:t>
      </w:r>
      <w:r>
        <w:rPr>
          <w:rFonts w:ascii="Times New Roman" w:hAnsi="Times New Roman"/>
          <w:b w:val="false"/>
          <w:i w:val="false"/>
          <w:caps w:val="false"/>
          <w:smallCaps w:val="false"/>
          <w:color w:val="000000"/>
          <w:spacing w:val="0"/>
          <w:sz w:val="22"/>
        </w:rPr>
        <w:t>, as applicable.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w:t>
      </w:r>
      <w:r>
        <w:rPr>
          <w:rFonts w:ascii="Times New Roman" w:hAnsi="Times New Roman"/>
          <w:b w:val="false"/>
          <w:i w:val="false"/>
          <w:caps w:val="false"/>
          <w:smallCaps w:val="false"/>
          <w:color w:val="000000"/>
          <w:spacing w:val="0"/>
          <w:sz w:val="22"/>
          <w:u w:val="single"/>
        </w:rPr>
        <w:t>Deemed Resignation</w:t>
      </w:r>
      <w:r>
        <w:rPr>
          <w:rFonts w:ascii="Times New Roman" w:hAnsi="Times New Roman"/>
          <w:b w:val="false"/>
          <w:i w:val="false"/>
          <w:caps w:val="false"/>
          <w:smallCaps w:val="false"/>
          <w:color w:val="000000"/>
          <w:spacing w:val="0"/>
          <w:sz w:val="22"/>
        </w:rPr>
        <w:t>.  Upon termination of Executive’s employment for any reason, Executive shall be deemed to have resigned from all offices and directorships, if any, then held with the Company or any of its subsidiaries.</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4.</w:t>
      </w:r>
      <w:r>
        <w:rPr>
          <w:rFonts w:ascii="Times New Roman" w:hAnsi="Times New Roman"/>
          <w:b/>
          <w:i w:val="false"/>
          <w:caps w:val="false"/>
          <w:smallCaps w:val="false"/>
          <w:color w:val="000000"/>
          <w:spacing w:val="0"/>
          <w:sz w:val="22"/>
          <w:u w:val="single"/>
        </w:rPr>
        <w:t>Severance Payments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Termination for Cause, or Termination Upon Death, Disability or Resignation from the Company Without Good Reason</w:t>
      </w:r>
      <w:r>
        <w:rPr>
          <w:rFonts w:ascii="Times New Roman" w:hAnsi="Times New Roman"/>
          <w:b w:val="false"/>
          <w:i w:val="false"/>
          <w:caps w:val="false"/>
          <w:smallCaps w:val="false"/>
          <w:color w:val="000000"/>
          <w:spacing w:val="0"/>
          <w:sz w:val="22"/>
        </w:rPr>
        <w:t xml:space="preserve">.  If Executive’s employment shall terminate as a result of Executive’s death pursuant to </w:t>
      </w:r>
      <w:r>
        <w:rPr>
          <w:rFonts w:ascii="Times New Roman" w:hAnsi="Times New Roman"/>
          <w:b w:val="false"/>
          <w:i w:val="false"/>
          <w:caps w:val="false"/>
          <w:smallCaps w:val="false"/>
          <w:color w:val="000000"/>
          <w:spacing w:val="0"/>
          <w:sz w:val="22"/>
          <w:u w:val="single"/>
        </w:rPr>
        <w:t>Section 3(a)(i)</w:t>
      </w:r>
      <w:r>
        <w:rPr>
          <w:rFonts w:ascii="Times New Roman" w:hAnsi="Times New Roman"/>
          <w:b w:val="false"/>
          <w:i w:val="false"/>
          <w:caps w:val="false"/>
          <w:smallCaps w:val="false"/>
          <w:color w:val="000000"/>
          <w:spacing w:val="0"/>
          <w:sz w:val="22"/>
        </w:rPr>
        <w:t xml:space="preserve"> or Disability pursuant to </w:t>
      </w:r>
      <w:r>
        <w:rPr>
          <w:rFonts w:ascii="Times New Roman" w:hAnsi="Times New Roman"/>
          <w:b w:val="false"/>
          <w:i w:val="false"/>
          <w:caps w:val="false"/>
          <w:smallCaps w:val="false"/>
          <w:color w:val="000000"/>
          <w:spacing w:val="0"/>
          <w:sz w:val="22"/>
          <w:u w:val="single"/>
        </w:rPr>
        <w:t>Section 3(a)(ii)</w:t>
      </w:r>
      <w:r>
        <w:rPr>
          <w:rFonts w:ascii="Times New Roman" w:hAnsi="Times New Roman"/>
          <w:b w:val="false"/>
          <w:i w:val="false"/>
          <w:caps w:val="false"/>
          <w:smallCaps w:val="false"/>
          <w:color w:val="000000"/>
          <w:spacing w:val="0"/>
          <w:sz w:val="22"/>
        </w:rPr>
        <w:t xml:space="preserve">, pursuant to </w:t>
      </w:r>
      <w:r>
        <w:rPr>
          <w:rFonts w:ascii="Times New Roman" w:hAnsi="Times New Roman"/>
          <w:b w:val="false"/>
          <w:i w:val="false"/>
          <w:caps w:val="false"/>
          <w:smallCaps w:val="false"/>
          <w:color w:val="000000"/>
          <w:spacing w:val="0"/>
          <w:sz w:val="22"/>
          <w:u w:val="single"/>
        </w:rPr>
        <w:t>Section 3(a)(iii)</w:t>
      </w:r>
      <w:r>
        <w:rPr>
          <w:rFonts w:ascii="Times New Roman" w:hAnsi="Times New Roman"/>
          <w:b w:val="false"/>
          <w:i w:val="false"/>
          <w:caps w:val="false"/>
          <w:smallCaps w:val="false"/>
          <w:color w:val="000000"/>
          <w:spacing w:val="0"/>
          <w:sz w:val="22"/>
        </w:rPr>
        <w:t xml:space="preserve"> for Cause, or pursuant to </w:t>
      </w:r>
      <w:r>
        <w:rPr>
          <w:rFonts w:ascii="Times New Roman" w:hAnsi="Times New Roman"/>
          <w:b w:val="false"/>
          <w:i w:val="false"/>
          <w:caps w:val="false"/>
          <w:smallCaps w:val="false"/>
          <w:color w:val="000000"/>
          <w:spacing w:val="0"/>
          <w:sz w:val="22"/>
          <w:u w:val="single"/>
        </w:rPr>
        <w:t>Section 3(a)(vi)</w:t>
      </w:r>
      <w:r>
        <w:rPr>
          <w:rFonts w:ascii="Times New Roman" w:hAnsi="Times New Roman"/>
          <w:b w:val="false"/>
          <w:i w:val="false"/>
          <w:caps w:val="false"/>
          <w:smallCaps w:val="false"/>
          <w:color w:val="000000"/>
          <w:spacing w:val="0"/>
          <w:sz w:val="22"/>
        </w:rPr>
        <w:t xml:space="preserve"> for Executive’s resignation from the Company without Good Reason, then Executive shall not be entitled to any severance payments or benefits, except as provided in </w:t>
      </w:r>
      <w:r>
        <w:rPr>
          <w:rFonts w:ascii="Times New Roman" w:hAnsi="Times New Roman"/>
          <w:b w:val="false"/>
          <w:i w:val="false"/>
          <w:caps w:val="false"/>
          <w:smallCaps w:val="false"/>
          <w:color w:val="000000"/>
          <w:spacing w:val="0"/>
          <w:sz w:val="22"/>
          <w:u w:val="single"/>
        </w:rPr>
        <w:t>Section 3(c)</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Termination without Cause, or Resignation from the Company with Good Reason</w:t>
      </w:r>
      <w:r>
        <w:rPr>
          <w:rFonts w:ascii="Times New Roman" w:hAnsi="Times New Roman"/>
          <w:b w:val="false"/>
          <w:i w:val="false"/>
          <w:caps w:val="false"/>
          <w:smallCaps w:val="false"/>
          <w:color w:val="000000"/>
          <w:spacing w:val="0"/>
          <w:sz w:val="22"/>
        </w:rPr>
        <w:t xml:space="preserve">.  If Executive’s employment terminates without Cause pursuant to </w:t>
      </w:r>
      <w:r>
        <w:rPr>
          <w:rFonts w:ascii="Times New Roman" w:hAnsi="Times New Roman"/>
          <w:b w:val="false"/>
          <w:i w:val="false"/>
          <w:caps w:val="false"/>
          <w:smallCaps w:val="false"/>
          <w:color w:val="000000"/>
          <w:spacing w:val="0"/>
          <w:sz w:val="22"/>
          <w:u w:val="single"/>
        </w:rPr>
        <w:t>Section 3(a)(iv)</w:t>
      </w:r>
      <w:r>
        <w:rPr>
          <w:rFonts w:ascii="Times New Roman" w:hAnsi="Times New Roman"/>
          <w:b w:val="false"/>
          <w:i w:val="false"/>
          <w:caps w:val="false"/>
          <w:smallCaps w:val="false"/>
          <w:color w:val="000000"/>
          <w:spacing w:val="0"/>
          <w:sz w:val="22"/>
        </w:rPr>
        <w:t xml:space="preserve">, or pursuant to </w:t>
      </w:r>
      <w:r>
        <w:rPr>
          <w:rFonts w:ascii="Times New Roman" w:hAnsi="Times New Roman"/>
          <w:b w:val="false"/>
          <w:i w:val="false"/>
          <w:caps w:val="false"/>
          <w:smallCaps w:val="false"/>
          <w:color w:val="000000"/>
          <w:spacing w:val="0"/>
          <w:sz w:val="22"/>
          <w:u w:val="single"/>
        </w:rPr>
        <w:t>Section 3(a)(v)</w:t>
      </w:r>
      <w:r>
        <w:rPr>
          <w:rFonts w:ascii="Times New Roman" w:hAnsi="Times New Roman"/>
          <w:b w:val="false"/>
          <w:i w:val="false"/>
          <w:caps w:val="false"/>
          <w:smallCaps w:val="false"/>
          <w:color w:val="000000"/>
          <w:spacing w:val="0"/>
          <w:sz w:val="22"/>
        </w:rPr>
        <w:t xml:space="preserve"> due to Executive’s resignation with Good Reason, then except as otherwise provided under </w:t>
      </w:r>
      <w:r>
        <w:rPr>
          <w:rFonts w:ascii="Times New Roman" w:hAnsi="Times New Roman"/>
          <w:b w:val="false"/>
          <w:i w:val="false"/>
          <w:caps w:val="false"/>
          <w:smallCaps w:val="false"/>
          <w:color w:val="000000"/>
          <w:spacing w:val="0"/>
          <w:sz w:val="22"/>
          <w:u w:val="single"/>
        </w:rPr>
        <w:t>Section 4(c)</w:t>
      </w:r>
      <w:r>
        <w:rPr>
          <w:rFonts w:ascii="Times New Roman" w:hAnsi="Times New Roman"/>
          <w:b w:val="false"/>
          <w:i w:val="false"/>
          <w:caps w:val="false"/>
          <w:smallCaps w:val="false"/>
          <w:color w:val="000000"/>
          <w:spacing w:val="0"/>
          <w:sz w:val="22"/>
        </w:rPr>
        <w:t xml:space="preserve"> and subject to Executive signing on or before the 21st day following Executive’s Separation from Service (as defined below), and not revoking, a release of claims substantially in the form attached as </w:t>
      </w:r>
      <w:r>
        <w:rPr>
          <w:rFonts w:ascii="Times New Roman" w:hAnsi="Times New Roman"/>
          <w:b w:val="false"/>
          <w:i w:val="false"/>
          <w:caps w:val="false"/>
          <w:smallCaps w:val="false"/>
          <w:color w:val="000000"/>
          <w:spacing w:val="0"/>
          <w:sz w:val="22"/>
          <w:u w:val="single"/>
        </w:rPr>
        <w:t>Exhibit A</w:t>
      </w:r>
      <w:r>
        <w:rPr>
          <w:rFonts w:ascii="Times New Roman" w:hAnsi="Times New Roman"/>
          <w:b w:val="false"/>
          <w:i w:val="false"/>
          <w:caps w:val="false"/>
          <w:smallCaps w:val="false"/>
          <w:color w:val="000000"/>
          <w:spacing w:val="0"/>
          <w:sz w:val="22"/>
        </w:rPr>
        <w:t xml:space="preserve"> to this Agreement (the “</w:t>
      </w:r>
      <w:r>
        <w:rPr>
          <w:rFonts w:ascii="Times New Roman" w:hAnsi="Times New Roman"/>
          <w:b w:val="false"/>
          <w:i w:val="false"/>
          <w:caps w:val="false"/>
          <w:smallCaps w:val="false"/>
          <w:color w:val="000000"/>
          <w:spacing w:val="0"/>
          <w:sz w:val="22"/>
          <w:u w:val="single"/>
        </w:rPr>
        <w:t>Release</w:t>
      </w:r>
      <w:r>
        <w:rPr>
          <w:rFonts w:ascii="Times New Roman" w:hAnsi="Times New Roman"/>
          <w:b w:val="false"/>
          <w:i w:val="false"/>
          <w:caps w:val="false"/>
          <w:smallCaps w:val="false"/>
          <w:color w:val="000000"/>
          <w:spacing w:val="0"/>
          <w:sz w:val="22"/>
        </w:rPr>
        <w:t xml:space="preserve">”) and Executive’s continued compliance with </w:t>
      </w:r>
      <w:r>
        <w:rPr>
          <w:rFonts w:ascii="Times New Roman" w:hAnsi="Times New Roman"/>
          <w:b w:val="false"/>
          <w:i w:val="false"/>
          <w:caps w:val="false"/>
          <w:smallCaps w:val="false"/>
          <w:color w:val="000000"/>
          <w:spacing w:val="0"/>
          <w:sz w:val="22"/>
          <w:u w:val="single"/>
        </w:rPr>
        <w:t>Section 5</w:t>
      </w:r>
      <w:r>
        <w:rPr>
          <w:rFonts w:ascii="Times New Roman" w:hAnsi="Times New Roman"/>
          <w:b w:val="false"/>
          <w:i w:val="false"/>
          <w:caps w:val="false"/>
          <w:smallCaps w:val="false"/>
          <w:color w:val="000000"/>
          <w:spacing w:val="0"/>
          <w:sz w:val="22"/>
        </w:rPr>
        <w:t xml:space="preserve">, Executive shall receive, in addition to payments and benefits set forth in </w:t>
      </w:r>
      <w:r>
        <w:rPr>
          <w:rFonts w:ascii="Times New Roman" w:hAnsi="Times New Roman"/>
          <w:b w:val="false"/>
          <w:i w:val="false"/>
          <w:caps w:val="false"/>
          <w:smallCaps w:val="false"/>
          <w:color w:val="000000"/>
          <w:spacing w:val="0"/>
          <w:sz w:val="22"/>
          <w:u w:val="single"/>
        </w:rPr>
        <w:t>Section 3(c)</w:t>
      </w:r>
      <w:r>
        <w:rPr>
          <w:rFonts w:ascii="Times New Roman" w:hAnsi="Times New Roman"/>
          <w:b w:val="false"/>
          <w:i w:val="false"/>
          <w:caps w:val="false"/>
          <w:smallCaps w:val="false"/>
          <w:color w:val="000000"/>
          <w:spacing w:val="0"/>
          <w:sz w:val="22"/>
        </w:rPr>
        <w:t>, the following:</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(i)an amount in cash equal to 1.0 times the Annual Base Salary, payable in the form of salary continuation in regular installments over the 12 month period following the date of Executive’s Separation from Service (the “</w:t>
      </w:r>
      <w:r>
        <w:rPr>
          <w:rFonts w:ascii="Times New Roman" w:hAnsi="Times New Roman"/>
          <w:b w:val="false"/>
          <w:i w:val="false"/>
          <w:caps w:val="false"/>
          <w:smallCaps w:val="false"/>
          <w:color w:val="000000"/>
          <w:spacing w:val="0"/>
          <w:sz w:val="22"/>
          <w:u w:val="single"/>
        </w:rPr>
        <w:t>Severance Period</w:t>
      </w:r>
      <w:r>
        <w:rPr>
          <w:rFonts w:ascii="Times New Roman" w:hAnsi="Times New Roman"/>
          <w:b w:val="false"/>
          <w:i w:val="false"/>
          <w:caps w:val="false"/>
          <w:smallCaps w:val="false"/>
          <w:color w:val="000000"/>
          <w:spacing w:val="0"/>
          <w:sz w:val="22"/>
        </w:rPr>
        <w:t>”) in accordance with the Company’s normal payroll practices;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(ii)to the extent unpaid as of the Date of Termination, an amount of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hAnsi="Times New Roman"/>
          <w:b w:val="false"/>
          <w:i w:val="false"/>
          <w:caps w:val="false"/>
          <w:smallCaps w:val="false"/>
          <w:color w:val="000000"/>
          <w:spacing w:val="0"/>
          <w:sz w:val="22"/>
          <w:u w:val="single"/>
        </w:rPr>
        <w:t>COBRA</w:t>
      </w:r>
      <w:r>
        <w:rPr>
          <w:rFonts w:ascii="Times New Roman" w:hAnsi="Times New Roman"/>
          <w:b w:val="false"/>
          <w:i w:val="false"/>
          <w:caps w:val="false"/>
          <w:smallCaps w:val="false"/>
          <w:color w:val="000000"/>
          <w:spacing w:val="0"/>
          <w:sz w:val="22"/>
        </w:rPr>
        <w:t xml:space="preserve">”),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(A) the last day of the Severance Period, (B) the date that Executive and/or Executive’s covered dependents become no longer eligible for COBRA or (C) the date Executive becomes eligible to receive medical, dental or vision coverage, as applicable,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from a subsequent employer (and Executive agrees to promptly notify the Company of such eligibility) (the “</w:t>
      </w:r>
      <w:r>
        <w:rPr>
          <w:rFonts w:ascii="Times New Roman" w:hAnsi="Times New Roman"/>
          <w:b w:val="false"/>
          <w:i w:val="false"/>
          <w:caps w:val="false"/>
          <w:smallCaps w:val="false"/>
          <w:color w:val="000000"/>
          <w:spacing w:val="0"/>
          <w:sz w:val="22"/>
          <w:u w:val="single"/>
        </w:rPr>
        <w:t>COBRA Continuation Period</w:t>
      </w:r>
      <w:r>
        <w:rPr>
          <w:rFonts w:ascii="Times New Roman" w:hAnsi="Times New Roman"/>
          <w:b w:val="false"/>
          <w:i w:val="false"/>
          <w:caps w:val="false"/>
          <w:smallCaps w:val="false"/>
          <w:color w:val="000000"/>
          <w:spacing w:val="0"/>
          <w:sz w:val="22"/>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such group health coverage as an active employee for Executive and his or her covered dependents based on the cost sharing levels in effect on the Date of Termination, which payments shall for the remainder of the COBRA Continuation Period.</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Change in Control</w:t>
      </w:r>
      <w:r>
        <w:rPr>
          <w:rFonts w:ascii="Times New Roman" w:hAnsi="Times New Roman"/>
          <w:b w:val="false"/>
          <w:i w:val="false"/>
          <w:caps w:val="false"/>
          <w:smallCaps w:val="false"/>
          <w:color w:val="000000"/>
          <w:spacing w:val="0"/>
          <w:sz w:val="22"/>
        </w:rPr>
        <w:t xml:space="preserve">.  In lieu of the payments and benefits set forth in </w:t>
      </w:r>
      <w:r>
        <w:rPr>
          <w:rFonts w:ascii="Times New Roman" w:hAnsi="Times New Roman"/>
          <w:b w:val="false"/>
          <w:i w:val="false"/>
          <w:caps w:val="false"/>
          <w:smallCaps w:val="false"/>
          <w:color w:val="000000"/>
          <w:spacing w:val="0"/>
          <w:sz w:val="22"/>
          <w:u w:val="single"/>
        </w:rPr>
        <w:t>Section 4(b)</w:t>
      </w:r>
      <w:r>
        <w:rPr>
          <w:rFonts w:ascii="Times New Roman" w:hAnsi="Times New Roman"/>
          <w:b w:val="false"/>
          <w:i w:val="false"/>
          <w:caps w:val="false"/>
          <w:smallCaps w:val="false"/>
          <w:color w:val="000000"/>
          <w:spacing w:val="0"/>
          <w:sz w:val="22"/>
        </w:rPr>
        <w:t xml:space="preserve">, in the event Executive’s employment terminates without Cause pursuant to </w:t>
      </w:r>
      <w:r>
        <w:rPr>
          <w:rFonts w:ascii="Times New Roman" w:hAnsi="Times New Roman"/>
          <w:b w:val="false"/>
          <w:i w:val="false"/>
          <w:caps w:val="false"/>
          <w:smallCaps w:val="false"/>
          <w:color w:val="000000"/>
          <w:spacing w:val="0"/>
          <w:sz w:val="22"/>
          <w:u w:val="single"/>
        </w:rPr>
        <w:t>Section 3(a)(iv)</w:t>
      </w:r>
      <w:r>
        <w:rPr>
          <w:rFonts w:ascii="Times New Roman" w:hAnsi="Times New Roman"/>
          <w:b w:val="false"/>
          <w:i w:val="false"/>
          <w:caps w:val="false"/>
          <w:smallCaps w:val="false"/>
          <w:color w:val="000000"/>
          <w:spacing w:val="0"/>
          <w:sz w:val="22"/>
        </w:rPr>
        <w:t xml:space="preserve">, or pursuant to </w:t>
      </w:r>
      <w:r>
        <w:rPr>
          <w:rFonts w:ascii="Times New Roman" w:hAnsi="Times New Roman"/>
          <w:b w:val="false"/>
          <w:i w:val="false"/>
          <w:caps w:val="false"/>
          <w:smallCaps w:val="false"/>
          <w:color w:val="000000"/>
          <w:spacing w:val="0"/>
          <w:sz w:val="22"/>
          <w:u w:val="single"/>
        </w:rPr>
        <w:t>Section 3(a)(v)</w:t>
      </w:r>
      <w:r>
        <w:rPr>
          <w:rFonts w:ascii="Times New Roman" w:hAnsi="Times New Roman"/>
          <w:b w:val="false"/>
          <w:i w:val="false"/>
          <w:caps w:val="false"/>
          <w:smallCaps w:val="false"/>
          <w:color w:val="000000"/>
          <w:spacing w:val="0"/>
          <w:sz w:val="22"/>
        </w:rPr>
        <w:t xml:space="preserve"> 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Times New Roman" w:hAnsi="Times New Roman"/>
          <w:b w:val="false"/>
          <w:i w:val="false"/>
          <w:caps w:val="false"/>
          <w:smallCaps w:val="false"/>
          <w:color w:val="000000"/>
          <w:spacing w:val="0"/>
          <w:sz w:val="22"/>
          <w:u w:val="single"/>
        </w:rPr>
        <w:t>Section 5</w:t>
      </w:r>
      <w:r>
        <w:rPr>
          <w:rFonts w:ascii="Times New Roman" w:hAnsi="Times New Roman"/>
          <w:b w:val="false"/>
          <w:i w:val="false"/>
          <w:caps w:val="false"/>
          <w:smallCaps w:val="false"/>
          <w:color w:val="000000"/>
          <w:spacing w:val="0"/>
          <w:sz w:val="22"/>
        </w:rPr>
        <w:t xml:space="preserve">, Executive shall receive, in addition to the payments and benefits set forth in </w:t>
      </w:r>
      <w:r>
        <w:rPr>
          <w:rFonts w:ascii="Times New Roman" w:hAnsi="Times New Roman"/>
          <w:b w:val="false"/>
          <w:i w:val="false"/>
          <w:caps w:val="false"/>
          <w:smallCaps w:val="false"/>
          <w:color w:val="000000"/>
          <w:spacing w:val="0"/>
          <w:sz w:val="22"/>
          <w:u w:val="single"/>
        </w:rPr>
        <w:t>Section 3(c)</w:t>
      </w:r>
      <w:r>
        <w:rPr>
          <w:rFonts w:ascii="Times New Roman" w:hAnsi="Times New Roman"/>
          <w:b w:val="false"/>
          <w:i w:val="false"/>
          <w:caps w:val="false"/>
          <w:smallCaps w:val="false"/>
          <w:color w:val="000000"/>
          <w:spacing w:val="0"/>
          <w:sz w:val="22"/>
        </w:rPr>
        <w:t>, the following:</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(i)an amount in cash equal to 1.5 times the Annual Base Salary, payable in equal installments over the 18 month period following the date of Executive’s Separation from Service (the “</w:t>
      </w:r>
      <w:r>
        <w:rPr>
          <w:rFonts w:ascii="Times New Roman" w:hAnsi="Times New Roman"/>
          <w:b w:val="false"/>
          <w:i w:val="false"/>
          <w:caps w:val="false"/>
          <w:smallCaps w:val="false"/>
          <w:color w:val="000000"/>
          <w:spacing w:val="0"/>
          <w:sz w:val="22"/>
          <w:u w:val="single"/>
        </w:rPr>
        <w:t>CIC Severance Period</w:t>
      </w:r>
      <w:r>
        <w:rPr>
          <w:rFonts w:ascii="Times New Roman" w:hAnsi="Times New Roman"/>
          <w:b w:val="false"/>
          <w:i w:val="false"/>
          <w:caps w:val="false"/>
          <w:smallCaps w:val="false"/>
          <w:color w:val="000000"/>
          <w:spacing w:val="0"/>
          <w:sz w:val="22"/>
        </w:rPr>
        <w:t>”) in accordance with the Company’s normal payroll practices;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(ii)the payment set forth in </w:t>
      </w:r>
      <w:r>
        <w:rPr>
          <w:rFonts w:ascii="Times New Roman" w:hAnsi="Times New Roman"/>
          <w:b w:val="false"/>
          <w:i w:val="false"/>
          <w:caps w:val="false"/>
          <w:smallCaps w:val="false"/>
          <w:color w:val="000000"/>
          <w:spacing w:val="0"/>
          <w:sz w:val="22"/>
          <w:u w:val="single"/>
        </w:rPr>
        <w:t>Section 4(b)(ii)</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(iii)the benefits set forth in </w:t>
      </w:r>
      <w:r>
        <w:rPr>
          <w:rFonts w:ascii="Times New Roman" w:hAnsi="Times New Roman"/>
          <w:b w:val="false"/>
          <w:i w:val="false"/>
          <w:caps w:val="false"/>
          <w:smallCaps w:val="false"/>
          <w:color w:val="000000"/>
          <w:spacing w:val="0"/>
          <w:sz w:val="22"/>
          <w:u w:val="single"/>
        </w:rPr>
        <w:t>Section 4(b)(iii)</w:t>
      </w:r>
      <w:r>
        <w:rPr>
          <w:rFonts w:ascii="Times New Roman" w:hAnsi="Times New Roman"/>
          <w:b w:val="false"/>
          <w:i w:val="false"/>
          <w:caps w:val="false"/>
          <w:smallCaps w:val="false"/>
          <w:color w:val="000000"/>
          <w:spacing w:val="0"/>
          <w:sz w:val="22"/>
        </w:rPr>
        <w:t xml:space="preserve">, provided that for this purpose, the “Severance Period” will mean the CIC Severance Period;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(iv)an amount in cash equal to 1.5 times the Target Annual Bonus, payable in a lump sum on the Company’s first ordinary payroll date that occurs after the Date of Termination;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(v)an amount in cash equal to a prorated portion of the Target Annual Bonus for the year in which the Date of Termination occurs, with such proration based on the portion of the year that Executive was employed by the Company prior to the Date of Termination, payable in a lump sum on the Company’s first ordinary payroll date that occurs after the Date of Termination; and</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(vi)all unvested equity or equity-based awards held by Executive under any Company equity compensation plans that vest solely based on continued employment or service shall immediately become 100% vested, with any other equity or equity-based awards being governed by the terms of the applicable award agreement.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w:t>
      </w:r>
      <w:r>
        <w:rPr>
          <w:rFonts w:ascii="Times New Roman" w:hAnsi="Times New Roman"/>
          <w:b w:val="false"/>
          <w:i w:val="false"/>
          <w:caps w:val="false"/>
          <w:smallCaps w:val="false"/>
          <w:color w:val="000000"/>
          <w:spacing w:val="0"/>
          <w:sz w:val="22"/>
          <w:u w:val="single"/>
        </w:rPr>
        <w:t>Survival</w:t>
      </w:r>
      <w:r>
        <w:rPr>
          <w:rFonts w:ascii="Times New Roman" w:hAnsi="Times New Roman"/>
          <w:b w:val="false"/>
          <w:i w:val="false"/>
          <w:caps w:val="false"/>
          <w:smallCaps w:val="false"/>
          <w:color w:val="000000"/>
          <w:spacing w:val="0"/>
          <w:sz w:val="22"/>
        </w:rPr>
        <w:t xml:space="preserve">.  Notwithstanding anything to the contrary in this Agreement, the provisions of </w:t>
      </w:r>
      <w:r>
        <w:rPr>
          <w:rFonts w:ascii="Times New Roman" w:hAnsi="Times New Roman"/>
          <w:b w:val="false"/>
          <w:i w:val="false"/>
          <w:caps w:val="false"/>
          <w:smallCaps w:val="false"/>
          <w:color w:val="000000"/>
          <w:spacing w:val="0"/>
          <w:sz w:val="22"/>
          <w:u w:val="single"/>
        </w:rPr>
        <w:t>Sections 5</w:t>
      </w:r>
      <w:r>
        <w:rPr>
          <w:rFonts w:ascii="Times New Roman" w:hAnsi="Times New Roman"/>
          <w:b w:val="false"/>
          <w:i w:val="false"/>
          <w:caps w:val="false"/>
          <w:smallCaps w:val="false"/>
          <w:color w:val="000000"/>
          <w:spacing w:val="0"/>
          <w:sz w:val="22"/>
        </w:rPr>
        <w:t xml:space="preserve"> through </w:t>
      </w:r>
      <w:r>
        <w:rPr>
          <w:rFonts w:ascii="Times New Roman" w:hAnsi="Times New Roman"/>
          <w:b w:val="false"/>
          <w:i w:val="false"/>
          <w:caps w:val="false"/>
          <w:smallCaps w:val="false"/>
          <w:color w:val="000000"/>
          <w:spacing w:val="0"/>
          <w:sz w:val="22"/>
          <w:u w:val="single"/>
        </w:rPr>
        <w:t>9</w:t>
      </w:r>
      <w:r>
        <w:rPr>
          <w:rFonts w:ascii="Times New Roman" w:hAnsi="Times New Roman"/>
          <w:b w:val="false"/>
          <w:i w:val="false"/>
          <w:caps w:val="false"/>
          <w:smallCaps w:val="false"/>
          <w:color w:val="000000"/>
          <w:spacing w:val="0"/>
          <w:sz w:val="22"/>
        </w:rPr>
        <w:t xml:space="preserve"> will survive the termination of Executive’s employment and the termination of the Term.</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5</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strike w:val="false"/>
          <w:dstrike w:val="false"/>
          <w:color w:val="000000"/>
          <w:spacing w:val="0"/>
          <w:sz w:val="24"/>
          <w:u w:val="none"/>
          <w:effect w:val="none"/>
        </w:rPr>
        <w:t>5.</w:t>
      </w:r>
      <w:r>
        <w:rPr>
          <w:rFonts w:ascii="Times New Roman" w:hAnsi="Times New Roman"/>
          <w:b/>
          <w:i w:val="false"/>
          <w:caps w:val="false"/>
          <w:smallCaps w:val="false"/>
          <w:color w:val="000000"/>
          <w:spacing w:val="0"/>
          <w:sz w:val="22"/>
          <w:u w:val="single"/>
        </w:rPr>
        <w:t>Restrictive Covenants</w:t>
      </w:r>
      <w:r>
        <w:rPr>
          <w:rFonts w:ascii="Times New Roman" w:hAnsi="Times New Roman"/>
          <w:b/>
          <w:i w:val="false"/>
          <w:caps w:val="false"/>
          <w:smallCaps w:val="false"/>
          <w:strike w:val="false"/>
          <w:dstrike w:val="false"/>
          <w:color w:val="000000"/>
          <w:spacing w:val="0"/>
          <w:sz w:val="22"/>
          <w:u w:val="none"/>
          <w:effect w:val="none"/>
        </w:rPr>
        <w:t>.  </w:t>
      </w:r>
      <w:r>
        <w:rPr>
          <w:rFonts w:ascii="Times New Roman" w:hAnsi="Times New Roman"/>
          <w:b w:val="false"/>
          <w:i w:val="false"/>
          <w:caps w:val="false"/>
          <w:smallCaps w:val="false"/>
          <w:strike w:val="false"/>
          <w:dstrike w:val="false"/>
          <w:color w:val="000000"/>
          <w:spacing w:val="0"/>
          <w:sz w:val="22"/>
          <w:u w:val="none"/>
          <w:effect w:val="none"/>
        </w:rPr>
        <w:t xml:space="preserve">As a condition to the effectiveness of this Agreement, Executive will have executed and delivered to the Company no later than contemporaneously herewith the Employee Proprietary Information and Inventions Assignment Agreement attached as </w:t>
      </w:r>
      <w:r>
        <w:rPr>
          <w:rFonts w:ascii="Times New Roman" w:hAnsi="Times New Roman"/>
          <w:b w:val="false"/>
          <w:i w:val="false"/>
          <w:caps w:val="false"/>
          <w:smallCaps w:val="false"/>
          <w:color w:val="000000"/>
          <w:spacing w:val="0"/>
          <w:sz w:val="22"/>
          <w:u w:val="single"/>
        </w:rPr>
        <w:t>Exhibit B</w:t>
      </w:r>
      <w:r>
        <w:rPr>
          <w:rFonts w:ascii="Times New Roman Bold" w:hAnsi="Times New Roman Bold"/>
          <w:b/>
          <w:i w:val="false"/>
          <w:caps w:val="false"/>
          <w:smallCaps w:val="false"/>
          <w:strike w:val="false"/>
          <w:dstrike w:val="false"/>
          <w:color w:val="000000"/>
          <w:spacing w:val="0"/>
          <w:sz w:val="24"/>
          <w:u w:val="none"/>
          <w:effect w:val="none"/>
        </w:rPr>
        <w:t xml:space="preserve"> </w:t>
      </w:r>
      <w:r>
        <w:rPr>
          <w:rFonts w:ascii="Times New Roman" w:hAnsi="Times New Roman"/>
          <w:b w:val="false"/>
          <w:i w:val="false"/>
          <w:caps w:val="false"/>
          <w:smallCaps w:val="false"/>
          <w:strike w:val="false"/>
          <w:dstrike w:val="false"/>
          <w:color w:val="000000"/>
          <w:spacing w:val="0"/>
          <w:sz w:val="22"/>
          <w:u w:val="none"/>
          <w:effect w:val="none"/>
        </w:rPr>
        <w:t>(the “</w:t>
      </w:r>
      <w:r>
        <w:rPr>
          <w:rFonts w:ascii="Times New Roman" w:hAnsi="Times New Roman"/>
          <w:b w:val="false"/>
          <w:i w:val="false"/>
          <w:caps w:val="false"/>
          <w:smallCaps w:val="false"/>
          <w:color w:val="000000"/>
          <w:spacing w:val="0"/>
          <w:sz w:val="22"/>
          <w:u w:val="single"/>
        </w:rPr>
        <w:t>Restrictive Covenant Agreement</w:t>
      </w:r>
      <w:r>
        <w:rPr>
          <w:rFonts w:ascii="Times New Roman Bold" w:hAnsi="Times New Roman Bold"/>
          <w:b/>
          <w:i w:val="false"/>
          <w:caps w:val="false"/>
          <w:smallCaps w:val="false"/>
          <w:strike w:val="false"/>
          <w:dstrike w:val="false"/>
          <w:color w:val="000000"/>
          <w:spacing w:val="0"/>
          <w:sz w:val="24"/>
          <w:u w:val="none"/>
          <w:effect w:val="none"/>
        </w:rPr>
        <w:t>”</w:t>
      </w:r>
      <w:r>
        <w:rPr>
          <w:rFonts w:ascii="Times New Roman" w:hAnsi="Times New Roman"/>
          <w:b w:val="false"/>
          <w:i w:val="false"/>
          <w:caps w:val="false"/>
          <w:smallCaps w:val="false"/>
          <w:strike w:val="false"/>
          <w:dstrike w:val="false"/>
          <w:color w:val="000000"/>
          <w:spacing w:val="0"/>
          <w:sz w:val="22"/>
          <w:u w:val="none"/>
          <w:effect w:val="none"/>
        </w:rPr>
        <w: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6.</w:t>
      </w:r>
      <w:r>
        <w:rPr>
          <w:rFonts w:ascii="Times New Roman" w:hAnsi="Times New Roman"/>
          <w:b/>
          <w:i w:val="false"/>
          <w:caps w:val="false"/>
          <w:smallCaps w:val="false"/>
          <w:color w:val="000000"/>
          <w:spacing w:val="0"/>
          <w:sz w:val="22"/>
          <w:u w:val="single"/>
        </w:rPr>
        <w:t>Assignment and Successors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7.</w:t>
      </w:r>
      <w:r>
        <w:rPr>
          <w:rFonts w:ascii="Times New Roman" w:hAnsi="Times New Roman"/>
          <w:b/>
          <w:i w:val="false"/>
          <w:caps w:val="false"/>
          <w:smallCaps w:val="false"/>
          <w:color w:val="000000"/>
          <w:spacing w:val="0"/>
          <w:sz w:val="22"/>
          <w:u w:val="single"/>
        </w:rPr>
        <w:t>Certain Definitions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Cause</w:t>
      </w:r>
      <w:r>
        <w:rPr>
          <w:rFonts w:ascii="Times New Roman" w:hAnsi="Times New Roman"/>
          <w:b w:val="false"/>
          <w:i w:val="false"/>
          <w:caps w:val="false"/>
          <w:smallCaps w:val="false"/>
          <w:color w:val="000000"/>
          <w:spacing w:val="0"/>
          <w:sz w:val="22"/>
        </w:rPr>
        <w:t>.  The Company shall have “Cause” to terminate Executive’s employment hereunder upon: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(i)The CEO’s reasonable, good faith determination that Executive has refused to (A) substantially perform the duties associated with Executive’s position with the Company or (B) carry out the reasonable and lawful instructions of the CEO concerning duties or actions consistent with the Executive’s position with the Company;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(ii)Executive’s breach of a material provision of this Agreement that, to the extent capable of cure, has remained uncured for a period of thirty (30) days following written notice from the Company;</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(iii)Executive’s conviction, plea of no contest, plea of </w:t>
      </w:r>
      <w:r>
        <w:rPr>
          <w:rFonts w:ascii="Times New Roman" w:hAnsi="Times New Roman"/>
          <w:b w:val="false"/>
          <w:i/>
          <w:caps w:val="false"/>
          <w:smallCaps w:val="false"/>
          <w:color w:val="000000"/>
          <w:spacing w:val="0"/>
          <w:sz w:val="22"/>
        </w:rPr>
        <w:t>nolo contendere</w:t>
      </w:r>
      <w:r>
        <w:rPr>
          <w:rFonts w:ascii="Times New Roman" w:hAnsi="Times New Roman"/>
          <w:b w:val="false"/>
          <w:i w:val="false"/>
          <w:caps w:val="false"/>
          <w:smallCaps w:val="false"/>
          <w:color w:val="000000"/>
          <w:spacing w:val="0"/>
          <w:sz w:val="22"/>
        </w:rPr>
        <w:t xml:space="preserve">, or imposition of unadjudicated probation for any felony or crime involving moral turpitude;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(iv)Executive’s unlawful use (including being under the influence) or possession of illegal drugs on the Company’s (or any of its affiliate’s) premises or while performing Executive’s duties and responsibilities under this Agreement; or</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(v)Executive’s commission of any act of fraud, embezzlement, misappropriation, willful misconduct, or breach of fiduciary duty against the Company or any of its affiliates.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Change in Control</w:t>
      </w:r>
      <w:r>
        <w:rPr>
          <w:rFonts w:ascii="Times New Roman" w:hAnsi="Times New Roman"/>
          <w:b w:val="false"/>
          <w:i w:val="false"/>
          <w:caps w:val="false"/>
          <w:smallCaps w:val="false"/>
          <w:color w:val="000000"/>
          <w:spacing w:val="0"/>
          <w:sz w:val="22"/>
        </w:rPr>
        <w:t xml:space="preserve">.  “Change in Control” shall have the meaning set forth in the Atea Pharmaceuticals, Inc. 2020 Incentive Award Plan, as in effect on the Effective Date.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Code</w:t>
      </w:r>
      <w:r>
        <w:rPr>
          <w:rFonts w:ascii="Times New Roman" w:hAnsi="Times New Roman"/>
          <w:b w:val="false"/>
          <w:i w:val="false"/>
          <w:caps w:val="false"/>
          <w:smallCaps w:val="false"/>
          <w:color w:val="000000"/>
          <w:spacing w:val="0"/>
          <w:sz w:val="22"/>
        </w:rPr>
        <w:t>.  “Code” shall mean the Internal Revenue Code of 1986, as amended, and the regulations and guidance promulgated thereunder.</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6</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w:t>
      </w:r>
      <w:r>
        <w:rPr>
          <w:rFonts w:ascii="Times New Roman" w:hAnsi="Times New Roman"/>
          <w:b w:val="false"/>
          <w:i w:val="false"/>
          <w:caps w:val="false"/>
          <w:smallCaps w:val="false"/>
          <w:color w:val="000000"/>
          <w:spacing w:val="0"/>
          <w:sz w:val="22"/>
          <w:u w:val="single"/>
        </w:rPr>
        <w:t>Date of Termination</w:t>
      </w:r>
      <w:r>
        <w:rPr>
          <w:rFonts w:ascii="Times New Roman" w:hAnsi="Times New Roman"/>
          <w:b w:val="false"/>
          <w:i w:val="false"/>
          <w:caps w:val="false"/>
          <w:smallCaps w:val="false"/>
          <w:color w:val="000000"/>
          <w:spacing w:val="0"/>
          <w:sz w:val="22"/>
        </w:rPr>
        <w:t xml:space="preserve">.  “Date of Termination” shall mean (i) if Executive’s employment is terminated by Executive’s death, the date of Executive’s death; or (ii) if Executive’s employment is terminated pursuant to </w:t>
      </w:r>
      <w:r>
        <w:rPr>
          <w:rFonts w:ascii="Times New Roman" w:hAnsi="Times New Roman"/>
          <w:b w:val="false"/>
          <w:i w:val="false"/>
          <w:caps w:val="false"/>
          <w:smallCaps w:val="false"/>
          <w:color w:val="000000"/>
          <w:spacing w:val="0"/>
          <w:sz w:val="22"/>
          <w:u w:val="single"/>
        </w:rPr>
        <w:t>Section 3(a)(ii)</w:t>
      </w:r>
      <w:r>
        <w:rPr>
          <w:rFonts w:ascii="Times New Roman" w:hAnsi="Times New Roman"/>
          <w:b w:val="false"/>
          <w:i w:val="false"/>
          <w:caps w:val="false"/>
          <w:smallCaps w:val="false"/>
          <w:color w:val="000000"/>
          <w:spacing w:val="0"/>
          <w:sz w:val="22"/>
        </w:rPr>
        <w:t xml:space="preserve"> – </w:t>
      </w:r>
      <w:r>
        <w:rPr>
          <w:rFonts w:ascii="Times New Roman" w:hAnsi="Times New Roman"/>
          <w:b w:val="false"/>
          <w:i w:val="false"/>
          <w:caps w:val="false"/>
          <w:smallCaps w:val="false"/>
          <w:color w:val="000000"/>
          <w:spacing w:val="0"/>
          <w:sz w:val="22"/>
          <w:u w:val="single"/>
        </w:rPr>
        <w:t>(vi)</w:t>
      </w:r>
      <w:r>
        <w:rPr>
          <w:rFonts w:ascii="Times New Roman" w:hAnsi="Times New Roman"/>
          <w:b w:val="false"/>
          <w:i w:val="false"/>
          <w:caps w:val="false"/>
          <w:smallCaps w:val="false"/>
          <w:color w:val="000000"/>
          <w:spacing w:val="0"/>
          <w:sz w:val="22"/>
        </w:rPr>
        <w:t xml:space="preserve"> either the date indicated in the Notice of Termination or the date specified by the Company pursuant to </w:t>
      </w:r>
      <w:r>
        <w:rPr>
          <w:rFonts w:ascii="Times New Roman" w:hAnsi="Times New Roman"/>
          <w:b w:val="false"/>
          <w:i w:val="false"/>
          <w:caps w:val="false"/>
          <w:smallCaps w:val="false"/>
          <w:color w:val="000000"/>
          <w:spacing w:val="0"/>
          <w:sz w:val="22"/>
          <w:u w:val="single"/>
        </w:rPr>
        <w:t>Section 3(b)</w:t>
      </w:r>
      <w:r>
        <w:rPr>
          <w:rFonts w:ascii="Times New Roman" w:hAnsi="Times New Roman"/>
          <w:b w:val="false"/>
          <w:i w:val="false"/>
          <w:caps w:val="false"/>
          <w:smallCaps w:val="false"/>
          <w:color w:val="000000"/>
          <w:spacing w:val="0"/>
          <w:sz w:val="22"/>
        </w:rPr>
        <w:t>, whichever is earlier.</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(e)</w:t>
      </w:r>
      <w:r>
        <w:rPr>
          <w:rFonts w:ascii="Times New Roman" w:hAnsi="Times New Roman"/>
          <w:b w:val="false"/>
          <w:i w:val="false"/>
          <w:caps w:val="false"/>
          <w:smallCaps w:val="false"/>
          <w:color w:val="000000"/>
          <w:spacing w:val="0"/>
          <w:sz w:val="22"/>
          <w:u w:val="single"/>
        </w:rPr>
        <w:t>Disability</w:t>
      </w:r>
      <w:r>
        <w:rPr>
          <w:rFonts w:ascii="Times New Roman" w:hAnsi="Times New Roman"/>
          <w:b w:val="false"/>
          <w:i w:val="false"/>
          <w:caps w:val="false"/>
          <w:smallCaps w:val="false"/>
          <w:color w:val="000000"/>
          <w:spacing w:val="0"/>
          <w:sz w:val="22"/>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 w:hAnsi="Times New Roman"/>
          <w:b w:val="false"/>
          <w:i/>
          <w:caps w:val="false"/>
          <w:smallCaps w:val="false"/>
          <w:color w:val="000000"/>
          <w:spacing w:val="0"/>
          <w:sz w:val="22"/>
        </w:rPr>
        <w:t>provided, however</w:t>
      </w:r>
      <w:r>
        <w:rPr>
          <w:rFonts w:ascii="Times New Roman" w:hAnsi="Times New Roman"/>
          <w:b w:val="false"/>
          <w:i w:val="false"/>
          <w:caps w:val="false"/>
          <w:smallCaps w:val="false"/>
          <w:color w:val="000000"/>
          <w:spacing w:val="0"/>
          <w:sz w:val="22"/>
        </w:rPr>
        <w:t xml:space="preserve">,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(f)</w:t>
      </w:r>
      <w:r>
        <w:rPr>
          <w:rFonts w:ascii="Times New Roman" w:hAnsi="Times New Roman"/>
          <w:b w:val="false"/>
          <w:i w:val="false"/>
          <w:caps w:val="false"/>
          <w:smallCaps w:val="false"/>
          <w:color w:val="000000"/>
          <w:spacing w:val="0"/>
          <w:sz w:val="22"/>
          <w:u w:val="single"/>
        </w:rPr>
        <w:t>Good Reason</w:t>
      </w:r>
      <w:r>
        <w:rPr>
          <w:rFonts w:ascii="Times New Roman" w:hAnsi="Times New Roman"/>
          <w:b w:val="false"/>
          <w:i w:val="false"/>
          <w:caps w:val="false"/>
          <w:smallCaps w:val="false"/>
          <w:color w:val="000000"/>
          <w:spacing w:val="0"/>
          <w:sz w:val="22"/>
        </w:rPr>
        <w:t xml:space="preserve">.  For the sole purpose of determining Executive’s right to severance payments and benefits as described above, Executive’s resignation will be with “Good Reason” if Executive resigns within ninety (90) days after any of the following events, unless Executive consents in writing to the applicable event:  (i) a reduction in Executive’s Annual Base Salary or Target Annual Bonus, (ii) a material decrease in Executive’s authority or areas of responsibility as are commensurate with Executive’s title or position with the Company, (iii) the relocation of Executive’s primary office to a location more than twenty-five (25) miles from the Executive’s primary office as of the date of this Agreement (for the avoidance of doubt, other than a relocation of Executive’s primary work location to the Company’s headquarters in the Boston, Massachusetts metropolitan area) or (iv) the Company’s breach of a material provision of this Agreement.  Notwithstanding the foregoing, no Good Reason will have occurred unless and until:  (a) Executive has provided the Company, within sixty (60) 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8.</w:t>
      </w:r>
      <w:r>
        <w:rPr>
          <w:rFonts w:ascii="Times New Roman" w:hAnsi="Times New Roman"/>
          <w:b/>
          <w:i w:val="false"/>
          <w:caps w:val="false"/>
          <w:smallCaps w:val="false"/>
          <w:color w:val="000000"/>
          <w:spacing w:val="0"/>
          <w:sz w:val="22"/>
          <w:u w:val="single"/>
        </w:rPr>
        <w:t>Parachute Payments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(a)Notwithstanding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hAnsi="Times New Roman"/>
          <w:b w:val="false"/>
          <w:i w:val="false"/>
          <w:caps w:val="false"/>
          <w:smallCaps w:val="false"/>
          <w:color w:val="000000"/>
          <w:spacing w:val="0"/>
          <w:sz w:val="22"/>
          <w:u w:val="single"/>
        </w:rPr>
        <w:t>Section 4</w:t>
      </w:r>
      <w:r>
        <w:rPr>
          <w:rFonts w:ascii="Times New Roman" w:hAnsi="Times New Roman"/>
          <w:b w:val="false"/>
          <w:i w:val="false"/>
          <w:caps w:val="false"/>
          <w:smallCaps w:val="false"/>
          <w:color w:val="000000"/>
          <w:spacing w:val="0"/>
          <w:sz w:val="22"/>
        </w:rPr>
        <w:t xml:space="preserve"> hereof, being hereinafter referred to as the “</w:t>
      </w:r>
      <w:r>
        <w:rPr>
          <w:rFonts w:ascii="Times New Roman" w:hAnsi="Times New Roman"/>
          <w:b w:val="false"/>
          <w:i w:val="false"/>
          <w:caps w:val="false"/>
          <w:smallCaps w:val="false"/>
          <w:color w:val="000000"/>
          <w:spacing w:val="0"/>
          <w:sz w:val="22"/>
          <w:u w:val="single"/>
        </w:rPr>
        <w:t>Total Payments</w:t>
      </w:r>
      <w:r>
        <w:rPr>
          <w:rFonts w:ascii="Times New Roman" w:hAnsi="Times New Roman"/>
          <w:b w:val="false"/>
          <w:i w:val="false"/>
          <w:caps w:val="false"/>
          <w:smallCaps w:val="false"/>
          <w:color w:val="000000"/>
          <w:spacing w:val="0"/>
          <w:sz w:val="22"/>
        </w:rPr>
        <w:t>”), would be subject (in whole or in part) to the excise tax imposed by Section 4999 of the Code (the “</w:t>
      </w:r>
      <w:r>
        <w:rPr>
          <w:rFonts w:ascii="Times New Roman" w:hAnsi="Times New Roman"/>
          <w:b w:val="false"/>
          <w:i w:val="false"/>
          <w:caps w:val="false"/>
          <w:smallCaps w:val="false"/>
          <w:color w:val="000000"/>
          <w:spacing w:val="0"/>
          <w:sz w:val="22"/>
          <w:u w:val="single"/>
        </w:rPr>
        <w:t>Excise Tax</w:t>
      </w:r>
      <w:r>
        <w:rPr>
          <w:rFonts w:ascii="Times New Roman" w:hAnsi="Times New Roman"/>
          <w:b w:val="false"/>
          <w:i w:val="false"/>
          <w:caps w:val="false"/>
          <w:smallCaps w:val="false"/>
          <w:color w:val="000000"/>
          <w:spacing w:val="0"/>
          <w:sz w:val="22"/>
        </w:rPr>
        <w:t xml:space="preserve">”), then the Total Payments shall be reduced (in the order provided in </w:t>
      </w:r>
      <w:r>
        <w:rPr>
          <w:rFonts w:ascii="Times New Roman" w:hAnsi="Times New Roman"/>
          <w:b w:val="false"/>
          <w:i w:val="false"/>
          <w:caps w:val="false"/>
          <w:smallCaps w:val="false"/>
          <w:color w:val="000000"/>
          <w:spacing w:val="0"/>
          <w:sz w:val="22"/>
          <w:u w:val="single"/>
        </w:rPr>
        <w:t>Section 8(b)</w:t>
      </w:r>
      <w:r>
        <w:rPr>
          <w:rFonts w:ascii="Times New Roman" w:hAnsi="Times New Roman"/>
          <w:b w:val="false"/>
          <w:i w:val="false"/>
          <w:caps w:val="false"/>
          <w:smallCaps w:val="false"/>
          <w:color w:val="000000"/>
          <w:spacing w:val="0"/>
          <w:sz w:val="22"/>
        </w:rPr>
        <w:t xml:space="preserve">)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7</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exemptions attributable to such unreduced Total Payments).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(b)The Total Payments shall be reduced in the following order:  (i) reduction on a pro rata basis of any cash severance payments that are exempt from Section 409A of the Code (“</w:t>
      </w:r>
      <w:r>
        <w:rPr>
          <w:rFonts w:ascii="Times New Roman" w:hAnsi="Times New Roman"/>
          <w:b w:val="false"/>
          <w:i w:val="false"/>
          <w:caps w:val="false"/>
          <w:smallCaps w:val="false"/>
          <w:color w:val="000000"/>
          <w:spacing w:val="0"/>
          <w:sz w:val="22"/>
          <w:u w:val="single"/>
        </w:rPr>
        <w:t>Section 409A</w:t>
      </w:r>
      <w:r>
        <w:rPr>
          <w:rFonts w:ascii="Times New Roman" w:hAnsi="Times New Roman"/>
          <w:b w:val="false"/>
          <w:i w:val="false"/>
          <w:caps w:val="false"/>
          <w:smallCaps w:val="false"/>
          <w:color w:val="000000"/>
          <w:spacing w:val="0"/>
          <w:sz w:val="22"/>
        </w:rPr>
        <w:t>”), (ii) 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(c)All determinations regarding the application of this </w:t>
      </w:r>
      <w:r>
        <w:rPr>
          <w:rFonts w:ascii="Times New Roman" w:hAnsi="Times New Roman"/>
          <w:b w:val="false"/>
          <w:i w:val="false"/>
          <w:caps w:val="false"/>
          <w:smallCaps w:val="false"/>
          <w:color w:val="000000"/>
          <w:spacing w:val="0"/>
          <w:sz w:val="22"/>
          <w:u w:val="single"/>
        </w:rPr>
        <w:t>Section 8</w:t>
      </w:r>
      <w:r>
        <w:rPr>
          <w:rFonts w:ascii="Times New Roman" w:hAnsi="Times New Roman"/>
          <w:b w:val="false"/>
          <w:i w:val="false"/>
          <w:caps w:val="false"/>
          <w:smallCaps w:val="false"/>
          <w:color w:val="000000"/>
          <w:spacing w:val="0"/>
          <w:sz w:val="22"/>
        </w:rPr>
        <w:t xml:space="preserve"> shall be made by an accounting firm or consulting group with experience in performing calculations regarding the applicability of Section 280G of the Code and the Excise Tax selected by the Company (the “</w:t>
      </w:r>
      <w:r>
        <w:rPr>
          <w:rFonts w:ascii="Times New Roman" w:hAnsi="Times New Roman"/>
          <w:b w:val="false"/>
          <w:i w:val="false"/>
          <w:caps w:val="false"/>
          <w:smallCaps w:val="false"/>
          <w:color w:val="000000"/>
          <w:spacing w:val="0"/>
          <w:sz w:val="22"/>
          <w:u w:val="single"/>
        </w:rPr>
        <w:t>Independent Advisors</w:t>
      </w:r>
      <w:r>
        <w:rPr>
          <w:rFonts w:ascii="Times New Roman" w:hAnsi="Times New Roman"/>
          <w:b w:val="false"/>
          <w:i w:val="false"/>
          <w:caps w:val="false"/>
          <w:smallCaps w:val="false"/>
          <w:color w:val="000000"/>
          <w:spacing w:val="0"/>
          <w:sz w:val="22"/>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 xml:space="preserve">(d)In the event it is later determined that a greater reduction in the Total Payments should have been made to implement the objective and intent of this </w:t>
      </w:r>
      <w:r>
        <w:rPr>
          <w:rFonts w:ascii="Times New Roman" w:hAnsi="Times New Roman"/>
          <w:b w:val="false"/>
          <w:i w:val="false"/>
          <w:caps w:val="false"/>
          <w:smallCaps w:val="false"/>
          <w:color w:val="000000"/>
          <w:spacing w:val="0"/>
          <w:sz w:val="22"/>
          <w:u w:val="single"/>
        </w:rPr>
        <w:t>Section 8</w:t>
      </w:r>
      <w:r>
        <w:rPr>
          <w:rFonts w:ascii="Times New Roman" w:hAnsi="Times New Roman"/>
          <w:b w:val="false"/>
          <w:i w:val="false"/>
          <w:caps w:val="false"/>
          <w:smallCaps w:val="false"/>
          <w:color w:val="000000"/>
          <w:spacing w:val="0"/>
          <w:sz w:val="22"/>
        </w:rPr>
        <w:t xml:space="preserve">, the excess amount shall be returned promptly by Executive to the Company. </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9.</w:t>
      </w:r>
      <w:r>
        <w:rPr>
          <w:rFonts w:ascii="Times New Roman" w:hAnsi="Times New Roman"/>
          <w:b/>
          <w:i w:val="false"/>
          <w:caps w:val="false"/>
          <w:smallCaps w:val="false"/>
          <w:color w:val="000000"/>
          <w:spacing w:val="0"/>
          <w:sz w:val="22"/>
          <w:u w:val="single"/>
        </w:rPr>
        <w:t>Miscellaneous Provisions</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w:t>
      </w:r>
      <w:r>
        <w:rPr>
          <w:rFonts w:ascii="Times New Roman" w:hAnsi="Times New Roman"/>
          <w:b w:val="false"/>
          <w:i w:val="false"/>
          <w:caps w:val="false"/>
          <w:smallCaps w:val="false"/>
          <w:color w:val="000000"/>
          <w:spacing w:val="0"/>
          <w:sz w:val="22"/>
          <w:u w:val="single"/>
        </w:rPr>
        <w:t>Governing Law</w:t>
      </w:r>
      <w:r>
        <w:rPr>
          <w:rFonts w:ascii="Times New Roman" w:hAnsi="Times New Roman"/>
          <w:b w:val="false"/>
          <w:i w:val="false"/>
          <w:caps w:val="false"/>
          <w:smallCaps w:val="false"/>
          <w:color w:val="000000"/>
          <w:spacing w:val="0"/>
          <w:sz w:val="22"/>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(b)</w:t>
      </w:r>
      <w:r>
        <w:rPr>
          <w:rFonts w:ascii="Times New Roman" w:hAnsi="Times New Roman"/>
          <w:b w:val="false"/>
          <w:i w:val="false"/>
          <w:caps w:val="false"/>
          <w:smallCaps w:val="false"/>
          <w:color w:val="000000"/>
          <w:spacing w:val="0"/>
          <w:sz w:val="22"/>
          <w:u w:val="single"/>
        </w:rPr>
        <w:t>Validity</w:t>
      </w:r>
      <w:r>
        <w:rPr>
          <w:rFonts w:ascii="Times New Roman" w:hAnsi="Times New Roman"/>
          <w:b w:val="false"/>
          <w:i w:val="false"/>
          <w:caps w:val="false"/>
          <w:smallCaps w:val="false"/>
          <w:color w:val="000000"/>
          <w:spacing w:val="0"/>
          <w:sz w:val="22"/>
        </w:rPr>
        <w:t>.  The invalidity or unenforceability of any provision or provisions of this Agreement shall not affect the validity or enforceability of any other provision of this Agreement, which shall remain in full force and effect.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(c)</w:t>
      </w:r>
      <w:r>
        <w:rPr>
          <w:rFonts w:ascii="Times New Roman" w:hAnsi="Times New Roman"/>
          <w:b w:val="false"/>
          <w:i w:val="false"/>
          <w:caps w:val="false"/>
          <w:smallCaps w:val="false"/>
          <w:color w:val="000000"/>
          <w:spacing w:val="0"/>
          <w:sz w:val="22"/>
          <w:u w:val="single"/>
        </w:rPr>
        <w:t>Notices</w:t>
      </w:r>
      <w:r>
        <w:rPr>
          <w:rFonts w:ascii="Times New Roman" w:hAnsi="Times New Roman"/>
          <w:b w:val="false"/>
          <w:i w:val="false"/>
          <w:caps w:val="false"/>
          <w:smallCaps w:val="false"/>
          <w:color w:val="000000"/>
          <w:spacing w:val="0"/>
          <w:sz w:val="22"/>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(i)If to the Company, to the General Counsel of the Company at the Company’s headquarters,</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8</w:t>
      </w:r>
    </w:p>
    <w:p>
      <w:pPr>
        <w:pStyle w:val="HorizontalLine"/>
        <w:rPr/>
      </w:pPr>
      <w:r>
        <w:rPr/>
      </w:r>
    </w:p>
    <w:p>
      <w:pPr>
        <w:pStyle w:val="TextBody"/>
        <w:spacing w:before="0" w:after="0"/>
        <w:rPr/>
      </w:pPr>
      <w:r>
        <w:rPr/>
        <w: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strike w:val="false"/>
          <w:dstrike w:val="false"/>
          <w:color w:val="000000"/>
          <w:spacing w:val="0"/>
          <w:sz w:val="22"/>
          <w:u w:val="none"/>
          <w:effect w:val="none"/>
        </w:rPr>
        <w:t>(ii)</w:t>
      </w:r>
      <w:r>
        <w:rPr>
          <w:rFonts w:ascii="Times New Roman" w:hAnsi="Times New Roman"/>
          <w:b w:val="false"/>
          <w:i w:val="false"/>
          <w:caps w:val="false"/>
          <w:smallCaps w:val="false"/>
          <w:color w:val="000000"/>
          <w:spacing w:val="0"/>
          <w:sz w:val="22"/>
        </w:rPr>
        <w:t>If to Executive, to the last address that the Company has in its personnel records for Executive, or</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(iii)At any other address as any Party shall have specified by notice in writing to the other Party.</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(d)</w:t>
      </w:r>
      <w:r>
        <w:rPr>
          <w:rFonts w:ascii="Times New Roman" w:hAnsi="Times New Roman"/>
          <w:b w:val="false"/>
          <w:i w:val="false"/>
          <w:caps w:val="false"/>
          <w:smallCaps w:val="false"/>
          <w:color w:val="000000"/>
          <w:spacing w:val="0"/>
          <w:sz w:val="22"/>
          <w:u w:val="single"/>
        </w:rPr>
        <w:t>Counterparts</w:t>
      </w:r>
      <w:r>
        <w:rPr>
          <w:rFonts w:ascii="Times New Roman" w:hAnsi="Times New Roman"/>
          <w:b w:val="false"/>
          <w:i w:val="false"/>
          <w:caps w:val="false"/>
          <w:smallCaps w:val="false"/>
          <w:color w:val="000000"/>
          <w:spacing w:val="0"/>
          <w:sz w:val="22"/>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(e)</w:t>
      </w:r>
      <w:r>
        <w:rPr>
          <w:rFonts w:ascii="Times New Roman" w:hAnsi="Times New Roman"/>
          <w:b w:val="false"/>
          <w:i w:val="false"/>
          <w:caps w:val="false"/>
          <w:smallCaps w:val="false"/>
          <w:color w:val="000000"/>
          <w:spacing w:val="0"/>
          <w:sz w:val="22"/>
          <w:u w:val="single"/>
        </w:rPr>
        <w:t>Entire Agreement</w:t>
      </w:r>
      <w:r>
        <w:rPr>
          <w:rFonts w:ascii="Times New Roman" w:hAnsi="Times New Roman"/>
          <w:b w:val="false"/>
          <w:i w:val="false"/>
          <w:caps w:val="false"/>
          <w:smallCaps w:val="false"/>
          <w:color w:val="000000"/>
          <w:spacing w:val="0"/>
          <w:sz w:val="22"/>
        </w:rPr>
        <w:t xml:space="preserve">.  The terms of this Agreement, and the Restrictive Covenant Agreement incorporated herein by reference as set forth in </w:t>
      </w:r>
      <w:r>
        <w:rPr>
          <w:rFonts w:ascii="Times New Roman" w:hAnsi="Times New Roman"/>
          <w:b w:val="false"/>
          <w:i w:val="false"/>
          <w:caps w:val="false"/>
          <w:smallCaps w:val="false"/>
          <w:color w:val="000000"/>
          <w:spacing w:val="0"/>
          <w:sz w:val="22"/>
          <w:u w:val="single"/>
        </w:rPr>
        <w:t>Section 5</w:t>
      </w:r>
      <w:r>
        <w:rPr>
          <w:rFonts w:ascii="Times New Roman" w:hAnsi="Times New Roman"/>
          <w:b w:val="false"/>
          <w:i w:val="false"/>
          <w:caps w:val="false"/>
          <w:smallCaps w:val="false"/>
          <w:color w:val="000000"/>
          <w:spacing w:val="0"/>
          <w:sz w:val="22"/>
        </w:rPr>
        <w:t xml:space="preserve">, are intended by the Parties to be the final expression of their agreement with respect to the subject matter hereof </w:t>
      </w:r>
      <w:r>
        <w:rPr>
          <w:rFonts w:ascii="Times New Roman" w:hAnsi="Times New Roman"/>
          <w:b w:val="false"/>
          <w:i w:val="false"/>
          <w:caps w:val="false"/>
          <w:smallCaps w:val="false"/>
          <w:color w:val="000000"/>
          <w:spacing w:val="-3"/>
          <w:sz w:val="22"/>
        </w:rPr>
        <w:t>and supersede all prior understandings and agreements, whether written or oral, including any prior employment offer letter or employment agreement between Executive and the Company</w:t>
      </w:r>
      <w:r>
        <w:rPr>
          <w:rFonts w:ascii="Times New Roman" w:hAnsi="Times New Roman"/>
          <w:b w:val="false"/>
          <w:i w:val="false"/>
          <w:caps w:val="false"/>
          <w:smallCaps w:val="false"/>
          <w:color w:val="000000"/>
          <w:spacing w:val="0"/>
          <w:sz w:val="22"/>
        </w:rPr>
        <w:t xml:space="preserve">.  The Parties further intend that this Agreement shall constitute the complete and exclusive statement of their terms and that no extrinsic evidence whatsoever may be introduced in any judicial, administrative, or other legal proceeding to vary the terms of this Agreement.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(f)</w:t>
      </w:r>
      <w:r>
        <w:rPr>
          <w:rFonts w:ascii="Times New Roman" w:hAnsi="Times New Roman"/>
          <w:b w:val="false"/>
          <w:i w:val="false"/>
          <w:caps w:val="false"/>
          <w:smallCaps w:val="false"/>
          <w:color w:val="000000"/>
          <w:spacing w:val="0"/>
          <w:sz w:val="22"/>
          <w:u w:val="single"/>
        </w:rPr>
        <w:t>Amendments; Waivers</w:t>
      </w:r>
      <w:r>
        <w:rPr>
          <w:rFonts w:ascii="Times New Roman" w:hAnsi="Times New Roman"/>
          <w:b w:val="false"/>
          <w:i w:val="false"/>
          <w:caps w:val="false"/>
          <w:smallCaps w:val="false"/>
          <w:color w:val="000000"/>
          <w:spacing w:val="0"/>
          <w:sz w:val="22"/>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hAnsi="Times New Roman"/>
          <w:b w:val="false"/>
          <w:i/>
          <w:caps w:val="false"/>
          <w:smallCaps w:val="false"/>
          <w:color w:val="000000"/>
          <w:spacing w:val="0"/>
          <w:sz w:val="22"/>
        </w:rPr>
        <w:t>provided</w:t>
      </w:r>
      <w:r>
        <w:rPr>
          <w:rFonts w:ascii="Times New Roman" w:hAnsi="Times New Roman"/>
          <w:b w:val="false"/>
          <w:i w:val="false"/>
          <w:caps w:val="false"/>
          <w:smallCaps w:val="false"/>
          <w:color w:val="000000"/>
          <w:spacing w:val="0"/>
          <w:sz w:val="22"/>
        </w:rPr>
        <w:t xml:space="preserve">, </w:t>
      </w:r>
      <w:r>
        <w:rPr>
          <w:rFonts w:ascii="Times New Roman" w:hAnsi="Times New Roman"/>
          <w:b w:val="false"/>
          <w:i/>
          <w:caps w:val="false"/>
          <w:smallCaps w:val="false"/>
          <w:color w:val="000000"/>
          <w:spacing w:val="0"/>
          <w:sz w:val="22"/>
        </w:rPr>
        <w:t>however</w:t>
      </w:r>
      <w:r>
        <w:rPr>
          <w:rFonts w:ascii="Times New Roman" w:hAnsi="Times New Roman"/>
          <w:b w:val="false"/>
          <w:i w:val="false"/>
          <w:caps w:val="false"/>
          <w:smallCaps w:val="false"/>
          <w:color w:val="000000"/>
          <w:spacing w:val="0"/>
          <w:sz w:val="22"/>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(g)</w:t>
      </w:r>
      <w:r>
        <w:rPr>
          <w:rFonts w:ascii="Times New Roman" w:hAnsi="Times New Roman"/>
          <w:b w:val="false"/>
          <w:i w:val="false"/>
          <w:caps w:val="false"/>
          <w:smallCaps w:val="false"/>
          <w:color w:val="000000"/>
          <w:spacing w:val="0"/>
          <w:sz w:val="22"/>
          <w:u w:val="single"/>
        </w:rPr>
        <w:t>Construction</w:t>
      </w:r>
      <w:r>
        <w:rPr>
          <w:rFonts w:ascii="Times New Roman" w:hAnsi="Times New Roman"/>
          <w:b w:val="false"/>
          <w:i w:val="false"/>
          <w:caps w:val="false"/>
          <w:smallCaps w:val="false"/>
          <w:color w:val="000000"/>
          <w:spacing w:val="0"/>
          <w:sz w:val="22"/>
        </w:rPr>
        <w:t xml:space="preserve">.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(h)</w:t>
      </w:r>
      <w:r>
        <w:rPr>
          <w:rFonts w:ascii="Times New Roman" w:hAnsi="Times New Roman"/>
          <w:b w:val="false"/>
          <w:i w:val="false"/>
          <w:caps w:val="false"/>
          <w:smallCaps w:val="false"/>
          <w:color w:val="000000"/>
          <w:spacing w:val="0"/>
          <w:sz w:val="22"/>
          <w:u w:val="single"/>
        </w:rPr>
        <w:t>Arbitration</w:t>
      </w:r>
      <w:r>
        <w:rPr>
          <w:rFonts w:ascii="Times New Roman" w:hAnsi="Times New Roman"/>
          <w:b w:val="false"/>
          <w:i w:val="false"/>
          <w:caps w:val="false"/>
          <w:smallCaps w:val="false"/>
          <w:color w:val="000000"/>
          <w:spacing w:val="0"/>
          <w:sz w:val="22"/>
        </w:rPr>
        <w:t xml:space="preserve">.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 JAMS/Endispute; (ii) each Party to 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9</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Times New Roman" w:hAnsi="Times New Roman"/>
          <w:b w:val="false"/>
          <w:i w:val="false"/>
          <w:caps w:val="false"/>
          <w:smallCaps w:val="false"/>
          <w:color w:val="000000"/>
          <w:spacing w:val="0"/>
          <w:sz w:val="22"/>
          <w:u w:val="single"/>
        </w:rPr>
        <w:t>AAA</w:t>
      </w:r>
      <w:r>
        <w:rPr>
          <w:rFonts w:ascii="Times New Roman" w:hAnsi="Times New Roman"/>
          <w:b w:val="false"/>
          <w:i w:val="false"/>
          <w:caps w:val="false"/>
          <w:smallCaps w:val="false"/>
          <w:color w:val="000000"/>
          <w:spacing w:val="0"/>
          <w:sz w:val="22"/>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w:t>
      </w:r>
      <w:r>
        <w:rPr>
          <w:rFonts w:ascii="Times New Roman" w:hAnsi="Times New Roman"/>
          <w:b w:val="false"/>
          <w:i w:val="false"/>
          <w:caps w:val="false"/>
          <w:smallCaps w:val="false"/>
          <w:color w:val="000000"/>
          <w:spacing w:val="0"/>
          <w:sz w:val="22"/>
          <w:u w:val="single"/>
        </w:rPr>
        <w:t>Enforcement</w:t>
      </w:r>
      <w:r>
        <w:rPr>
          <w:rFonts w:ascii="Times New Roman" w:hAnsi="Times New Roman"/>
          <w:b w:val="false"/>
          <w:i w:val="false"/>
          <w:caps w:val="false"/>
          <w:smallCaps w:val="false"/>
          <w:color w:val="000000"/>
          <w:spacing w:val="0"/>
          <w:sz w:val="22"/>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(j)</w:t>
      </w:r>
      <w:r>
        <w:rPr>
          <w:rFonts w:ascii="Times New Roman" w:hAnsi="Times New Roman"/>
          <w:b w:val="false"/>
          <w:i w:val="false"/>
          <w:caps w:val="false"/>
          <w:smallCaps w:val="false"/>
          <w:color w:val="000000"/>
          <w:spacing w:val="0"/>
          <w:sz w:val="22"/>
          <w:u w:val="single"/>
        </w:rPr>
        <w:t>Withholding</w:t>
      </w:r>
      <w:r>
        <w:rPr>
          <w:rFonts w:ascii="Times New Roman" w:hAnsi="Times New Roman"/>
          <w:b w:val="false"/>
          <w:i w:val="false"/>
          <w:caps w:val="false"/>
          <w:smallCaps w:val="false"/>
          <w:color w:val="000000"/>
          <w:spacing w:val="0"/>
          <w:sz w:val="22"/>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(k)</w:t>
      </w:r>
      <w:r>
        <w:rPr>
          <w:rFonts w:ascii="Times New Roman" w:hAnsi="Times New Roman"/>
          <w:b w:val="false"/>
          <w:i w:val="false"/>
          <w:caps w:val="false"/>
          <w:smallCaps w:val="false"/>
          <w:color w:val="000000"/>
          <w:spacing w:val="0"/>
          <w:sz w:val="22"/>
          <w:u w:val="single"/>
        </w:rPr>
        <w:t>Section 409A</w:t>
      </w:r>
      <w:r>
        <w:rPr>
          <w:rFonts w:ascii="Times New Roman" w:hAnsi="Times New Roman"/>
          <w:b w:val="false"/>
          <w:i w:val="false"/>
          <w:caps w:val="false"/>
          <w:smallCaps w:val="false"/>
          <w:color w:val="000000"/>
          <w:spacing w:val="0"/>
          <w:sz w:val="22"/>
        </w:rPr>
        <w: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w:t>
      </w:r>
      <w:r>
        <w:rPr>
          <w:rFonts w:ascii="Times New Roman" w:hAnsi="Times New Roman"/>
          <w:b w:val="false"/>
          <w:i/>
          <w:caps w:val="false"/>
          <w:smallCaps w:val="false"/>
          <w:color w:val="000000"/>
          <w:spacing w:val="0"/>
          <w:sz w:val="22"/>
        </w:rPr>
        <w:t>General.</w:t>
      </w:r>
      <w:r>
        <w:rPr>
          <w:rFonts w:ascii="Times New Roman" w:hAnsi="Times New Roman"/>
          <w:b w:val="false"/>
          <w:i w:val="false"/>
          <w:caps w:val="false"/>
          <w:smallCaps w:val="false"/>
          <w:color w:val="000000"/>
          <w:spacing w:val="0"/>
          <w:sz w:val="22"/>
        </w:rPr>
        <w:t>  The intent of the Parties is that the payments and benefits under this Agreement comply with or be exempt from Section 409A and, accordingly, to the maximum extent permitted, this Agreement shall be interpreted to be in compliance therewith.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w:t>
      </w:r>
      <w:r>
        <w:rPr>
          <w:rFonts w:ascii="Times New Roman" w:hAnsi="Times New Roman"/>
          <w:b w:val="false"/>
          <w:i/>
          <w:caps w:val="false"/>
          <w:smallCaps w:val="false"/>
          <w:color w:val="000000"/>
          <w:spacing w:val="0"/>
          <w:sz w:val="22"/>
        </w:rPr>
        <w:t>Separation from Service.  </w:t>
      </w:r>
      <w:r>
        <w:rPr>
          <w:rFonts w:ascii="Times New Roman" w:hAnsi="Times New Roman"/>
          <w:b w:val="false"/>
          <w:i w:val="false"/>
          <w:caps w:val="false"/>
          <w:smallCaps w:val="false"/>
          <w:color w:val="000000"/>
          <w:spacing w:val="0"/>
          <w:sz w:val="22"/>
        </w:rPr>
        <w:t>Notwithstanding anything in this Agreement to the contrary, any compensation or 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hAnsi="Times New Roman"/>
          <w:b w:val="false"/>
          <w:i w:val="false"/>
          <w:caps w:val="false"/>
          <w:smallCaps w:val="false"/>
          <w:color w:val="000000"/>
          <w:spacing w:val="0"/>
          <w:sz w:val="22"/>
          <w:u w:val="single"/>
        </w:rPr>
        <w:t>Separation from Service</w:t>
      </w:r>
      <w:r>
        <w:rPr>
          <w:rFonts w:ascii="Times New Roman" w:hAnsi="Times New Roman"/>
          <w:b w:val="false"/>
          <w:i w:val="false"/>
          <w:caps w:val="false"/>
          <w:smallCaps w:val="false"/>
          <w:color w:val="000000"/>
          <w:spacing w:val="0"/>
          <w:sz w:val="22"/>
        </w:rPr>
        <w:t xml:space="preserve">”) and, except as provided below, any such compensation or benefits described in </w:t>
      </w:r>
      <w:r>
        <w:rPr>
          <w:rFonts w:ascii="Times New Roman" w:hAnsi="Times New Roman"/>
          <w:b w:val="false"/>
          <w:i w:val="false"/>
          <w:caps w:val="false"/>
          <w:smallCaps w:val="false"/>
          <w:color w:val="000000"/>
          <w:spacing w:val="0"/>
          <w:sz w:val="22"/>
          <w:u w:val="single"/>
        </w:rPr>
        <w:t xml:space="preserve">Section 4 </w:t>
      </w:r>
      <w:r>
        <w:rPr>
          <w:rFonts w:ascii="Times New Roman" w:hAnsi="Times New Roman"/>
          <w:b w:val="false"/>
          <w:i w:val="false"/>
          <w:caps w:val="false"/>
          <w:smallCaps w:val="false"/>
          <w:color w:val="000000"/>
          <w:spacing w:val="0"/>
          <w:sz w:val="22"/>
        </w:rPr>
        <w:t>shall not be paid, or, in the case of installments, shall not commence payment, until the thirtieth (30th) day following Executive’s Separation from Service (the “</w:t>
      </w:r>
      <w:r>
        <w:rPr>
          <w:rFonts w:ascii="Times New Roman" w:hAnsi="Times New Roman"/>
          <w:b w:val="false"/>
          <w:i w:val="false"/>
          <w:caps w:val="false"/>
          <w:smallCaps w:val="false"/>
          <w:color w:val="000000"/>
          <w:spacing w:val="0"/>
          <w:sz w:val="22"/>
          <w:u w:val="single"/>
        </w:rPr>
        <w:t>First Payment Date</w:t>
      </w:r>
      <w:r>
        <w:rPr>
          <w:rFonts w:ascii="Times New Roman" w:hAnsi="Times New Roman"/>
          <w:b w:val="false"/>
          <w:i w:val="false"/>
          <w:caps w:val="false"/>
          <w:smallCaps w:val="false"/>
          <w:color w:val="000000"/>
          <w:spacing w:val="0"/>
          <w:sz w:val="22"/>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(iii)</w:t>
      </w:r>
      <w:r>
        <w:rPr>
          <w:rFonts w:ascii="Times New Roman" w:hAnsi="Times New Roman"/>
          <w:b w:val="false"/>
          <w:i/>
          <w:caps w:val="false"/>
          <w:smallCaps w:val="false"/>
          <w:color w:val="000000"/>
          <w:spacing w:val="0"/>
          <w:sz w:val="22"/>
        </w:rPr>
        <w:t>Specified Employee.</w:t>
      </w:r>
      <w:r>
        <w:rPr>
          <w:rFonts w:ascii="Times New Roman" w:hAnsi="Times New Roman"/>
          <w:b w:val="false"/>
          <w:i w:val="false"/>
          <w:caps w:val="false"/>
          <w:smallCaps w:val="false"/>
          <w:color w:val="000000"/>
          <w:spacing w:val="0"/>
          <w:sz w:val="22"/>
        </w:rPr>
        <w:t xml:space="preserve">  Notwithstanding anything in this Agreement to the contrary, if Executive is deemed by the Company at the time of Executive’s Separation from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10</w:t>
      </w:r>
    </w:p>
    <w:p>
      <w:pPr>
        <w:pStyle w:val="HorizontalLine"/>
        <w:rPr/>
      </w:pPr>
      <w:r>
        <w:rPr/>
      </w:r>
    </w:p>
    <w:p>
      <w:pPr>
        <w:pStyle w:val="TextBody"/>
        <w:spacing w:before="0" w:after="0"/>
        <w:rPr/>
      </w:pPr>
      <w:r>
        <w:rPr/>
        <w:t> </w:t>
      </w:r>
    </w:p>
    <w:p>
      <w:pPr>
        <w:pStyle w:val="TextBody"/>
        <w:spacing w:before="0" w:after="24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(iv)</w:t>
      </w:r>
      <w:r>
        <w:rPr>
          <w:rFonts w:ascii="Times New Roman" w:hAnsi="Times New Roman"/>
          <w:b w:val="false"/>
          <w:i/>
          <w:caps w:val="false"/>
          <w:smallCaps w:val="false"/>
          <w:color w:val="000000"/>
          <w:spacing w:val="0"/>
          <w:sz w:val="22"/>
        </w:rPr>
        <w:t>Expense Reimbursements.  </w:t>
      </w:r>
      <w:r>
        <w:rPr>
          <w:rFonts w:ascii="Times New Roman" w:hAnsi="Times New Roman"/>
          <w:b w:val="false"/>
          <w:i w:val="false"/>
          <w:caps w:val="false"/>
          <w:smallCaps w:val="false"/>
          <w:color w:val="000000"/>
          <w:spacing w:val="0"/>
          <w:sz w:val="22"/>
        </w:rPr>
        <w:t>To the extent that any reimbursements under this Agreement are subject to Section 409A, (i) any such reimbursements payable to Executive shall be paid to Executive no later than December 31 of the year following the year in which the expense was incurred, (ii) Executive shall submit Executive’s reimbursement request promptly following the date the expense is incurred, (iii) the amount of expenses reimbursed in one year shall not affect the amount eligible for reimbursement in any subsequent year, other than medical expenses referred to in Section 105(b) of the Code, and (iv) Executive’s right to reimbursement under this Agreement will not be subject to liquidation or exchange for another benefit.</w:t>
      </w:r>
    </w:p>
    <w:p>
      <w:pPr>
        <w:pStyle w:val="TextBody"/>
        <w:spacing w:before="0" w:after="240"/>
        <w:ind w:left="720" w:right="0" w:hanging="0"/>
        <w:jc w:val="left"/>
        <w:rPr>
          <w:rFonts w:ascii="Times New Roman" w:hAnsi="Times New Roman"/>
          <w:b w:val="false"/>
          <w:i w:val="false"/>
          <w:caps w:val="false"/>
          <w:smallCaps w:val="false"/>
          <w:color w:val="000000"/>
          <w:spacing w:val="0"/>
          <w:sz w:val="22"/>
        </w:rPr>
      </w:pPr>
      <w:r>
        <w:rPr>
          <w:rFonts w:ascii="Times New Roman" w:hAnsi="Times New Roman"/>
          <w:b w:val="false"/>
          <w:i w:val="false"/>
          <w:caps w:val="false"/>
          <w:smallCaps w:val="false"/>
          <w:color w:val="000000"/>
          <w:spacing w:val="0"/>
          <w:sz w:val="22"/>
        </w:rPr>
        <w:t>(v)</w:t>
      </w:r>
      <w:r>
        <w:rPr>
          <w:rFonts w:ascii="Times New Roman" w:hAnsi="Times New Roman"/>
          <w:b w:val="false"/>
          <w:i/>
          <w:caps w:val="false"/>
          <w:smallCaps w:val="false"/>
          <w:color w:val="000000"/>
          <w:spacing w:val="0"/>
          <w:sz w:val="22"/>
        </w:rPr>
        <w:t>Installments.</w:t>
      </w:r>
      <w:r>
        <w:rPr>
          <w:rFonts w:ascii="Times New Roman" w:hAnsi="Times New Roman"/>
          <w:b w:val="false"/>
          <w:i w:val="false"/>
          <w:caps w:val="false"/>
          <w:smallCaps w:val="false"/>
          <w:color w:val="000000"/>
          <w:spacing w:val="0"/>
          <w:sz w:val="22"/>
        </w:rPr>
        <w:t>  Executive’s right to receive any installment payments under this Agreement, including 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pStyle w:val="TextBody"/>
        <w:spacing w:before="0" w:after="240"/>
        <w:ind w:left="720" w:right="0" w:hanging="0"/>
        <w:jc w:val="left"/>
        <w:rPr>
          <w:rFonts w:ascii="Times New Roman Bold" w:hAnsi="Times New Roman Bold"/>
          <w:b/>
          <w:i w:val="false"/>
          <w:caps w:val="false"/>
          <w:smallCaps w:val="false"/>
          <w:color w:val="000000"/>
          <w:spacing w:val="0"/>
          <w:sz w:val="24"/>
        </w:rPr>
      </w:pPr>
      <w:r>
        <w:rPr>
          <w:rFonts w:ascii="Times New Roman Bold" w:hAnsi="Times New Roman Bold"/>
          <w:b/>
          <w:i w:val="false"/>
          <w:caps w:val="false"/>
          <w:smallCaps w:val="false"/>
          <w:color w:val="000000"/>
          <w:spacing w:val="0"/>
          <w:sz w:val="24"/>
        </w:rPr>
        <w:t>10.</w:t>
      </w:r>
      <w:r>
        <w:rPr>
          <w:rFonts w:ascii="Times New Roman" w:hAnsi="Times New Roman"/>
          <w:b/>
          <w:i w:val="false"/>
          <w:caps w:val="false"/>
          <w:smallCaps w:val="false"/>
          <w:color w:val="000000"/>
          <w:spacing w:val="0"/>
          <w:sz w:val="22"/>
          <w:u w:val="single"/>
        </w:rPr>
        <w:t>Executive Acknowledgement</w:t>
      </w:r>
      <w:r>
        <w:rPr>
          <w:rFonts w:ascii="Times New Roman" w:hAnsi="Times New Roman"/>
          <w:b/>
          <w:i w:val="false"/>
          <w:caps w:val="false"/>
          <w:smallCaps w:val="false"/>
          <w:strike w:val="false"/>
          <w:dstrike w:val="false"/>
          <w:color w:val="000000"/>
          <w:spacing w:val="0"/>
          <w:sz w:val="22"/>
          <w:u w:val="none"/>
          <w:effect w:val="none"/>
        </w:rPr>
        <w:t>.</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pStyle w:val="TextBody"/>
        <w:spacing w:before="0" w:after="24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t>
      </w:r>
      <w:r>
        <w:rPr>
          <w:rFonts w:ascii="Times New Roman" w:hAnsi="Times New Roman"/>
          <w:b w:val="false"/>
          <w:i/>
          <w:caps w:val="false"/>
          <w:smallCaps w:val="false"/>
          <w:sz w:val="22"/>
        </w:rPr>
        <w:t>Signature Page Follows</w:t>
      </w:r>
      <w:r>
        <w:rPr>
          <w:rFonts w:ascii="Times New Roman" w:hAnsi="Times New Roman"/>
          <w:b w:val="false"/>
          <w:i w:val="false"/>
          <w:caps w:val="false"/>
          <w:smallCaps w:val="false"/>
          <w:sz w:val="22"/>
        </w:rPr>
        <w:t>]</w:t>
      </w:r>
    </w:p>
    <w:p>
      <w:pPr>
        <w:pStyle w:val="TextBody"/>
        <w:spacing w:before="0" w:after="240"/>
        <w:jc w:val="center"/>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w:t>
      </w:r>
    </w:p>
    <w:p>
      <w:pPr>
        <w:pStyle w:val="HorizontalLine"/>
        <w:rPr/>
      </w:pPr>
      <w:r>
        <w:rPr/>
      </w:r>
    </w:p>
    <w:p>
      <w:pPr>
        <w:pStyle w:val="TextBody"/>
        <w:spacing w:before="0" w:after="240"/>
        <w:rPr/>
      </w:pPr>
      <w:r>
        <w:rPr/>
        <w:t> </w:t>
      </w:r>
    </w:p>
    <w:p>
      <w:pPr>
        <w:pStyle w:val="TextBody"/>
        <w:spacing w:before="0" w:after="0"/>
        <w:rPr/>
      </w:pPr>
      <w:r>
        <w:rPr/>
        <w:t>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IN WITNESS WHEREOF, the Parties have executed this Agreement on the date and year first above written.</w:t>
      </w:r>
    </w:p>
    <w:p>
      <w:pPr>
        <w:pStyle w:val="TextBody"/>
        <w:spacing w:before="0" w:after="0"/>
        <w:rPr/>
      </w:pPr>
      <w:r>
        <w:rPr/>
        <w:t> </w:t>
      </w:r>
    </w:p>
    <w:tbl>
      <w:tblPr>
        <w:tblW w:w="4150" w:type="dxa"/>
        <w:jc w:val="right"/>
        <w:tblInd w:w="0" w:type="dxa"/>
        <w:tblCellMar>
          <w:top w:w="0" w:type="dxa"/>
          <w:left w:w="0" w:type="dxa"/>
          <w:bottom w:w="0" w:type="dxa"/>
          <w:right w:w="0" w:type="dxa"/>
        </w:tblCellMar>
      </w:tblPr>
      <w:tblGrid>
        <w:gridCol w:w="635"/>
        <w:gridCol w:w="60"/>
        <w:gridCol w:w="3455"/>
      </w:tblGrid>
      <w:tr>
        <w:trPr/>
        <w:tc>
          <w:tcPr>
            <w:tcW w:w="4150" w:type="dxa"/>
            <w:gridSpan w:val="3"/>
            <w:tcBorders/>
            <w:shd w:fill="auto" w:val="clear"/>
          </w:tcPr>
          <w:p>
            <w:pPr>
              <w:pStyle w:val="TableContents"/>
              <w:spacing w:before="0" w:after="0"/>
              <w:ind w:left="0" w:right="0" w:hanging="0"/>
              <w:jc w:val="left"/>
              <w:rPr>
                <w:rFonts w:ascii="Times New Roman" w:hAnsi="Times New Roman"/>
                <w:b/>
                <w:i w:val="false"/>
                <w:caps w:val="false"/>
                <w:smallCaps w:val="false"/>
                <w:sz w:val="22"/>
              </w:rPr>
            </w:pPr>
            <w:r>
              <w:rPr>
                <w:rFonts w:ascii="Times New Roman" w:hAnsi="Times New Roman"/>
                <w:b/>
                <w:i w:val="false"/>
                <w:caps w:val="false"/>
                <w:smallCaps w:val="false"/>
                <w:sz w:val="22"/>
              </w:rPr>
              <w:t>ATEA PHARMACEUTICALS, INC.</w:t>
            </w:r>
          </w:p>
        </w:tc>
      </w:tr>
      <w:tr>
        <w:trPr/>
        <w:tc>
          <w:tcPr>
            <w:tcW w:w="635" w:type="dxa"/>
            <w:tcBorders/>
            <w:shd w:fill="auto" w:val="clear"/>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left"/>
              <w:rPr/>
            </w:pPr>
            <w:r>
              <w:rPr/>
              <w:t> </w:t>
            </w:r>
          </w:p>
        </w:tc>
        <w:tc>
          <w:tcPr>
            <w:tcW w:w="3455" w:type="dxa"/>
            <w:tcBorders/>
            <w:shd w:fill="auto" w:val="clear"/>
          </w:tcPr>
          <w:p>
            <w:pPr>
              <w:pStyle w:val="TableContents"/>
              <w:spacing w:before="0" w:after="0"/>
              <w:ind w:left="0" w:right="0" w:hanging="0"/>
              <w:jc w:val="left"/>
              <w:rPr/>
            </w:pPr>
            <w:r>
              <w:rPr/>
              <w:t> </w:t>
            </w:r>
          </w:p>
        </w:tc>
      </w:tr>
      <w:tr>
        <w:trPr/>
        <w:tc>
          <w:tcPr>
            <w:tcW w:w="635"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w:t>
            </w:r>
          </w:p>
        </w:tc>
        <w:tc>
          <w:tcPr>
            <w:tcW w:w="60" w:type="dxa"/>
            <w:tcBorders>
              <w:bottom w:val="single" w:sz="6" w:space="0" w:color="000000"/>
            </w:tcBorders>
            <w:shd w:fill="auto" w:val="clear"/>
            <w:tcMar>
              <w:bottom w:w="28" w:type="dxa"/>
            </w:tcMar>
          </w:tcPr>
          <w:p>
            <w:pPr>
              <w:pStyle w:val="TableContents"/>
              <w:spacing w:before="0" w:after="0"/>
              <w:ind w:left="0" w:right="0" w:hanging="0"/>
              <w:jc w:val="left"/>
              <w:rPr/>
            </w:pPr>
            <w:r>
              <w:rPr/>
              <w:t> </w:t>
            </w:r>
          </w:p>
        </w:tc>
        <w:tc>
          <w:tcPr>
            <w:tcW w:w="3455"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 Jean-Pierre Sommadossi, Ph.D.</w:t>
            </w:r>
          </w:p>
        </w:tc>
      </w:tr>
      <w:tr>
        <w:trPr/>
        <w:tc>
          <w:tcPr>
            <w:tcW w:w="635" w:type="dxa"/>
            <w:tcBorders/>
            <w:shd w:fill="auto" w:val="cle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Name:</w:t>
            </w:r>
          </w:p>
        </w:tc>
        <w:tc>
          <w:tcPr>
            <w:tcW w:w="60" w:type="dxa"/>
            <w:tcBorders/>
            <w:shd w:fill="auto" w:val="clear"/>
          </w:tcPr>
          <w:p>
            <w:pPr>
              <w:pStyle w:val="TableContents"/>
              <w:spacing w:before="0" w:after="0"/>
              <w:ind w:left="0" w:right="0" w:hanging="0"/>
              <w:jc w:val="left"/>
              <w:rPr/>
            </w:pPr>
            <w:r>
              <w:rPr/>
              <w:t> </w:t>
            </w:r>
          </w:p>
        </w:tc>
        <w:tc>
          <w:tcPr>
            <w:tcW w:w="3455" w:type="dxa"/>
            <w:tcBorders>
              <w:top w:val="single" w:sz="6" w:space="0" w:color="000000"/>
            </w:tcBorders>
            <w:shd w:fill="auto" w:val="clear"/>
            <w:tcMar>
              <w:top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Jean-Pierre Sommadossi, Ph.D.</w:t>
            </w:r>
          </w:p>
        </w:tc>
      </w:tr>
      <w:tr>
        <w:trPr/>
        <w:tc>
          <w:tcPr>
            <w:tcW w:w="635" w:type="dxa"/>
            <w:tcBorders/>
            <w:shd w:fill="auto" w:val="cle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Title:</w:t>
            </w:r>
          </w:p>
        </w:tc>
        <w:tc>
          <w:tcPr>
            <w:tcW w:w="60" w:type="dxa"/>
            <w:tcBorders/>
            <w:shd w:fill="auto" w:val="clear"/>
          </w:tcPr>
          <w:p>
            <w:pPr>
              <w:pStyle w:val="TableContents"/>
              <w:spacing w:before="0" w:after="0"/>
              <w:ind w:left="0" w:right="0" w:hanging="0"/>
              <w:jc w:val="left"/>
              <w:rPr/>
            </w:pPr>
            <w:r>
              <w:rPr/>
              <w:t> </w:t>
            </w:r>
          </w:p>
        </w:tc>
        <w:tc>
          <w:tcPr>
            <w:tcW w:w="3455" w:type="dxa"/>
            <w:tcBorders/>
            <w:shd w:fill="auto" w:val="cle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Chairman &amp; Chief Executive Officer</w:t>
            </w:r>
          </w:p>
        </w:tc>
      </w:tr>
    </w:tbl>
    <w:p>
      <w:pPr>
        <w:pStyle w:val="TextBody"/>
        <w:spacing w:before="0" w:after="0"/>
        <w:rPr/>
      </w:pPr>
      <w:r>
        <w:rPr/>
        <w:t> </w:t>
      </w:r>
    </w:p>
    <w:tbl>
      <w:tblPr>
        <w:tblW w:w="1579" w:type="dxa"/>
        <w:jc w:val="right"/>
        <w:tblInd w:w="0" w:type="dxa"/>
        <w:tblCellMar>
          <w:top w:w="0" w:type="dxa"/>
          <w:left w:w="0" w:type="dxa"/>
          <w:bottom w:w="0" w:type="dxa"/>
          <w:right w:w="0" w:type="dxa"/>
        </w:tblCellMar>
      </w:tblPr>
      <w:tblGrid>
        <w:gridCol w:w="651"/>
        <w:gridCol w:w="651"/>
        <w:gridCol w:w="251"/>
        <w:gridCol w:w="26"/>
      </w:tblGrid>
      <w:tr>
        <w:trPr/>
        <w:tc>
          <w:tcPr>
            <w:tcW w:w="1553" w:type="dxa"/>
            <w:gridSpan w:val="3"/>
            <w:tcBorders/>
            <w:shd w:fill="auto" w:val="clear"/>
          </w:tcPr>
          <w:p>
            <w:pPr>
              <w:pStyle w:val="TableContents"/>
              <w:spacing w:before="0" w:after="0"/>
              <w:ind w:left="0" w:right="0" w:hanging="0"/>
              <w:jc w:val="left"/>
              <w:rPr>
                <w:rFonts w:ascii="Times New Roman" w:hAnsi="Times New Roman"/>
                <w:b/>
                <w:i w:val="false"/>
                <w:caps w:val="false"/>
                <w:smallCaps w:val="false"/>
                <w:sz w:val="22"/>
              </w:rPr>
            </w:pPr>
            <w:r>
              <w:rPr>
                <w:rFonts w:ascii="Times New Roman" w:hAnsi="Times New Roman"/>
                <w:b/>
                <w:i w:val="false"/>
                <w:caps w:val="false"/>
                <w:smallCaps w:val="false"/>
                <w:sz w:val="22"/>
              </w:rPr>
              <w:t>EXECUTIVE</w:t>
            </w:r>
          </w:p>
        </w:tc>
        <w:tc>
          <w:tcPr>
            <w:tcW w:w="26" w:type="dxa"/>
            <w:tcBorders/>
            <w:shd w:fill="auto" w:val="clear"/>
            <w:vAlign w:val="center"/>
          </w:tcPr>
          <w:p>
            <w:pPr>
              <w:pStyle w:val="TableContents"/>
              <w:spacing w:before="0" w:after="283"/>
              <w:rPr>
                <w:sz w:val="4"/>
                <w:szCs w:val="4"/>
              </w:rPr>
            </w:pPr>
            <w:r>
              <w:rPr>
                <w:sz w:val="4"/>
                <w:szCs w:val="4"/>
              </w:rPr>
            </w:r>
          </w:p>
        </w:tc>
      </w:tr>
      <w:tr>
        <w:trPr/>
        <w:tc>
          <w:tcPr>
            <w:tcW w:w="651" w:type="dxa"/>
            <w:tcBorders/>
            <w:shd w:fill="auto" w:val="clear"/>
          </w:tcPr>
          <w:p>
            <w:pPr>
              <w:pStyle w:val="TableContents"/>
              <w:spacing w:before="0" w:after="0"/>
              <w:ind w:left="0" w:right="0" w:hanging="0"/>
              <w:jc w:val="left"/>
              <w:rPr/>
            </w:pPr>
            <w:r>
              <w:rPr/>
              <w:t> </w:t>
            </w:r>
          </w:p>
        </w:tc>
        <w:tc>
          <w:tcPr>
            <w:tcW w:w="651" w:type="dxa"/>
            <w:tcBorders/>
            <w:shd w:fill="auto" w:val="clear"/>
          </w:tcPr>
          <w:p>
            <w:pPr>
              <w:pStyle w:val="TableContents"/>
              <w:spacing w:before="0" w:after="0"/>
              <w:ind w:left="0" w:right="0" w:hanging="0"/>
              <w:jc w:val="left"/>
              <w:rPr/>
            </w:pPr>
            <w:r>
              <w:rPr/>
              <w:t> </w:t>
            </w:r>
          </w:p>
        </w:tc>
        <w:tc>
          <w:tcPr>
            <w:tcW w:w="277" w:type="dxa"/>
            <w:gridSpan w:val="2"/>
            <w:tcBorders/>
            <w:shd w:fill="auto" w:val="clear"/>
          </w:tcPr>
          <w:p>
            <w:pPr>
              <w:pStyle w:val="TableContents"/>
              <w:spacing w:before="0" w:after="0"/>
              <w:ind w:left="0" w:right="0" w:hanging="0"/>
              <w:jc w:val="left"/>
              <w:rPr/>
            </w:pPr>
            <w:r>
              <w:rPr/>
              <w:t> </w:t>
            </w:r>
          </w:p>
        </w:tc>
      </w:tr>
      <w:tr>
        <w:trPr/>
        <w:tc>
          <w:tcPr>
            <w:tcW w:w="651" w:type="dxa"/>
            <w:tcBorders/>
            <w:shd w:fill="auto" w:val="clear"/>
          </w:tcPr>
          <w:p>
            <w:pPr>
              <w:pStyle w:val="TableContents"/>
              <w:spacing w:before="0" w:after="0"/>
              <w:ind w:left="0" w:right="0" w:hanging="0"/>
              <w:jc w:val="left"/>
              <w:rPr/>
            </w:pPr>
            <w:r>
              <w:rPr/>
              <w:t> </w:t>
            </w:r>
          </w:p>
        </w:tc>
        <w:tc>
          <w:tcPr>
            <w:tcW w:w="651" w:type="dxa"/>
            <w:tcBorders/>
            <w:shd w:fill="auto" w:val="clear"/>
          </w:tcPr>
          <w:p>
            <w:pPr>
              <w:pStyle w:val="TableContents"/>
              <w:spacing w:before="0" w:after="0"/>
              <w:ind w:left="0" w:right="0" w:hanging="0"/>
              <w:jc w:val="left"/>
              <w:rPr/>
            </w:pPr>
            <w:r>
              <w:rPr/>
              <w:t> </w:t>
            </w:r>
          </w:p>
        </w:tc>
        <w:tc>
          <w:tcPr>
            <w:tcW w:w="277" w:type="dxa"/>
            <w:gridSpan w:val="2"/>
            <w:tcBorders/>
            <w:shd w:fill="auto" w:val="clear"/>
          </w:tcPr>
          <w:p>
            <w:pPr>
              <w:pStyle w:val="TableContents"/>
              <w:spacing w:before="0" w:after="0"/>
              <w:ind w:left="0" w:right="0" w:hanging="0"/>
              <w:jc w:val="left"/>
              <w:rPr/>
            </w:pPr>
            <w:r>
              <w:rPr/>
              <w:t> </w:t>
            </w:r>
          </w:p>
        </w:tc>
      </w:tr>
      <w:tr>
        <w:trPr/>
        <w:tc>
          <w:tcPr>
            <w:tcW w:w="1579" w:type="dxa"/>
            <w:gridSpan w:val="4"/>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 Wayne Foster</w:t>
            </w:r>
          </w:p>
        </w:tc>
      </w:tr>
      <w:tr>
        <w:trPr/>
        <w:tc>
          <w:tcPr>
            <w:tcW w:w="1579" w:type="dxa"/>
            <w:gridSpan w:val="4"/>
            <w:tcBorders>
              <w:top w:val="single" w:sz="6" w:space="0" w:color="000000"/>
            </w:tcBorders>
            <w:shd w:fill="auto" w:val="clear"/>
            <w:tcMar>
              <w:top w:w="28" w:type="dxa"/>
            </w:tcMar>
          </w:tcPr>
          <w:p>
            <w:pPr>
              <w:pStyle w:val="TableContents"/>
              <w:spacing w:before="0" w:after="0"/>
              <w:ind w:left="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Wayne Foster</w:t>
            </w:r>
          </w:p>
        </w:tc>
      </w:tr>
    </w:tbl>
    <w:p>
      <w:pPr>
        <w:pStyle w:val="TextBody"/>
        <w:spacing w:before="0" w:after="0"/>
        <w:rPr/>
      </w:pPr>
      <w:r>
        <w:rPr/>
        <w:t> </w:t>
      </w:r>
    </w:p>
    <w:p>
      <w:pPr>
        <w:pStyle w:val="TextBody"/>
        <w:spacing w:before="0" w:after="0"/>
        <w:rPr/>
      </w:pPr>
      <w:r>
        <w:rPr/>
        <w:t> </w:t>
      </w:r>
    </w:p>
    <w:p>
      <w:pPr>
        <w:pStyle w:val="TextBody"/>
        <w:spacing w:before="0" w:after="240"/>
        <w:rPr/>
      </w:pPr>
      <w:r>
        <w:rPr/>
        <w:t> </w:t>
      </w:r>
    </w:p>
    <w:p>
      <w:pPr>
        <w:pStyle w:val="TextBody"/>
        <w:spacing w:before="0" w:after="0"/>
        <w:jc w:val="center"/>
        <w:rPr/>
      </w:pPr>
      <w:r>
        <w:rPr/>
        <w:t> </w:t>
      </w:r>
    </w:p>
    <w:p>
      <w:pPr>
        <w:pStyle w:val="TextBody"/>
        <w:spacing w:before="240" w:after="0"/>
        <w:jc w:val="center"/>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[Signature Page to Employment Agreement]</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EXHIBIT A</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Separation Agreement and Release</w:t>
      </w:r>
    </w:p>
    <w:p>
      <w:pPr>
        <w:pStyle w:val="TextBody"/>
        <w:spacing w:before="0" w:after="12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This Separation Agreement and Release (“</w:t>
      </w:r>
      <w:r>
        <w:rPr>
          <w:rFonts w:ascii="Times New Roman" w:hAnsi="Times New Roman"/>
          <w:b w:val="false"/>
          <w:i w:val="false"/>
          <w:caps w:val="false"/>
          <w:smallCaps w:val="false"/>
          <w:sz w:val="22"/>
          <w:u w:val="single"/>
        </w:rPr>
        <w:t>Agreement</w:t>
      </w:r>
      <w:r>
        <w:rPr>
          <w:rFonts w:ascii="Times New Roman" w:hAnsi="Times New Roman"/>
          <w:b w:val="false"/>
          <w:i w:val="false"/>
          <w:caps w:val="false"/>
          <w:smallCaps w:val="false"/>
          <w:sz w:val="22"/>
        </w:rPr>
        <w:t>”) is made by and between Wayne Foster (“</w:t>
      </w:r>
      <w:r>
        <w:rPr>
          <w:rFonts w:ascii="Times New Roman" w:hAnsi="Times New Roman"/>
          <w:b w:val="false"/>
          <w:i w:val="false"/>
          <w:caps w:val="false"/>
          <w:smallCaps w:val="false"/>
          <w:sz w:val="22"/>
          <w:u w:val="single"/>
        </w:rPr>
        <w:t>Executive</w:t>
      </w:r>
      <w:r>
        <w:rPr>
          <w:rFonts w:ascii="Times New Roman" w:hAnsi="Times New Roman"/>
          <w:b w:val="false"/>
          <w:i w:val="false"/>
          <w:caps w:val="false"/>
          <w:smallCaps w:val="false"/>
          <w:sz w:val="22"/>
        </w:rPr>
        <w:t>”) and Atea Pharmaceuticals, Inc. (the “</w:t>
      </w:r>
      <w:r>
        <w:rPr>
          <w:rFonts w:ascii="Times New Roman" w:hAnsi="Times New Roman"/>
          <w:b w:val="false"/>
          <w:i w:val="false"/>
          <w:caps w:val="false"/>
          <w:smallCaps w:val="false"/>
          <w:sz w:val="22"/>
          <w:u w:val="single"/>
        </w:rPr>
        <w:t>Company</w:t>
      </w:r>
      <w:r>
        <w:rPr>
          <w:rFonts w:ascii="Times New Roman" w:hAnsi="Times New Roman"/>
          <w:b w:val="false"/>
          <w:i w:val="false"/>
          <w:caps w:val="false"/>
          <w:smallCaps w:val="false"/>
          <w:sz w:val="22"/>
        </w:rPr>
        <w:t>”) (collectively referred to as the “Parties” or individually referred to as a “Party”).  Capitalized terms used but not defined in this Agreement shall have the meanings set forth in the Employment Agreement (as defined below).</w:t>
      </w:r>
    </w:p>
    <w:p>
      <w:pPr>
        <w:pStyle w:val="TextBody"/>
        <w:spacing w:before="0" w:after="12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WHEREAS, the Parties have previously entered into that certain Employment Agreement, dated as of _____, 2020 (the “</w:t>
      </w:r>
      <w:r>
        <w:rPr>
          <w:rFonts w:ascii="Times New Roman" w:hAnsi="Times New Roman"/>
          <w:b w:val="false"/>
          <w:i w:val="false"/>
          <w:caps w:val="false"/>
          <w:smallCaps w:val="false"/>
          <w:sz w:val="22"/>
          <w:u w:val="single"/>
        </w:rPr>
        <w:t>Employment Agreement</w:t>
      </w:r>
      <w:r>
        <w:rPr>
          <w:rFonts w:ascii="Times New Roman" w:hAnsi="Times New Roman"/>
          <w:b w:val="false"/>
          <w:i w:val="false"/>
          <w:caps w:val="false"/>
          <w:smallCaps w:val="false"/>
          <w:sz w:val="22"/>
        </w:rPr>
        <w:t>”) and that certain Employee Proprietary Information and Inventions Assignment Agreement, dated as of ________, 2020 (the “</w:t>
      </w:r>
      <w:r>
        <w:rPr>
          <w:rFonts w:ascii="Times New Roman" w:hAnsi="Times New Roman"/>
          <w:b w:val="false"/>
          <w:i w:val="false"/>
          <w:caps w:val="false"/>
          <w:smallCaps w:val="false"/>
          <w:sz w:val="22"/>
          <w:u w:val="single"/>
        </w:rPr>
        <w:t>Restrictive Covenant Agreement</w:t>
      </w:r>
      <w:r>
        <w:rPr>
          <w:rFonts w:ascii="Times New Roman" w:hAnsi="Times New Roman"/>
          <w:b w:val="false"/>
          <w:i w:val="false"/>
          <w:caps w:val="false"/>
          <w:smallCaps w:val="false"/>
          <w:sz w:val="22"/>
        </w:rPr>
        <w:t xml:space="preserve">”); and </w:t>
      </w:r>
    </w:p>
    <w:p>
      <w:pPr>
        <w:pStyle w:val="TextBody"/>
        <w:spacing w:before="0" w:after="12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WHEREAS, in connection with Executive’s termination of employment with the Company or a subsidiary or affiliate of the Company effective ________, 20__,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pursuant to contract or applicable law (collectively, the “</w:t>
      </w:r>
      <w:r>
        <w:rPr>
          <w:rFonts w:ascii="Times New Roman" w:hAnsi="Times New Roman"/>
          <w:b w:val="false"/>
          <w:i w:val="false"/>
          <w:caps w:val="false"/>
          <w:smallCaps w:val="false"/>
          <w:sz w:val="22"/>
          <w:u w:val="single"/>
        </w:rPr>
        <w:t>Retained Claims</w:t>
      </w:r>
      <w:r>
        <w:rPr>
          <w:rFonts w:ascii="Times New Roman" w:hAnsi="Times New Roman"/>
          <w:b w:val="false"/>
          <w:i w:val="false"/>
          <w:caps w:val="false"/>
          <w:smallCaps w:val="false"/>
          <w:sz w:val="22"/>
        </w:rPr>
        <w:t xml:space="preserve">”).   </w:t>
      </w:r>
    </w:p>
    <w:p>
      <w:pPr>
        <w:pStyle w:val="TextBody"/>
        <w:spacing w:before="0" w:after="12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w:t>
      </w:r>
      <w:r>
        <w:rPr>
          <w:rFonts w:ascii="Times New Roman" w:hAnsi="Times New Roman"/>
          <w:b w:val="false"/>
          <w:i w:val="false"/>
          <w:caps w:val="false"/>
          <w:smallCaps w:val="false"/>
          <w:sz w:val="22"/>
          <w:u w:val="single"/>
        </w:rPr>
        <w:t>Severance Payments and Benefits; Salary and Benefits</w:t>
      </w:r>
      <w:r>
        <w:rPr>
          <w:rFonts w:ascii="Times New Roman" w:hAnsi="Times New Roman"/>
          <w:b w:val="false"/>
          <w:i w:val="false"/>
          <w:caps w:val="false"/>
          <w:smallCaps w:val="false"/>
          <w:sz w:val="22"/>
        </w:rPr>
        <w:t xml:space="preserve">.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r>
        <w:rPr>
          <w:rFonts w:ascii="Times New Roman" w:hAnsi="Times New Roman"/>
          <w:b w:val="false"/>
          <w:i w:val="false"/>
          <w:caps w:val="false"/>
          <w:smallCaps w:val="false"/>
          <w:sz w:val="22"/>
          <w:u w:val="single"/>
        </w:rPr>
        <w:t>3(c)</w:t>
      </w:r>
      <w:r>
        <w:rPr>
          <w:rFonts w:ascii="Times New Roman" w:hAnsi="Times New Roman"/>
          <w:b w:val="false"/>
          <w:i w:val="false"/>
          <w:caps w:val="false"/>
          <w:smallCaps w:val="false"/>
          <w:sz w:val="22"/>
        </w:rPr>
        <w:t xml:space="preserve"> of the Employment Agreement, subject to and in accordance with the terms thereof.</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w:t>
      </w:r>
      <w:r>
        <w:rPr>
          <w:rFonts w:ascii="Times New Roman" w:hAnsi="Times New Roman"/>
          <w:b w:val="false"/>
          <w:i w:val="false"/>
          <w:caps w:val="false"/>
          <w:smallCaps w:val="false"/>
          <w:sz w:val="22"/>
          <w:u w:val="single"/>
        </w:rPr>
        <w:t>Release of Claims</w:t>
      </w:r>
      <w:r>
        <w:rPr>
          <w:rFonts w:ascii="Times New Roman" w:hAnsi="Times New Roman"/>
          <w:b w:val="false"/>
          <w:i w:val="false"/>
          <w:caps w:val="false"/>
          <w:smallCaps w:val="false"/>
          <w:sz w:val="22"/>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hAnsi="Times New Roman"/>
          <w:b w:val="false"/>
          <w:i w:val="false"/>
          <w:caps w:val="false"/>
          <w:smallCaps w:val="false"/>
          <w:sz w:val="22"/>
          <w:u w:val="single"/>
        </w:rPr>
        <w:t>Releasees</w:t>
      </w:r>
      <w:r>
        <w:rPr>
          <w:rFonts w:ascii="Times New Roman" w:hAnsi="Times New Roman"/>
          <w:b w:val="false"/>
          <w:i w:val="false"/>
          <w:caps w:val="false"/>
          <w:smallCaps w:val="false"/>
          <w:sz w:val="22"/>
        </w:rPr>
        <w:t>”).  Executive, on Executive’s own behalf and on behalf of any of Executive’s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(a)any and all claims relating to or arising from Executive’s employment or service relationship with the Company or any of its direct or indirect subsidiaries or affiliates and the termination of that relationship;</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(e)any and all claims for violation of the federal or any state constitution;</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(f)any and all claims arising out of any other laws and regulations relating to employment or employment discrimination;</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(g)any claim for any loss, cost, damage, or expense arising out of any dispute over the non-withholding or other tax treatment of any of the proceeds received by Executive as a result of this Agreement; </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(h)any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(i)any and all claims for attorneys’ fees and costs.</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A-2</w:t>
      </w:r>
    </w:p>
    <w:p>
      <w:pPr>
        <w:pStyle w:val="HorizontalLine"/>
        <w:rPr/>
      </w:pPr>
      <w:r>
        <w:rPr/>
      </w:r>
    </w:p>
    <w:p>
      <w:pPr>
        <w:pStyle w:val="TextBody"/>
        <w:spacing w:before="0" w:after="0"/>
        <w:rPr/>
      </w:pPr>
      <w:r>
        <w:rPr/>
        <w:t>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w:t>
      </w:r>
      <w:r>
        <w:rPr>
          <w:rFonts w:ascii="Times New Roman" w:hAnsi="Times New Roman"/>
          <w:b w:val="false"/>
          <w:i w:val="false"/>
          <w:caps w:val="false"/>
          <w:smallCaps w:val="false"/>
          <w:sz w:val="22"/>
          <w:u w:val="single"/>
        </w:rPr>
        <w:t>Acknowledgment of Waiver of Claims under ADEA</w:t>
      </w:r>
      <w:r>
        <w:rPr>
          <w:rFonts w:ascii="Times New Roman" w:hAnsi="Times New Roman"/>
          <w:b w:val="false"/>
          <w:i w:val="false"/>
          <w:caps w:val="false"/>
          <w:smallCaps w:val="false"/>
          <w:sz w:val="22"/>
        </w:rPr>
        <w:t>.  Executive understands and acknowledges that Executive is waiving and releasing any rights Executive may have under the Age Discrimination in Employment Act of 1967 (“</w:t>
      </w:r>
      <w:r>
        <w:rPr>
          <w:rFonts w:ascii="Times New Roman" w:hAnsi="Times New Roman"/>
          <w:b w:val="false"/>
          <w:i w:val="false"/>
          <w:caps w:val="false"/>
          <w:smallCaps w:val="false"/>
          <w:sz w:val="22"/>
          <w:u w:val="single"/>
        </w:rPr>
        <w:t>ADEA</w:t>
      </w:r>
      <w:r>
        <w:rPr>
          <w:rFonts w:ascii="Times New Roman" w:hAnsi="Times New Roman"/>
          <w:b w:val="false"/>
          <w:i w:val="false"/>
          <w:caps w:val="false"/>
          <w:smallCaps w:val="false"/>
          <w:sz w:val="22"/>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w:t>
      </w:r>
      <w:r>
        <w:rPr>
          <w:rFonts w:ascii="Times New Roman" w:hAnsi="Times New Roman"/>
          <w:b w:val="false"/>
          <w:i w:val="false"/>
          <w:caps w:val="false"/>
          <w:smallCaps w:val="false"/>
          <w:sz w:val="22"/>
          <w:u w:val="single"/>
        </w:rPr>
        <w:t>Restrictive Covenants</w:t>
      </w:r>
      <w:r>
        <w:rPr>
          <w:rFonts w:ascii="Times New Roman" w:hAnsi="Times New Roman"/>
          <w:b w:val="false"/>
          <w:i w:val="false"/>
          <w:caps w:val="false"/>
          <w:smallCaps w:val="false"/>
          <w:sz w:val="22"/>
        </w:rPr>
        <w: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(a)Executive acknowledges and agrees that the restrictive covenants and other post-termination obligations set forth in the Restrictive Covenant Agreement, including without limitation Executive’s obligations relating to confidentiality, non-use and non-disclosure of Proprietary Information (as defined in the Restrictive Covenant Agreement), non-solicitation, cooperation, and return of property, are hereby incorporated by reference and shall remain in full force and effect pursuant to their terms to the maximum extent permitted by applicable law, except that the Parties expressly agree to modify the Restrictive Covenant Agreement by removing Section 6.1, and each subpart thereto, of the Restrictive Covenant Agreement, which shall be of no further force or effect upon the Effective Date (as defined below). Executive represents and warrants that Executive has complied with all provisions of the Restrictive Covenant Agreement at all times through the Effective Date.</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(b)In consideration for the severance payments and benefits set forth in Section 1 of this Agreement, Executive agrees for a period of one year after the Effective Date (the “</w:t>
      </w:r>
      <w:r>
        <w:rPr>
          <w:rFonts w:ascii="Times New Roman" w:hAnsi="Times New Roman"/>
          <w:b w:val="false"/>
          <w:i w:val="false"/>
          <w:caps w:val="false"/>
          <w:smallCaps w:val="false"/>
          <w:sz w:val="22"/>
          <w:u w:val="single"/>
        </w:rPr>
        <w:t>Non-Competition Restricted Period</w:t>
      </w:r>
      <w:r>
        <w:rPr>
          <w:rFonts w:ascii="Times New Roman" w:hAnsi="Times New Roman"/>
          <w:b w:val="false"/>
          <w:i w:val="false"/>
          <w:caps w:val="false"/>
          <w:smallCaps w:val="false"/>
          <w:sz w:val="22"/>
        </w:rPr>
        <w:t xml:space="preserve">”) to not, directly or indirectly, on Executive’s own behalf or for the benefit of any other individual or entity other than the Company: (i) operate, conduct, or engage in, or prepare to operate, conduct, or engage in the Business (as defined below); (ii) own, finance, or invest in (except as the holder of not more than one percent of the outstanding stock of a publicly-held company) any Business; or (iii)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A-3</w:t>
      </w:r>
    </w:p>
    <w:p>
      <w:pPr>
        <w:pStyle w:val="HorizontalLine"/>
        <w:rPr/>
      </w:pPr>
      <w:r>
        <w:rPr/>
      </w:r>
    </w:p>
    <w:p>
      <w:pPr>
        <w:pStyle w:val="TextBody"/>
        <w:spacing w:before="0" w:after="0"/>
        <w:rPr/>
      </w:pPr>
      <w:r>
        <w:rPr/>
        <w:t> </w:t>
      </w:r>
    </w:p>
    <w:p>
      <w:pPr>
        <w:pStyle w:val="TextBody"/>
        <w:spacing w:before="0" w:after="24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participate in, render services to, or assist any person or entity that engages in or is preparing to engage in the Business in any capacity (whether as an employee, consultant, contractor, partner, officer, director, or otherwise) (x) which involves the same or similar types of services Executive performed for the Company at any time during the last two years of Executive’s employment with the Company or (y) in which Executive could reasonably be expected to use or disclose Proprietary Information, in each case (i), (ii) or (iii) in the Restricted Territory (as defined below). Without limiting the Company’s ability to seek other remedies available in law or equity, if Executive violates this Section 4(b), the Non-Competition Restricted Period shall be extended by one day for each day that Executive is in violation of such provisions, up to a maximum extension equal to the length of the Non-Competition Restricted Period, so as to give the Company the full benefit of the bargained-for length of forbearance.</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(c)Executive’s continued compliance with the terms of the Restrictive Covenant Agreement (as modified in Section 4(a) above) and the noncompetition obligations set forth in Section 4(b) above (collectively, the “</w:t>
      </w:r>
      <w:r>
        <w:rPr>
          <w:rFonts w:ascii="Times New Roman" w:hAnsi="Times New Roman"/>
          <w:b w:val="false"/>
          <w:i w:val="false"/>
          <w:caps w:val="false"/>
          <w:smallCaps w:val="false"/>
          <w:sz w:val="22"/>
          <w:u w:val="single"/>
        </w:rPr>
        <w:t>Restrictive Covenants</w:t>
      </w:r>
      <w:r>
        <w:rPr>
          <w:rFonts w:ascii="Times New Roman" w:hAnsi="Times New Roman"/>
          <w:b w:val="false"/>
          <w:i w:val="false"/>
          <w:caps w:val="false"/>
          <w:smallCaps w:val="false"/>
          <w:sz w:val="22"/>
        </w:rPr>
        <w:t>”) is a material condition to receipt of the severance payments and benefits set forth in Section 1 of this Agreement. In the event Executive breaches any part of such Restrictive Covenants, then, in addition to any remedies and enforcement mechanisms set forth in the Restrictive Covenant Agreement, the Employment Agreement and this Agreement, and any other remedies available to the Company (including equitable and injunctive remedies), Executive shall forfeit any additional consideration owing and shall be obligated to promptly return to the Company (within fifteen (15) business days of any breach) the full gross amount of all severance payments and benefits provided.</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(d)If any provision of the Restrictive Covenants shall be determined to be unenforceable by any court of competent jurisdiction or arbitrator by reason of its extending for too great a period of time or over too large a geographic area or over too great a range of activities, it shall be interpreted to extend only over the maximum period of time, geographic area or range of activities as to which it may be enforceable.</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(e)As used in this Agreement: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 The term “</w:t>
      </w:r>
      <w:r>
        <w:rPr>
          <w:rFonts w:ascii="Times New Roman" w:hAnsi="Times New Roman"/>
          <w:b w:val="false"/>
          <w:i w:val="false"/>
          <w:caps w:val="false"/>
          <w:smallCaps w:val="false"/>
          <w:sz w:val="22"/>
          <w:u w:val="single"/>
        </w:rPr>
        <w:t>Business</w:t>
      </w:r>
      <w:r>
        <w:rPr>
          <w:rFonts w:ascii="Times New Roman" w:hAnsi="Times New Roman"/>
          <w:b w:val="false"/>
          <w:i w:val="false"/>
          <w:caps w:val="false"/>
          <w:smallCaps w:val="false"/>
          <w:sz w:val="22"/>
        </w:rPr>
        <w:t>” means any business or part thereof that develops, manufactures, markets, licenses, sells or provides any product or service related to or comprising small molecules for the treatment of or prevention of diseases resulting from infection with coronaviruses, flavivirus or respiratory syncytial virus that competes with any product or service (i) being discovered, developed, manufactured, marketed, licensed, sold or provided by the Company or (ii) as to which the Company has taken substantial steps toward or invested substantial resources in developing, manufacturing, marketing, licensing, selling or providing, in each case, at any time during Executive’s employment or engagement with the Company.</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(ii)The term “</w:t>
      </w:r>
      <w:r>
        <w:rPr>
          <w:rFonts w:ascii="Times New Roman" w:hAnsi="Times New Roman"/>
          <w:b w:val="false"/>
          <w:i w:val="false"/>
          <w:caps w:val="false"/>
          <w:smallCaps w:val="false"/>
          <w:sz w:val="22"/>
          <w:u w:val="single"/>
        </w:rPr>
        <w:t>Restricted Territory</w:t>
      </w:r>
      <w:r>
        <w:rPr>
          <w:rFonts w:ascii="Times New Roman" w:hAnsi="Times New Roman"/>
          <w:b w:val="false"/>
          <w:i w:val="false"/>
          <w:caps w:val="false"/>
          <w:smallCaps w:val="false"/>
          <w:sz w:val="22"/>
        </w:rPr>
        <w:t>” means each city, county, state, territory and country in which (i) Executive provided services or had a material presence or influence at any time during the last two years of Executive’s employment or engagement with the Company or (ii) the Company is engaged in or has plans to engage in the Business as of the termination of Executive’s employment or engagement with the Company.</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5.</w:t>
      </w:r>
      <w:r>
        <w:rPr>
          <w:rFonts w:ascii="Times New Roman" w:hAnsi="Times New Roman"/>
          <w:b w:val="false"/>
          <w:i w:val="false"/>
          <w:caps w:val="false"/>
          <w:smallCaps w:val="false"/>
          <w:sz w:val="22"/>
          <w:u w:val="single"/>
        </w:rPr>
        <w:t>Severability</w:t>
      </w:r>
      <w:r>
        <w:rPr>
          <w:rFonts w:ascii="Times New Roman" w:hAnsi="Times New Roman"/>
          <w:b w:val="false"/>
          <w:i w:val="false"/>
          <w:caps w:val="false"/>
          <w:smallCaps w:val="false"/>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A-4</w:t>
      </w:r>
    </w:p>
    <w:p>
      <w:pPr>
        <w:pStyle w:val="HorizontalLine"/>
        <w:rPr/>
      </w:pPr>
      <w:r>
        <w:rPr/>
      </w:r>
    </w:p>
    <w:p>
      <w:pPr>
        <w:pStyle w:val="TextBody"/>
        <w:spacing w:before="0" w:after="0"/>
        <w:rPr/>
      </w:pPr>
      <w:r>
        <w:rPr/>
        <w:t> </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6.</w:t>
      </w:r>
      <w:r>
        <w:rPr>
          <w:rFonts w:ascii="Times New Roman" w:hAnsi="Times New Roman"/>
          <w:b w:val="false"/>
          <w:i w:val="false"/>
          <w:caps w:val="false"/>
          <w:smallCaps w:val="false"/>
          <w:sz w:val="22"/>
          <w:u w:val="single"/>
        </w:rPr>
        <w:t>No Oral Modification</w:t>
      </w:r>
      <w:r>
        <w:rPr>
          <w:rFonts w:ascii="Times New Roman" w:hAnsi="Times New Roman"/>
          <w:b w:val="false"/>
          <w:i w:val="false"/>
          <w:caps w:val="false"/>
          <w:smallCaps w:val="false"/>
          <w:sz w:val="22"/>
        </w:rPr>
        <w:t>.  This Agreement may only be amended in a writing signed by Executive and a duly authorized officer of the Company.</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7.</w:t>
      </w:r>
      <w:r>
        <w:rPr>
          <w:rFonts w:ascii="Times New Roman" w:hAnsi="Times New Roman"/>
          <w:b w:val="false"/>
          <w:i w:val="false"/>
          <w:caps w:val="false"/>
          <w:smallCaps w:val="false"/>
          <w:sz w:val="22"/>
          <w:u w:val="single"/>
        </w:rPr>
        <w:t>Governing Law; Dispute Resolution</w:t>
      </w:r>
      <w:r>
        <w:rPr>
          <w:rFonts w:ascii="Times New Roman" w:hAnsi="Times New Roman"/>
          <w:b w:val="false"/>
          <w:i w:val="false"/>
          <w:caps w:val="false"/>
          <w:smallCaps w:val="false"/>
          <w:sz w:val="22"/>
        </w:rPr>
        <w:t>.  This Agreement shall be subject to the provisions of Sections 9(a), 9(c), and 9(h) of the Employment Agreement.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8.</w:t>
      </w:r>
      <w:r>
        <w:rPr>
          <w:rFonts w:ascii="Times New Roman" w:hAnsi="Times New Roman"/>
          <w:b w:val="false"/>
          <w:i w:val="false"/>
          <w:caps w:val="false"/>
          <w:smallCaps w:val="false"/>
          <w:sz w:val="22"/>
          <w:u w:val="single"/>
        </w:rPr>
        <w:t>Effective Date</w:t>
      </w:r>
      <w:r>
        <w:rPr>
          <w:rFonts w:ascii="Times New Roman" w:hAnsi="Times New Roman"/>
          <w:b w:val="false"/>
          <w:i w:val="false"/>
          <w:caps w:val="false"/>
          <w:smallCaps w:val="false"/>
          <w:sz w:val="22"/>
        </w:rPr>
        <w:t>.  Executive has seven business days after Executive signs this Agreement to revoke it and this Agreement will become effective on the day immediately following the seventh  business day after Executive signed this Agreement (the “</w:t>
      </w:r>
      <w:r>
        <w:rPr>
          <w:rFonts w:ascii="Times New Roman" w:hAnsi="Times New Roman"/>
          <w:b w:val="false"/>
          <w:i w:val="false"/>
          <w:caps w:val="false"/>
          <w:smallCaps w:val="false"/>
          <w:sz w:val="22"/>
          <w:u w:val="single"/>
        </w:rPr>
        <w:t>Effective Date</w:t>
      </w:r>
      <w:r>
        <w:rPr>
          <w:rFonts w:ascii="Times New Roman" w:hAnsi="Times New Roman"/>
          <w:b w:val="false"/>
          <w:i w:val="false"/>
          <w:caps w:val="false"/>
          <w:smallCaps w:val="false"/>
          <w:sz w:val="22"/>
        </w:rPr>
        <w:t>”).  For the avoidance of doubt, if Executive revokes this Agreement as provided herein, the Parties’ modification to the Restrictive Covenant Agreement set forth in Section 4(a) above shall be void and of no effect and, unless the Company has elected or elects in writing to expressly waive Executive’s noncompetition obligations set forth in Section 6.1(a) of the Restrictive Covenant Agreement as provided in Section 6.6 of the Restrictive Covenant Agreement, the Restrictive Covenant Agreement, including without limitation Section 6.1 of the Restrictive Covenant Agreement, shall remain in full force and effect.</w:t>
      </w:r>
    </w:p>
    <w:p>
      <w:pPr>
        <w:pStyle w:val="TextBody"/>
        <w:spacing w:before="0" w:after="24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9.</w:t>
      </w:r>
      <w:r>
        <w:rPr>
          <w:rFonts w:ascii="Times New Roman" w:hAnsi="Times New Roman"/>
          <w:b w:val="false"/>
          <w:i w:val="false"/>
          <w:caps w:val="false"/>
          <w:smallCaps w:val="false"/>
          <w:sz w:val="22"/>
          <w:u w:val="single"/>
        </w:rPr>
        <w:t>Voluntary Execution of Agreement</w:t>
      </w:r>
      <w:r>
        <w:rPr>
          <w:rFonts w:ascii="Times New Roman" w:hAnsi="Times New Roman"/>
          <w:b w:val="false"/>
          <w:i w:val="false"/>
          <w:caps w:val="false"/>
          <w:smallCaps w:val="false"/>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IN WITNESS WHEREOF, the Parties have executed this Agreement on the respective dates set forth below.  </w:t>
      </w:r>
    </w:p>
    <w:p>
      <w:pPr>
        <w:pStyle w:val="TextBody"/>
        <w:spacing w:before="0" w:after="0"/>
        <w:rPr/>
      </w:pPr>
      <w:r>
        <w:rPr/>
        <w:t> </w:t>
      </w:r>
    </w:p>
    <w:tbl>
      <w:tblPr>
        <w:tblW w:w="4463" w:type="dxa"/>
        <w:jc w:val="left"/>
        <w:tblInd w:w="0" w:type="dxa"/>
        <w:tblCellMar>
          <w:top w:w="0" w:type="dxa"/>
          <w:left w:w="0" w:type="dxa"/>
          <w:bottom w:w="0" w:type="dxa"/>
          <w:right w:w="0" w:type="dxa"/>
        </w:tblCellMar>
      </w:tblPr>
      <w:tblGrid>
        <w:gridCol w:w="635"/>
        <w:gridCol w:w="60"/>
        <w:gridCol w:w="60"/>
        <w:gridCol w:w="60"/>
        <w:gridCol w:w="1141"/>
        <w:gridCol w:w="233"/>
        <w:gridCol w:w="2274"/>
      </w:tblGrid>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8" w:type="dxa"/>
            <w:gridSpan w:val="3"/>
            <w:tcBorders/>
            <w:shd w:fill="auto" w:val="clear"/>
          </w:tcPr>
          <w:p>
            <w:pPr>
              <w:pStyle w:val="TableContents"/>
              <w:spacing w:before="0" w:after="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EXECUTIVE</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41" w:type="dxa"/>
            <w:tcBorders/>
            <w:shd w:fill="auto" w:val="clear"/>
          </w:tcPr>
          <w:p>
            <w:pPr>
              <w:pStyle w:val="TableContents"/>
              <w:spacing w:before="0" w:after="0"/>
              <w:ind w:left="0" w:right="0" w:hanging="0"/>
              <w:rPr/>
            </w:pPr>
            <w:r>
              <w:rPr/>
              <w:t> </w:t>
            </w:r>
          </w:p>
        </w:tc>
        <w:tc>
          <w:tcPr>
            <w:tcW w:w="233" w:type="dxa"/>
            <w:tcBorders/>
            <w:shd w:fill="auto" w:val="clear"/>
          </w:tcPr>
          <w:p>
            <w:pPr>
              <w:pStyle w:val="TableContents"/>
              <w:spacing w:before="0" w:after="0"/>
              <w:ind w:left="0" w:right="0" w:hanging="0"/>
              <w:rPr/>
            </w:pPr>
            <w:r>
              <w:rPr/>
              <w:t> </w:t>
            </w:r>
          </w:p>
        </w:tc>
        <w:tc>
          <w:tcPr>
            <w:tcW w:w="2274" w:type="dxa"/>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41" w:type="dxa"/>
            <w:tcBorders/>
            <w:shd w:fill="auto" w:val="clear"/>
          </w:tcPr>
          <w:p>
            <w:pPr>
              <w:pStyle w:val="TableContents"/>
              <w:spacing w:before="0" w:after="0"/>
              <w:ind w:left="0" w:right="0" w:hanging="0"/>
              <w:rPr/>
            </w:pPr>
            <w:r>
              <w:rPr/>
              <w:t> </w:t>
            </w:r>
          </w:p>
        </w:tc>
        <w:tc>
          <w:tcPr>
            <w:tcW w:w="233" w:type="dxa"/>
            <w:tcBorders/>
            <w:shd w:fill="auto" w:val="clear"/>
          </w:tcPr>
          <w:p>
            <w:pPr>
              <w:pStyle w:val="TableContents"/>
              <w:spacing w:before="0" w:after="0"/>
              <w:ind w:left="0" w:right="0" w:hanging="0"/>
              <w:rPr/>
            </w:pPr>
            <w:r>
              <w:rPr/>
              <w:t> </w:t>
            </w:r>
          </w:p>
        </w:tc>
        <w:tc>
          <w:tcPr>
            <w:tcW w:w="2274" w:type="dxa"/>
            <w:tcBorders/>
            <w:shd w:fill="auto" w:val="clear"/>
          </w:tcPr>
          <w:p>
            <w:pPr>
              <w:pStyle w:val="TableContents"/>
              <w:spacing w:before="0" w:after="0"/>
              <w:ind w:left="0" w:right="0" w:hanging="0"/>
              <w:rPr/>
            </w:pPr>
            <w:r>
              <w:rPr/>
              <w:t> </w:t>
            </w:r>
          </w:p>
        </w:tc>
      </w:tr>
      <w:tr>
        <w:trPr/>
        <w:tc>
          <w:tcPr>
            <w:tcW w:w="63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Dated:</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3648" w:type="dxa"/>
            <w:gridSpan w:val="3"/>
            <w:tcBorders>
              <w:bottom w:val="single" w:sz="6" w:space="0" w:color="000000"/>
            </w:tcBorders>
            <w:shd w:fill="auto" w:val="clear"/>
            <w:tcMar>
              <w:bottom w:w="28" w:type="dxa"/>
            </w:tcM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top w:val="single" w:sz="6" w:space="0" w:color="000000"/>
            </w:tcBorders>
            <w:shd w:fill="auto" w:val="clear"/>
            <w:tcMar>
              <w:top w:w="28" w:type="dxa"/>
            </w:tcM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8" w:type="dxa"/>
            <w:gridSpan w:val="3"/>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Wayne Foster</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41" w:type="dxa"/>
            <w:tcBorders/>
            <w:shd w:fill="auto" w:val="clear"/>
          </w:tcPr>
          <w:p>
            <w:pPr>
              <w:pStyle w:val="TableContents"/>
              <w:spacing w:before="0" w:after="0"/>
              <w:ind w:left="0" w:right="0" w:hanging="0"/>
              <w:rPr/>
            </w:pPr>
            <w:r>
              <w:rPr/>
              <w:t> </w:t>
            </w:r>
          </w:p>
        </w:tc>
        <w:tc>
          <w:tcPr>
            <w:tcW w:w="233" w:type="dxa"/>
            <w:tcBorders/>
            <w:shd w:fill="auto" w:val="clear"/>
          </w:tcPr>
          <w:p>
            <w:pPr>
              <w:pStyle w:val="TableContents"/>
              <w:spacing w:before="0" w:after="0"/>
              <w:ind w:left="0" w:right="0" w:hanging="0"/>
              <w:rPr/>
            </w:pPr>
            <w:r>
              <w:rPr/>
              <w:t> </w:t>
            </w:r>
          </w:p>
        </w:tc>
        <w:tc>
          <w:tcPr>
            <w:tcW w:w="2274" w:type="dxa"/>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41" w:type="dxa"/>
            <w:tcBorders/>
            <w:shd w:fill="auto" w:val="clear"/>
          </w:tcPr>
          <w:p>
            <w:pPr>
              <w:pStyle w:val="TableContents"/>
              <w:spacing w:before="0" w:after="0"/>
              <w:ind w:left="0" w:right="0" w:hanging="0"/>
              <w:rPr/>
            </w:pPr>
            <w:r>
              <w:rPr/>
              <w:t> </w:t>
            </w:r>
          </w:p>
        </w:tc>
        <w:tc>
          <w:tcPr>
            <w:tcW w:w="233" w:type="dxa"/>
            <w:tcBorders/>
            <w:shd w:fill="auto" w:val="clear"/>
          </w:tcPr>
          <w:p>
            <w:pPr>
              <w:pStyle w:val="TableContents"/>
              <w:spacing w:before="0" w:after="0"/>
              <w:ind w:left="0" w:right="0" w:hanging="0"/>
              <w:rPr/>
            </w:pPr>
            <w:r>
              <w:rPr/>
              <w:t> </w:t>
            </w:r>
          </w:p>
        </w:tc>
        <w:tc>
          <w:tcPr>
            <w:tcW w:w="2274" w:type="dxa"/>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41" w:type="dxa"/>
            <w:tcBorders/>
            <w:shd w:fill="auto" w:val="clear"/>
          </w:tcPr>
          <w:p>
            <w:pPr>
              <w:pStyle w:val="TableContents"/>
              <w:spacing w:before="0" w:after="0"/>
              <w:ind w:left="0" w:right="0" w:hanging="0"/>
              <w:rPr/>
            </w:pPr>
            <w:r>
              <w:rPr/>
              <w:t> </w:t>
            </w:r>
          </w:p>
        </w:tc>
        <w:tc>
          <w:tcPr>
            <w:tcW w:w="233" w:type="dxa"/>
            <w:tcBorders/>
            <w:shd w:fill="auto" w:val="clear"/>
          </w:tcPr>
          <w:p>
            <w:pPr>
              <w:pStyle w:val="TableContents"/>
              <w:spacing w:before="0" w:after="0"/>
              <w:ind w:left="0" w:right="0" w:hanging="0"/>
              <w:rPr/>
            </w:pPr>
            <w:r>
              <w:rPr/>
              <w:t> </w:t>
            </w:r>
          </w:p>
        </w:tc>
        <w:tc>
          <w:tcPr>
            <w:tcW w:w="2274" w:type="dxa"/>
            <w:tcBorders/>
            <w:shd w:fill="auto" w:val="cle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648" w:type="dxa"/>
            <w:gridSpan w:val="3"/>
            <w:tcBorders/>
            <w:shd w:fill="auto" w:val="clear"/>
          </w:tcPr>
          <w:p>
            <w:pPr>
              <w:pStyle w:val="TableContents"/>
              <w:spacing w:before="0" w:after="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ATEA PHARMACEUTICALS, INC.</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41" w:type="dxa"/>
            <w:tcBorders/>
            <w:shd w:fill="auto" w:val="clear"/>
          </w:tcPr>
          <w:p>
            <w:pPr>
              <w:pStyle w:val="TableContents"/>
              <w:spacing w:before="0" w:after="0"/>
              <w:ind w:left="0" w:right="0" w:hanging="0"/>
              <w:rPr/>
            </w:pPr>
            <w:r>
              <w:rPr/>
              <w:t> </w:t>
            </w:r>
          </w:p>
        </w:tc>
        <w:tc>
          <w:tcPr>
            <w:tcW w:w="233" w:type="dxa"/>
            <w:tcBorders/>
            <w:shd w:fill="auto" w:val="clear"/>
          </w:tcPr>
          <w:p>
            <w:pPr>
              <w:pStyle w:val="TableContents"/>
              <w:spacing w:before="0" w:after="0"/>
              <w:ind w:left="0" w:right="0" w:hanging="0"/>
              <w:rPr/>
            </w:pPr>
            <w:r>
              <w:rPr/>
              <w:t> </w:t>
            </w:r>
          </w:p>
        </w:tc>
        <w:tc>
          <w:tcPr>
            <w:tcW w:w="2274" w:type="dxa"/>
            <w:tcBorders/>
            <w:shd w:fill="auto" w:val="clear"/>
          </w:tcPr>
          <w:p>
            <w:pPr>
              <w:pStyle w:val="TableContents"/>
              <w:spacing w:before="0" w:after="0"/>
              <w:ind w:left="0" w:right="0" w:hanging="0"/>
              <w:rPr/>
            </w:pPr>
            <w:r>
              <w:rPr/>
              <w:t> </w:t>
            </w:r>
          </w:p>
        </w:tc>
      </w:tr>
      <w:tr>
        <w:trPr/>
        <w:tc>
          <w:tcPr>
            <w:tcW w:w="63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Dated:</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1141"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w:t>
            </w:r>
          </w:p>
        </w:tc>
        <w:tc>
          <w:tcPr>
            <w:tcW w:w="233"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2274" w:type="dxa"/>
            <w:tcBorders>
              <w:bottom w:val="single" w:sz="6" w:space="0" w:color="000000"/>
            </w:tcBorders>
            <w:shd w:fill="auto" w:val="clear"/>
            <w:tcMar>
              <w:bottom w:w="28" w:type="dxa"/>
            </w:tcMar>
          </w:tcPr>
          <w:p>
            <w:pPr>
              <w:pStyle w:val="TableContents"/>
              <w:spacing w:before="0" w:after="0"/>
              <w:ind w:left="0" w:right="0" w:hanging="0"/>
              <w:rPr/>
            </w:pPr>
            <w:r>
              <w:rPr/>
              <w:t> </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top w:val="single" w:sz="6" w:space="0" w:color="000000"/>
            </w:tcBorders>
            <w:shd w:fill="auto" w:val="clear"/>
            <w:tcMar>
              <w:top w:w="28" w:type="dxa"/>
            </w:tcM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41" w:type="dxa"/>
            <w:tcBorders/>
            <w:shd w:fill="auto" w:val="clear"/>
          </w:tcPr>
          <w:p>
            <w:pPr>
              <w:pStyle w:val="TableContents"/>
              <w:spacing w:before="0" w:after="0"/>
              <w:ind w:left="0" w:right="0" w:hanging="0"/>
              <w:rPr/>
            </w:pPr>
            <w:r>
              <w:rPr/>
              <w:t> </w:t>
            </w:r>
          </w:p>
        </w:tc>
        <w:tc>
          <w:tcPr>
            <w:tcW w:w="233" w:type="dxa"/>
            <w:tcBorders/>
            <w:shd w:fill="auto" w:val="clear"/>
          </w:tcPr>
          <w:p>
            <w:pPr>
              <w:pStyle w:val="TableContents"/>
              <w:spacing w:before="0" w:after="0"/>
              <w:ind w:left="0" w:right="0" w:hanging="0"/>
              <w:rPr/>
            </w:pPr>
            <w:r>
              <w:rPr/>
              <w:t> </w:t>
            </w:r>
          </w:p>
        </w:tc>
        <w:tc>
          <w:tcPr>
            <w:tcW w:w="2274"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Name:</w:t>
            </w:r>
          </w:p>
        </w:tc>
      </w:tr>
      <w:tr>
        <w:trPr/>
        <w:tc>
          <w:tcPr>
            <w:tcW w:w="63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41" w:type="dxa"/>
            <w:tcBorders/>
            <w:shd w:fill="auto" w:val="clear"/>
          </w:tcPr>
          <w:p>
            <w:pPr>
              <w:pStyle w:val="TableContents"/>
              <w:spacing w:before="0" w:after="0"/>
              <w:ind w:left="0" w:right="0" w:hanging="0"/>
              <w:rPr/>
            </w:pPr>
            <w:r>
              <w:rPr/>
              <w:t> </w:t>
            </w:r>
          </w:p>
        </w:tc>
        <w:tc>
          <w:tcPr>
            <w:tcW w:w="233" w:type="dxa"/>
            <w:tcBorders/>
            <w:shd w:fill="auto" w:val="clear"/>
          </w:tcPr>
          <w:p>
            <w:pPr>
              <w:pStyle w:val="TableContents"/>
              <w:spacing w:before="0" w:after="0"/>
              <w:ind w:left="0" w:right="0" w:hanging="0"/>
              <w:rPr/>
            </w:pPr>
            <w:r>
              <w:rPr/>
              <w:t> </w:t>
            </w:r>
          </w:p>
        </w:tc>
        <w:tc>
          <w:tcPr>
            <w:tcW w:w="2274" w:type="dxa"/>
            <w:tcBorders/>
            <w:shd w:fill="auto" w:val="cle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Title:</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EXHIBIT B</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Restrictive Covenant Agreement</w:t>
      </w:r>
    </w:p>
    <w:p>
      <w:pPr>
        <w:pStyle w:val="TextBody"/>
        <w:spacing w:before="0" w:after="24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[attached]</w:t>
      </w:r>
    </w:p>
    <w:p>
      <w:pPr>
        <w:pStyle w:val="TextBody"/>
        <w:spacing w:before="240" w:after="0"/>
        <w:rPr/>
      </w:pPr>
      <w:r>
        <w:rPr/>
        <w:t> </w:t>
      </w:r>
      <w:r>
        <w:br w:type="page"/>
      </w:r>
    </w:p>
    <w:p>
      <w:pPr>
        <w:pStyle w:val="TextBody"/>
        <w:spacing w:before="0" w:after="0"/>
        <w:rPr/>
      </w:pPr>
      <w:bookmarkStart w:id="86" w:name="avir-ex211_174.htm"/>
      <w:bookmarkStart w:id="87" w:name="ksavirex211_174"/>
      <w:bookmarkEnd w:id="86"/>
      <w:bookmarkEnd w:id="87"/>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21.1</w:t>
      </w:r>
    </w:p>
    <w:p>
      <w:pPr>
        <w:pStyle w:val="TextBody"/>
        <w:shd w:fill="FFFFFF" w:val="clear"/>
        <w:spacing w:before="0" w:after="0"/>
        <w:rPr>
          <w:caps w:val="false"/>
          <w:smallCaps w:val="false"/>
          <w:color w:val="000000"/>
        </w:rPr>
      </w:pPr>
      <w:r>
        <w:rPr>
          <w:caps w:val="false"/>
          <w:smallCaps w:val="false"/>
          <w:color w:val="000000"/>
        </w:rPr>
        <w:t> </w:t>
      </w:r>
    </w:p>
    <w:tbl>
      <w:tblPr>
        <w:tblW w:w="5815" w:type="dxa"/>
        <w:jc w:val="center"/>
        <w:tblInd w:w="0" w:type="dxa"/>
        <w:tblCellMar>
          <w:top w:w="0" w:type="dxa"/>
          <w:left w:w="0" w:type="dxa"/>
          <w:bottom w:w="0" w:type="dxa"/>
          <w:right w:w="0" w:type="dxa"/>
        </w:tblCellMar>
      </w:tblPr>
      <w:tblGrid>
        <w:gridCol w:w="3920"/>
        <w:gridCol w:w="120"/>
        <w:gridCol w:w="72"/>
        <w:gridCol w:w="1643"/>
        <w:gridCol w:w="60"/>
      </w:tblGrid>
      <w:tr>
        <w:trPr/>
        <w:tc>
          <w:tcPr>
            <w:tcW w:w="3920" w:type="dxa"/>
            <w:tcBorders/>
            <w:shd w:fill="FFFFFF" w:val="clear"/>
            <w:vAlign w:val="center"/>
          </w:tcPr>
          <w:p>
            <w:pPr>
              <w:pStyle w:val="TableContents"/>
              <w:spacing w:before="0" w:after="0"/>
              <w:ind w:left="0" w:right="0" w:hanging="0"/>
              <w:rPr/>
            </w:pPr>
            <w:r>
              <w:rPr/>
              <w:t> </w:t>
            </w:r>
          </w:p>
        </w:tc>
        <w:tc>
          <w:tcPr>
            <w:tcW w:w="120" w:type="dxa"/>
            <w:tcBorders/>
            <w:shd w:fill="FFFFFF" w:val="clear"/>
            <w:vAlign w:val="bottom"/>
          </w:tcPr>
          <w:p>
            <w:pPr>
              <w:pStyle w:val="TableContents"/>
              <w:spacing w:before="0" w:after="0"/>
              <w:ind w:left="0" w:right="0" w:hanging="0"/>
              <w:rPr/>
            </w:pPr>
            <w:r>
              <w:rPr/>
              <w:t> </w:t>
            </w:r>
          </w:p>
        </w:tc>
        <w:tc>
          <w:tcPr>
            <w:tcW w:w="72" w:type="dxa"/>
            <w:tcBorders/>
            <w:shd w:fill="FFFFFF" w:val="clear"/>
            <w:vAlign w:val="center"/>
          </w:tcPr>
          <w:p>
            <w:pPr>
              <w:pStyle w:val="TableContents"/>
              <w:spacing w:before="0" w:after="0"/>
              <w:ind w:left="0" w:right="0" w:hanging="0"/>
              <w:rPr/>
            </w:pPr>
            <w:r>
              <w:rPr/>
              <w:t> </w:t>
            </w:r>
          </w:p>
        </w:tc>
        <w:tc>
          <w:tcPr>
            <w:tcW w:w="1643"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r>
      <w:tr>
        <w:trPr/>
        <w:tc>
          <w:tcPr>
            <w:tcW w:w="3920" w:type="dxa"/>
            <w:tcBorders>
              <w:bottom w:val="single" w:sz="8" w:space="0" w:color="000000"/>
            </w:tcBorders>
            <w:shd w:fill="FFFFFF" w:val="clear"/>
            <w:tcMar>
              <w:bottom w:w="28" w:type="dxa"/>
            </w:tcMar>
            <w:vAlign w:val="bottom"/>
          </w:tcPr>
          <w:p>
            <w:pPr>
              <w:pStyle w:val="TableContents"/>
              <w:pBdr>
                <w:bottom w:val="single" w:sz="8" w:space="1" w:color="000000"/>
              </w:pBdr>
              <w:spacing w:before="0" w:after="0"/>
              <w:ind w:left="0" w:right="0" w:hanging="0"/>
              <w:rPr>
                <w:rFonts w:ascii="Arial" w:hAnsi="Arial"/>
                <w:b/>
                <w:i w:val="false"/>
                <w:caps w:val="false"/>
                <w:smallCaps w:val="false"/>
                <w:sz w:val="16"/>
              </w:rPr>
            </w:pPr>
            <w:r>
              <w:rPr>
                <w:rFonts w:ascii="Arial" w:hAnsi="Arial"/>
                <w:b/>
                <w:i w:val="false"/>
                <w:caps w:val="false"/>
                <w:smallCaps w:val="false"/>
                <w:sz w:val="16"/>
              </w:rPr>
              <w:t>Legal Name</w:t>
            </w:r>
          </w:p>
        </w:tc>
        <w:tc>
          <w:tcPr>
            <w:tcW w:w="120" w:type="dxa"/>
            <w:tcBorders>
              <w:bottom w:val="single" w:sz="8" w:space="0" w:color="000000"/>
            </w:tcBorders>
            <w:shd w:fill="FFFFFF" w:val="clear"/>
            <w:tcMar>
              <w:bottom w:w="28" w:type="dxa"/>
            </w:tcMar>
            <w:vAlign w:val="bottom"/>
          </w:tcPr>
          <w:p>
            <w:pPr>
              <w:pStyle w:val="TableContents"/>
              <w:spacing w:before="0" w:after="0"/>
              <w:ind w:left="0" w:right="0" w:hanging="0"/>
              <w:rPr>
                <w:caps w:val="false"/>
                <w:smallCaps w:val="false"/>
              </w:rPr>
            </w:pPr>
            <w:r>
              <w:rPr>
                <w:caps w:val="false"/>
                <w:smallCaps w:val="false"/>
              </w:rPr>
              <w:t>  </w:t>
            </w:r>
          </w:p>
        </w:tc>
        <w:tc>
          <w:tcPr>
            <w:tcW w:w="1715"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State of Organization</w:t>
            </w:r>
          </w:p>
        </w:tc>
        <w:tc>
          <w:tcPr>
            <w:tcW w:w="60" w:type="dxa"/>
            <w:tcBorders>
              <w:bottom w:val="single" w:sz="8" w:space="0" w:color="000000"/>
            </w:tcBorders>
            <w:shd w:fill="FFFFFF" w:val="clear"/>
            <w:tcMar>
              <w:bottom w:w="28"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3920" w:type="dxa"/>
            <w:tcBorders/>
            <w:shd w:fill="FFFFFF" w:val="clear"/>
          </w:tcPr>
          <w:p>
            <w:pPr>
              <w:pStyle w:val="TableContents"/>
              <w:spacing w:before="0" w:after="0"/>
              <w:ind w:left="240" w:right="0" w:hanging="240"/>
              <w:rPr>
                <w:rFonts w:ascii="Arial" w:hAnsi="Arial"/>
                <w:b w:val="false"/>
                <w:i w:val="false"/>
                <w:caps w:val="false"/>
                <w:smallCaps w:val="false"/>
                <w:sz w:val="20"/>
              </w:rPr>
            </w:pPr>
            <w:r>
              <w:rPr>
                <w:rFonts w:ascii="Arial" w:hAnsi="Arial"/>
                <w:b w:val="false"/>
                <w:i w:val="false"/>
                <w:caps w:val="false"/>
                <w:smallCaps w:val="false"/>
                <w:sz w:val="20"/>
              </w:rPr>
              <w:t>Atea Pharmaceuticals Securities Corporation</w:t>
            </w:r>
          </w:p>
        </w:tc>
        <w:tc>
          <w:tcPr>
            <w:tcW w:w="12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72"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643" w:type="dxa"/>
            <w:tcBorders/>
            <w:shd w:fill="FFFFFF" w:val="cle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Massachusetts</w:t>
            </w:r>
          </w:p>
        </w:tc>
        <w:tc>
          <w:tcPr>
            <w:tcW w:w="6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r>
    </w:tbl>
    <w:p>
      <w:pPr>
        <w:pStyle w:val="TextBody"/>
        <w:shd w:fill="FFFFFF" w:val="clear"/>
        <w:spacing w:before="0" w:after="0"/>
        <w:rPr/>
      </w:pPr>
      <w:r>
        <w:rPr/>
        <w:t> </w:t>
      </w:r>
    </w:p>
    <w:p>
      <w:pPr>
        <w:pStyle w:val="TextBody"/>
        <w:spacing w:before="240" w:after="0"/>
        <w:rPr/>
      </w:pPr>
      <w:r>
        <w:rPr/>
        <w:t> </w:t>
      </w:r>
      <w:r>
        <w:br w:type="page"/>
      </w:r>
    </w:p>
    <w:p>
      <w:pPr>
        <w:pStyle w:val="TextBody"/>
        <w:spacing w:before="0" w:after="0"/>
        <w:rPr/>
      </w:pPr>
      <w:bookmarkStart w:id="88" w:name="avir-ex231_173.htm"/>
      <w:bookmarkStart w:id="89" w:name="ksavirex231_173"/>
      <w:bookmarkEnd w:id="88"/>
      <w:bookmarkEnd w:id="89"/>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23.1</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Consent of Independent Registered Public Accounting Firm</w:t>
      </w:r>
    </w:p>
    <w:p>
      <w:pPr>
        <w:pStyle w:val="TextBody"/>
        <w:shd w:fill="FFFFFF" w:val="clear"/>
        <w:spacing w:before="24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Board of Directors</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Atea Pharmaceuticals, Inc.:</w:t>
      </w:r>
    </w:p>
    <w:p>
      <w:pPr>
        <w:pStyle w:val="TextBody"/>
        <w:shd w:fill="FFFFFF" w:val="clear"/>
        <w:spacing w:before="24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consent to the incorporation by reference in the registration statement (No. 333-249780) on Form S-8 of Atea Pharmaceuticals, Inc. and subsidiary, of our report dated March 30, 2021, with respect to the consolidated balance sheets of Atea Pharmaceuticals, Inc. as of December 31, 2020 and 2019, and the related consolidated statements of operations and comprehensive loss, convertible preferred stock and stockholders’ equity (deficit), and cash flows for each of the years in the three-year period ended December 31, 2020 and the related notes, which report appears in the December 31, 2020 annual report on Form 10-K of Atea Pharmaceuticals, Inc.</w:t>
      </w:r>
    </w:p>
    <w:p>
      <w:pPr>
        <w:pStyle w:val="TextBody"/>
        <w:shd w:fill="FFFFFF" w:val="clear"/>
        <w:spacing w:before="24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KPMG LLP</w:t>
      </w:r>
    </w:p>
    <w:p>
      <w:pPr>
        <w:pStyle w:val="TextBody"/>
        <w:shd w:fill="FFFFFF" w:val="clear"/>
        <w:spacing w:before="24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Boston, Massachusetts</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30, 2021</w:t>
      </w:r>
    </w:p>
    <w:p>
      <w:pPr>
        <w:pStyle w:val="TextBody"/>
        <w:spacing w:before="0" w:after="0"/>
        <w:rPr/>
      </w:pPr>
      <w:r>
        <w:rPr/>
        <w:t> </w:t>
      </w:r>
    </w:p>
    <w:p>
      <w:pPr>
        <w:pStyle w:val="TextBody"/>
        <w:spacing w:before="240" w:after="0"/>
        <w:rPr/>
      </w:pPr>
      <w:r>
        <w:rPr/>
        <w:t> </w:t>
      </w:r>
      <w:r>
        <w:br w:type="page"/>
      </w:r>
    </w:p>
    <w:p>
      <w:pPr>
        <w:pStyle w:val="TextBody"/>
        <w:spacing w:before="0" w:after="0"/>
        <w:rPr/>
      </w:pPr>
      <w:bookmarkStart w:id="90" w:name="avir-ex311_677.htm"/>
      <w:bookmarkStart w:id="91" w:name="ksavirex311_677"/>
      <w:bookmarkEnd w:id="90"/>
      <w:bookmarkEnd w:id="91"/>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31.1</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 xml:space="preserve">CERTIFICATION </w:t>
      </w:r>
    </w:p>
    <w:p>
      <w:pPr>
        <w:pStyle w:val="TextBody"/>
        <w:spacing w:before="240" w:after="0"/>
        <w:rPr>
          <w:rFonts w:ascii="Arial" w:hAnsi="Arial"/>
          <w:b w:val="false"/>
          <w:i w:val="false"/>
          <w:caps w:val="false"/>
          <w:smallCaps w:val="false"/>
          <w:sz w:val="20"/>
        </w:rPr>
      </w:pPr>
      <w:r>
        <w:rPr>
          <w:rFonts w:ascii="Arial" w:hAnsi="Arial"/>
          <w:b w:val="false"/>
          <w:i w:val="false"/>
          <w:caps w:val="false"/>
          <w:smallCaps w:val="false"/>
          <w:sz w:val="20"/>
        </w:rPr>
        <w:t xml:space="preserve">I, </w:t>
      </w:r>
      <w:r>
        <w:rPr>
          <w:rFonts w:ascii="Arial" w:hAnsi="Arial"/>
          <w:b w:val="false"/>
          <w:i w:val="false"/>
          <w:caps w:val="false"/>
          <w:smallCaps w:val="false"/>
          <w:color w:val="000000"/>
          <w:sz w:val="20"/>
          <w:highlight w:val="white"/>
        </w:rPr>
        <w:t>Jean-Pierre Sommadossi</w:t>
      </w:r>
      <w:r>
        <w:rPr>
          <w:rFonts w:ascii="Arial" w:hAnsi="Arial"/>
          <w:b w:val="false"/>
          <w:i w:val="false"/>
          <w:caps w:val="false"/>
          <w:smallCaps w:val="false"/>
          <w:sz w:val="20"/>
        </w:rPr>
        <w:t>, certify that:</w:t>
      </w:r>
    </w:p>
    <w:tbl>
      <w:tblPr>
        <w:tblW w:w="8665" w:type="dxa"/>
        <w:jc w:val="left"/>
        <w:tblInd w:w="0" w:type="dxa"/>
        <w:tblCellMar>
          <w:top w:w="0" w:type="dxa"/>
          <w:left w:w="0" w:type="dxa"/>
          <w:bottom w:w="0" w:type="dxa"/>
          <w:right w:w="0" w:type="dxa"/>
        </w:tblCellMar>
      </w:tblPr>
      <w:tblGrid>
        <w:gridCol w:w="200"/>
        <w:gridCol w:w="8465"/>
      </w:tblGrid>
      <w:tr>
        <w:trPr/>
        <w:tc>
          <w:tcPr>
            <w:tcW w:w="200"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8465"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I have reviewed this Annual Report on Form 10-K of Atea Pharmaceuticals. Inc.;</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8"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6"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1"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60"/>
        <w:gridCol w:w="202"/>
        <w:gridCol w:w="994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4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95" w:type="dxa"/>
        <w:jc w:val="left"/>
        <w:tblInd w:w="0" w:type="dxa"/>
        <w:tblCellMar>
          <w:top w:w="0" w:type="dxa"/>
          <w:left w:w="0" w:type="dxa"/>
          <w:bottom w:w="0" w:type="dxa"/>
          <w:right w:w="0" w:type="dxa"/>
        </w:tblCellMar>
      </w:tblPr>
      <w:tblGrid>
        <w:gridCol w:w="60"/>
        <w:gridCol w:w="245"/>
        <w:gridCol w:w="89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45"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890"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[Omitted];</w:t>
            </w:r>
          </w:p>
        </w:tc>
      </w:tr>
    </w:tbl>
    <w:tbl>
      <w:tblPr>
        <w:tblW w:w="10205" w:type="dxa"/>
        <w:jc w:val="left"/>
        <w:tblInd w:w="0" w:type="dxa"/>
        <w:tblCellMar>
          <w:top w:w="0" w:type="dxa"/>
          <w:left w:w="0" w:type="dxa"/>
          <w:bottom w:w="0" w:type="dxa"/>
          <w:right w:w="0" w:type="dxa"/>
        </w:tblCellMar>
      </w:tblPr>
      <w:tblGrid>
        <w:gridCol w:w="60"/>
        <w:gridCol w:w="208"/>
        <w:gridCol w:w="993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8"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(c)</w:t>
            </w:r>
          </w:p>
        </w:tc>
        <w:tc>
          <w:tcPr>
            <w:tcW w:w="9937"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3"/>
        <w:gridCol w:w="9942"/>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w:t>
            </w:r>
          </w:p>
        </w:tc>
        <w:tc>
          <w:tcPr>
            <w:tcW w:w="994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6"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10"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35"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4"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9921"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240" w:after="0"/>
        <w:rPr/>
      </w:pPr>
      <w:r>
        <w:rPr/>
        <w:t> </w:t>
      </w:r>
    </w:p>
    <w:p>
      <w:pPr>
        <w:pStyle w:val="TextBody"/>
        <w:spacing w:before="0" w:after="0"/>
        <w:rPr/>
      </w:pPr>
      <w:r>
        <w:rPr/>
        <w:t> </w:t>
      </w:r>
    </w:p>
    <w:tbl>
      <w:tblPr>
        <w:tblW w:w="5820" w:type="dxa"/>
        <w:jc w:val="center"/>
        <w:tblInd w:w="0" w:type="dxa"/>
        <w:tblCellMar>
          <w:top w:w="0" w:type="dxa"/>
          <w:left w:w="0" w:type="dxa"/>
          <w:bottom w:w="28" w:type="dxa"/>
          <w:right w:w="0" w:type="dxa"/>
        </w:tblCellMar>
      </w:tblPr>
      <w:tblGrid>
        <w:gridCol w:w="1955"/>
        <w:gridCol w:w="60"/>
        <w:gridCol w:w="320"/>
        <w:gridCol w:w="3485"/>
      </w:tblGrid>
      <w:tr>
        <w:trPr/>
        <w:tc>
          <w:tcPr>
            <w:tcW w:w="195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March 30,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348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Jean-Pierre Sommadossi</w:t>
            </w:r>
          </w:p>
        </w:tc>
      </w:tr>
      <w:tr>
        <w:trPr/>
        <w:tc>
          <w:tcPr>
            <w:tcW w:w="19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4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Jean-Pierre Sommadossi, Ph.D.</w:t>
            </w:r>
          </w:p>
        </w:tc>
      </w:tr>
      <w:tr>
        <w:trPr/>
        <w:tc>
          <w:tcPr>
            <w:tcW w:w="19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85" w:type="dxa"/>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President and Chief Executive Officer</w:t>
            </w:r>
          </w:p>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(principal executive officer)</w:t>
            </w:r>
          </w:p>
        </w:tc>
      </w:tr>
    </w:tbl>
    <w:p>
      <w:pPr>
        <w:pStyle w:val="TextBody"/>
        <w:shd w:fill="FFFFFF" w:val="clear"/>
        <w:spacing w:before="240" w:after="0"/>
        <w:rPr/>
      </w:pPr>
      <w:r>
        <w:rPr/>
        <w:t> </w:t>
      </w:r>
    </w:p>
    <w:p>
      <w:pPr>
        <w:pStyle w:val="TextBody"/>
        <w:spacing w:before="240" w:after="240"/>
        <w:rPr/>
      </w:pPr>
      <w:r>
        <w:rPr/>
        <w:t> </w:t>
      </w:r>
      <w:r>
        <w:br w:type="page"/>
      </w:r>
    </w:p>
    <w:p>
      <w:pPr>
        <w:pStyle w:val="TextBody"/>
        <w:spacing w:before="0" w:after="0"/>
        <w:rPr/>
      </w:pPr>
      <w:bookmarkStart w:id="92" w:name="avir-ex312_676.htm"/>
      <w:bookmarkStart w:id="93" w:name="ksavirex312_676"/>
      <w:bookmarkEnd w:id="92"/>
      <w:bookmarkEnd w:id="93"/>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31.2</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w:t>
      </w:r>
    </w:p>
    <w:p>
      <w:pPr>
        <w:pStyle w:val="TextBody"/>
        <w:spacing w:before="240" w:after="0"/>
        <w:rPr>
          <w:rFonts w:ascii="Arial" w:hAnsi="Arial"/>
          <w:b w:val="false"/>
          <w:i w:val="false"/>
          <w:caps w:val="false"/>
          <w:smallCaps w:val="false"/>
          <w:sz w:val="20"/>
        </w:rPr>
      </w:pPr>
      <w:r>
        <w:rPr>
          <w:rFonts w:ascii="Arial" w:hAnsi="Arial"/>
          <w:b w:val="false"/>
          <w:i w:val="false"/>
          <w:caps w:val="false"/>
          <w:smallCaps w:val="false"/>
          <w:sz w:val="20"/>
        </w:rPr>
        <w:t xml:space="preserve">I, </w:t>
      </w:r>
      <w:r>
        <w:rPr>
          <w:rFonts w:ascii="Arial" w:hAnsi="Arial"/>
          <w:b w:val="false"/>
          <w:i w:val="false"/>
          <w:caps w:val="false"/>
          <w:smallCaps w:val="false"/>
          <w:color w:val="000000"/>
          <w:sz w:val="20"/>
          <w:highlight w:val="white"/>
        </w:rPr>
        <w:t>Andrea Corcoran</w:t>
      </w:r>
      <w:r>
        <w:rPr>
          <w:rFonts w:ascii="Arial" w:hAnsi="Arial"/>
          <w:b w:val="false"/>
          <w:i w:val="false"/>
          <w:caps w:val="false"/>
          <w:smallCaps w:val="false"/>
          <w:sz w:val="20"/>
        </w:rPr>
        <w:t>, certify that:</w:t>
      </w:r>
    </w:p>
    <w:tbl>
      <w:tblPr>
        <w:tblW w:w="8665" w:type="dxa"/>
        <w:jc w:val="left"/>
        <w:tblInd w:w="0" w:type="dxa"/>
        <w:tblCellMar>
          <w:top w:w="0" w:type="dxa"/>
          <w:left w:w="0" w:type="dxa"/>
          <w:bottom w:w="0" w:type="dxa"/>
          <w:right w:w="0" w:type="dxa"/>
        </w:tblCellMar>
      </w:tblPr>
      <w:tblGrid>
        <w:gridCol w:w="200"/>
        <w:gridCol w:w="8465"/>
      </w:tblGrid>
      <w:tr>
        <w:trPr/>
        <w:tc>
          <w:tcPr>
            <w:tcW w:w="200"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8465"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I have reviewed this Annual Report on Form 10-K of Atea Pharmaceuticals. Inc.;</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8"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6"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1"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60"/>
        <w:gridCol w:w="202"/>
        <w:gridCol w:w="994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4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95" w:type="dxa"/>
        <w:jc w:val="left"/>
        <w:tblInd w:w="0" w:type="dxa"/>
        <w:tblCellMar>
          <w:top w:w="0" w:type="dxa"/>
          <w:left w:w="0" w:type="dxa"/>
          <w:bottom w:w="0" w:type="dxa"/>
          <w:right w:w="0" w:type="dxa"/>
        </w:tblCellMar>
      </w:tblPr>
      <w:tblGrid>
        <w:gridCol w:w="60"/>
        <w:gridCol w:w="245"/>
        <w:gridCol w:w="89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45"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890"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[Omitted];</w:t>
            </w:r>
          </w:p>
        </w:tc>
      </w:tr>
    </w:tbl>
    <w:tbl>
      <w:tblPr>
        <w:tblW w:w="10205" w:type="dxa"/>
        <w:jc w:val="left"/>
        <w:tblInd w:w="0" w:type="dxa"/>
        <w:tblCellMar>
          <w:top w:w="0" w:type="dxa"/>
          <w:left w:w="0" w:type="dxa"/>
          <w:bottom w:w="0" w:type="dxa"/>
          <w:right w:w="0" w:type="dxa"/>
        </w:tblCellMar>
      </w:tblPr>
      <w:tblGrid>
        <w:gridCol w:w="60"/>
        <w:gridCol w:w="208"/>
        <w:gridCol w:w="993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8"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(c)</w:t>
            </w:r>
          </w:p>
        </w:tc>
        <w:tc>
          <w:tcPr>
            <w:tcW w:w="9937"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3"/>
        <w:gridCol w:w="9942"/>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w:t>
            </w:r>
          </w:p>
        </w:tc>
        <w:tc>
          <w:tcPr>
            <w:tcW w:w="994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6"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10"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35"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4"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9921"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240" w:after="0"/>
        <w:rPr/>
      </w:pPr>
      <w:r>
        <w:rPr/>
        <w:t> </w:t>
      </w:r>
    </w:p>
    <w:p>
      <w:pPr>
        <w:pStyle w:val="TextBody"/>
        <w:spacing w:before="0" w:after="0"/>
        <w:rPr/>
      </w:pPr>
      <w:r>
        <w:rPr/>
        <w:t> </w:t>
      </w:r>
    </w:p>
    <w:tbl>
      <w:tblPr>
        <w:tblW w:w="8880" w:type="dxa"/>
        <w:jc w:val="center"/>
        <w:tblInd w:w="0" w:type="dxa"/>
        <w:tblCellMar>
          <w:top w:w="0" w:type="dxa"/>
          <w:left w:w="0" w:type="dxa"/>
          <w:bottom w:w="28" w:type="dxa"/>
          <w:right w:w="0" w:type="dxa"/>
        </w:tblCellMar>
      </w:tblPr>
      <w:tblGrid>
        <w:gridCol w:w="1955"/>
        <w:gridCol w:w="60"/>
        <w:gridCol w:w="320"/>
        <w:gridCol w:w="6545"/>
      </w:tblGrid>
      <w:tr>
        <w:trPr/>
        <w:tc>
          <w:tcPr>
            <w:tcW w:w="195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bookmarkStart w:id="94" w:name="_Hlk60802222"/>
            <w:bookmarkEnd w:id="94"/>
            <w:r>
              <w:rPr>
                <w:rFonts w:ascii="Arial" w:hAnsi="Arial"/>
                <w:b w:val="false"/>
                <w:i w:val="false"/>
                <w:caps w:val="false"/>
                <w:smallCaps w:val="false"/>
                <w:color w:val="000000"/>
                <w:sz w:val="20"/>
              </w:rPr>
              <w:t>Date:  March 30,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654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Andrea Corcoran</w:t>
            </w:r>
          </w:p>
        </w:tc>
      </w:tr>
      <w:tr>
        <w:trPr/>
        <w:tc>
          <w:tcPr>
            <w:tcW w:w="19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Andrea Corcoran</w:t>
            </w:r>
          </w:p>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Chief Financial Officer, Executive Vice President, Legal, and Secretary</w:t>
            </w:r>
          </w:p>
        </w:tc>
      </w:tr>
      <w:tr>
        <w:trPr/>
        <w:tc>
          <w:tcPr>
            <w:tcW w:w="19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5" w:type="dxa"/>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(principal financial officer)</w:t>
            </w:r>
          </w:p>
        </w:tc>
      </w:tr>
    </w:tbl>
    <w:p>
      <w:pPr>
        <w:pStyle w:val="TextBody"/>
        <w:spacing w:before="0" w:after="0"/>
        <w:rPr/>
      </w:pPr>
      <w:r>
        <w:rPr/>
        <w:t> </w:t>
      </w:r>
    </w:p>
    <w:p>
      <w:pPr>
        <w:pStyle w:val="TextBody"/>
        <w:spacing w:before="240" w:after="240"/>
        <w:rPr/>
      </w:pPr>
      <w:r>
        <w:rPr/>
        <w:t> </w:t>
      </w:r>
      <w:r>
        <w:br w:type="page"/>
      </w:r>
    </w:p>
    <w:p>
      <w:pPr>
        <w:pStyle w:val="TextBody"/>
        <w:shd w:fill="FFFFFF" w:val="clear"/>
        <w:spacing w:before="0" w:after="0"/>
        <w:jc w:val="right"/>
        <w:rPr>
          <w:rFonts w:ascii="Arial" w:hAnsi="Arial"/>
          <w:b/>
          <w:i w:val="false"/>
          <w:caps w:val="false"/>
          <w:smallCaps w:val="false"/>
          <w:color w:val="000000"/>
          <w:sz w:val="20"/>
        </w:rPr>
      </w:pPr>
      <w:bookmarkStart w:id="95" w:name="avir-ex321_8.htm"/>
      <w:bookmarkStart w:id="96" w:name="ksavirex321_8"/>
      <w:bookmarkEnd w:id="95"/>
      <w:bookmarkEnd w:id="96"/>
      <w:r>
        <w:rPr>
          <w:rFonts w:ascii="Arial" w:hAnsi="Arial"/>
          <w:b/>
          <w:i w:val="false"/>
          <w:caps w:val="false"/>
          <w:smallCaps w:val="false"/>
          <w:color w:val="000000"/>
          <w:sz w:val="20"/>
        </w:rPr>
        <w:t>Exhibit 32.1</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 PURSUANT TO 18 U.S.C. SECTION 1350,</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AS ADOPTED PURSUANT TO</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SECTION 906 OF THE SARBANES-OXLEY ACT OF 2002</w:t>
      </w:r>
    </w:p>
    <w:p>
      <w:pPr>
        <w:pStyle w:val="TextBody"/>
        <w:shd w:fill="FFFFFF" w:val="clear"/>
        <w:spacing w:before="240" w:after="0"/>
        <w:rPr>
          <w:rFonts w:ascii="Arial" w:hAnsi="Arial"/>
          <w:b w:val="false"/>
          <w:i w:val="false"/>
          <w:caps w:val="false"/>
          <w:smallCaps w:val="false"/>
          <w:sz w:val="20"/>
        </w:rPr>
      </w:pPr>
      <w:r>
        <w:rPr>
          <w:rFonts w:ascii="Arial" w:hAnsi="Arial"/>
          <w:b w:val="false"/>
          <w:i w:val="false"/>
          <w:caps w:val="false"/>
          <w:smallCaps w:val="false"/>
          <w:sz w:val="20"/>
        </w:rPr>
        <w:t xml:space="preserve">In connection with this Annual Report on Form 10-K of Atea Pharmaceuticals, Inc. (the “Company”) for the year ended December 31, 2020 as filed with the Securities and Exchange Commission on the date hereof (the “Report”), </w:t>
      </w:r>
      <w:r>
        <w:rPr>
          <w:rFonts w:ascii="Arial" w:hAnsi="Arial"/>
          <w:b w:val="false"/>
          <w:i w:val="false"/>
          <w:caps w:val="false"/>
          <w:smallCaps w:val="false"/>
          <w:color w:val="000000"/>
          <w:sz w:val="20"/>
        </w:rPr>
        <w:t>each of the undersigned officers hereby certifies, pursuant to 18 U.S.C. Section 1350, as adopted pursuant to Section 906 of the Sarbanes-Oxley Act of 2002, that to the best of his or her knowledge:</w:t>
      </w:r>
    </w:p>
    <w:tbl>
      <w:tblPr>
        <w:tblW w:w="10205" w:type="dxa"/>
        <w:jc w:val="left"/>
        <w:tblInd w:w="0" w:type="dxa"/>
        <w:tblCellMar>
          <w:top w:w="0" w:type="dxa"/>
          <w:left w:w="0" w:type="dxa"/>
          <w:bottom w:w="0" w:type="dxa"/>
          <w:right w:w="0" w:type="dxa"/>
        </w:tblCellMar>
      </w:tblPr>
      <w:tblGrid>
        <w:gridCol w:w="60"/>
        <w:gridCol w:w="242"/>
        <w:gridCol w:w="990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4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(1)</w:t>
            </w:r>
          </w:p>
        </w:tc>
        <w:tc>
          <w:tcPr>
            <w:tcW w:w="990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1"/>
        <w:gridCol w:w="9914"/>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1"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(2)</w:t>
            </w:r>
          </w:p>
        </w:tc>
        <w:tc>
          <w:tcPr>
            <w:tcW w:w="9914"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240" w:after="0"/>
        <w:rPr/>
      </w:pPr>
      <w:r>
        <w:rPr/>
        <w:t> </w:t>
      </w:r>
    </w:p>
    <w:p>
      <w:pPr>
        <w:pStyle w:val="TextBody"/>
        <w:spacing w:before="0" w:after="0"/>
        <w:rPr/>
      </w:pPr>
      <w:r>
        <w:rPr/>
        <w:t> </w:t>
      </w:r>
    </w:p>
    <w:tbl>
      <w:tblPr>
        <w:tblW w:w="5820" w:type="dxa"/>
        <w:jc w:val="center"/>
        <w:tblInd w:w="0" w:type="dxa"/>
        <w:tblCellMar>
          <w:top w:w="0" w:type="dxa"/>
          <w:left w:w="0" w:type="dxa"/>
          <w:bottom w:w="28" w:type="dxa"/>
          <w:right w:w="0" w:type="dxa"/>
        </w:tblCellMar>
      </w:tblPr>
      <w:tblGrid>
        <w:gridCol w:w="1895"/>
        <w:gridCol w:w="60"/>
        <w:gridCol w:w="60"/>
        <w:gridCol w:w="320"/>
        <w:gridCol w:w="3485"/>
      </w:tblGrid>
      <w:tr>
        <w:trPr/>
        <w:tc>
          <w:tcPr>
            <w:tcW w:w="189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March 30, 2021</w:t>
            </w:r>
          </w:p>
        </w:tc>
        <w:tc>
          <w:tcPr>
            <w:tcW w:w="60" w:type="dxa"/>
            <w:tcBorders>
              <w:bottom w:val="single" w:sz="6" w:space="0" w:color="000000"/>
            </w:tcBorders>
            <w:shd w:fill="FFFFFF" w:val="clear"/>
          </w:tcPr>
          <w:p>
            <w:pPr>
              <w:pStyle w:val="TableContents"/>
              <w:spacing w:before="0" w:after="0"/>
              <w:ind w:left="0" w:right="0" w:hanging="0"/>
              <w:rPr/>
            </w:pPr>
            <w:r>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348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Jean-Pierre Sommadossi</w:t>
            </w:r>
          </w:p>
        </w:tc>
      </w:tr>
      <w:tr>
        <w:trPr/>
        <w:tc>
          <w:tcPr>
            <w:tcW w:w="18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4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Jean-Pierre Sommadossi, Ph.D.</w:t>
            </w:r>
          </w:p>
        </w:tc>
      </w:tr>
      <w:tr>
        <w:trPr/>
        <w:tc>
          <w:tcPr>
            <w:tcW w:w="18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85" w:type="dxa"/>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President and Chief Executive Officer</w:t>
            </w:r>
          </w:p>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(principal executive officer)</w:t>
            </w:r>
          </w:p>
        </w:tc>
      </w:tr>
    </w:tbl>
    <w:p>
      <w:pPr>
        <w:pStyle w:val="TextBody"/>
        <w:spacing w:before="0" w:after="0"/>
        <w:rPr/>
      </w:pPr>
      <w:r>
        <w:rPr/>
        <w:t> </w:t>
      </w:r>
      <w:r>
        <w:br w:type="page"/>
      </w:r>
    </w:p>
    <w:p>
      <w:pPr>
        <w:pStyle w:val="TextBody"/>
        <w:shd w:fill="FFFFFF" w:val="clear"/>
        <w:spacing w:before="0" w:after="0"/>
        <w:jc w:val="right"/>
        <w:rPr>
          <w:rFonts w:ascii="Arial" w:hAnsi="Arial"/>
          <w:b/>
          <w:i w:val="false"/>
          <w:caps w:val="false"/>
          <w:smallCaps w:val="false"/>
          <w:color w:val="000000"/>
          <w:sz w:val="20"/>
        </w:rPr>
      </w:pPr>
      <w:bookmarkStart w:id="97" w:name="avir-ex322_678.htm"/>
      <w:bookmarkStart w:id="98" w:name="ksavirex322_678"/>
      <w:bookmarkEnd w:id="97"/>
      <w:bookmarkEnd w:id="98"/>
      <w:r>
        <w:rPr>
          <w:rFonts w:ascii="Arial" w:hAnsi="Arial"/>
          <w:b/>
          <w:i w:val="false"/>
          <w:caps w:val="false"/>
          <w:smallCaps w:val="false"/>
          <w:color w:val="000000"/>
          <w:sz w:val="20"/>
        </w:rPr>
        <w:t>Exhibit 32.2</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 PURSUANT TO 18 U.S.C. SECTION 1350,</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AS ADOPTED PURSUANT TO</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SECTION 906 OF THE SARBANES-OXLEY ACT OF 2002</w:t>
      </w:r>
    </w:p>
    <w:p>
      <w:pPr>
        <w:pStyle w:val="TextBody"/>
        <w:shd w:fill="FFFFFF" w:val="clear"/>
        <w:spacing w:before="0" w:after="0"/>
        <w:jc w:val="center"/>
        <w:rPr/>
      </w:pPr>
      <w:r>
        <w:rPr/>
        <w:t> </w:t>
      </w:r>
    </w:p>
    <w:p>
      <w:pPr>
        <w:pStyle w:val="TextBody"/>
        <w:shd w:fill="FFFFFF" w:val="clear"/>
        <w:spacing w:before="240" w:after="0"/>
        <w:rPr>
          <w:rFonts w:ascii="Arial" w:hAnsi="Arial"/>
          <w:b w:val="false"/>
          <w:i w:val="false"/>
          <w:caps w:val="false"/>
          <w:smallCaps w:val="false"/>
          <w:sz w:val="20"/>
        </w:rPr>
      </w:pPr>
      <w:r>
        <w:rPr>
          <w:rFonts w:ascii="Arial" w:hAnsi="Arial"/>
          <w:b w:val="false"/>
          <w:i w:val="false"/>
          <w:caps w:val="false"/>
          <w:smallCaps w:val="false"/>
          <w:sz w:val="20"/>
        </w:rPr>
        <w:t xml:space="preserve">In connection with this Annual Report on Form 10-K of Atea Pharmaceuticals, Inc. (the “Company”) for the year ended December 31, 2020 as filed with the Securities and Exchange Commission on the date hereof (the “Report”), </w:t>
      </w:r>
      <w:r>
        <w:rPr>
          <w:rFonts w:ascii="Arial" w:hAnsi="Arial"/>
          <w:b w:val="false"/>
          <w:i w:val="false"/>
          <w:caps w:val="false"/>
          <w:smallCaps w:val="false"/>
          <w:color w:val="000000"/>
          <w:sz w:val="20"/>
        </w:rPr>
        <w:t>each of the undersigned officers hereby certifies, pursuant to 18 U.S.C. Section 1350, as adopted pursuant to Section 906 of the Sarbanes-Oxley Act of 2002, that to the best of his or her knowledge:</w:t>
      </w:r>
    </w:p>
    <w:tbl>
      <w:tblPr>
        <w:tblW w:w="10205" w:type="dxa"/>
        <w:jc w:val="left"/>
        <w:tblInd w:w="0" w:type="dxa"/>
        <w:tblCellMar>
          <w:top w:w="0" w:type="dxa"/>
          <w:left w:w="0" w:type="dxa"/>
          <w:bottom w:w="0" w:type="dxa"/>
          <w:right w:w="0" w:type="dxa"/>
        </w:tblCellMar>
      </w:tblPr>
      <w:tblGrid>
        <w:gridCol w:w="60"/>
        <w:gridCol w:w="242"/>
        <w:gridCol w:w="990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4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(1)</w:t>
            </w:r>
          </w:p>
        </w:tc>
        <w:tc>
          <w:tcPr>
            <w:tcW w:w="990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1"/>
        <w:gridCol w:w="9914"/>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1"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(2)</w:t>
            </w:r>
          </w:p>
        </w:tc>
        <w:tc>
          <w:tcPr>
            <w:tcW w:w="9914"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0"/>
        <w:rPr/>
      </w:pPr>
      <w:r>
        <w:rPr/>
        <w:t> </w:t>
      </w:r>
    </w:p>
    <w:tbl>
      <w:tblPr>
        <w:tblW w:w="8880" w:type="dxa"/>
        <w:jc w:val="center"/>
        <w:tblInd w:w="0" w:type="dxa"/>
        <w:tblCellMar>
          <w:top w:w="0" w:type="dxa"/>
          <w:left w:w="0" w:type="dxa"/>
          <w:bottom w:w="28" w:type="dxa"/>
          <w:right w:w="0" w:type="dxa"/>
        </w:tblCellMar>
      </w:tblPr>
      <w:tblGrid>
        <w:gridCol w:w="1895"/>
        <w:gridCol w:w="60"/>
        <w:gridCol w:w="60"/>
        <w:gridCol w:w="320"/>
        <w:gridCol w:w="6545"/>
      </w:tblGrid>
      <w:tr>
        <w:trPr/>
        <w:tc>
          <w:tcPr>
            <w:tcW w:w="189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March 30, 2021</w:t>
            </w:r>
          </w:p>
        </w:tc>
        <w:tc>
          <w:tcPr>
            <w:tcW w:w="60" w:type="dxa"/>
            <w:tcBorders>
              <w:bottom w:val="single" w:sz="6" w:space="0" w:color="000000"/>
            </w:tcBorders>
            <w:shd w:fill="FFFFFF" w:val="clear"/>
          </w:tcPr>
          <w:p>
            <w:pPr>
              <w:pStyle w:val="TableContents"/>
              <w:spacing w:before="0" w:after="0"/>
              <w:ind w:left="0" w:right="0" w:hanging="0"/>
              <w:rPr/>
            </w:pPr>
            <w:r>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pPr>
            <w:r>
              <w:rPr/>
              <w:t> </w:t>
            </w:r>
          </w:p>
          <w:p>
            <w:pPr>
              <w:pStyle w:val="TableContents"/>
              <w:spacing w:before="0" w:after="0"/>
              <w:ind w:left="0" w:right="0" w:hanging="0"/>
              <w:rPr/>
            </w:pPr>
            <w:r>
              <w:rPr/>
              <w:t> </w:t>
            </w:r>
          </w:p>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654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Andrea Corcoran</w:t>
            </w:r>
          </w:p>
        </w:tc>
      </w:tr>
      <w:tr>
        <w:trPr/>
        <w:tc>
          <w:tcPr>
            <w:tcW w:w="18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Andrea Corcoran</w:t>
            </w:r>
          </w:p>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Chief Financial Officer, Executive Vice President, Legal, and Secretary</w:t>
            </w:r>
          </w:p>
        </w:tc>
      </w:tr>
      <w:tr>
        <w:trPr/>
        <w:tc>
          <w:tcPr>
            <w:tcW w:w="18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5" w:type="dxa"/>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(principal financial officer)</w:t>
            </w:r>
          </w:p>
        </w:tc>
      </w:tr>
    </w:tbl>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 w:name="Times New Roman Bold">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hyperlink" Target="http://www.sec.gov/Archives/edgar/data/1593899/000119312520286850/d97355dex31.htm" TargetMode="External"/><Relationship Id="rId15" Type="http://schemas.openxmlformats.org/officeDocument/2006/relationships/hyperlink" Target="http://www.sec.gov/Archives/edgar/data/1593899/000119312520286850/d97355dex32.htm" TargetMode="External"/><Relationship Id="rId16" Type="http://schemas.openxmlformats.org/officeDocument/2006/relationships/hyperlink" Target="http://www.sec.gov/Archives/edgar/data/1593899/000119312520267199/d913778dex42.htm" TargetMode="External"/><Relationship Id="rId17" Type="http://schemas.openxmlformats.org/officeDocument/2006/relationships/hyperlink" Target="http://www.sec.gov/Archives/edgar/data/1593899/000119312520274635/d913778dex41.htm" TargetMode="External"/><Relationship Id="rId18" Type="http://schemas.openxmlformats.org/officeDocument/2006/relationships/hyperlink" Target="http://www.sec.gov/Archives/edgar/data/1593899/000119312520275997/d913778dex102.htm" TargetMode="External"/><Relationship Id="rId19" Type="http://schemas.openxmlformats.org/officeDocument/2006/relationships/hyperlink" Target="http://www.sec.gov/Archives/edgar/data/1593899/000119312520275997/d913778dex103.htm" TargetMode="External"/><Relationship Id="rId20" Type="http://schemas.openxmlformats.org/officeDocument/2006/relationships/hyperlink" Target="http://www.sec.gov/Archives/edgar/data/1593899/000119312520275997/d913778dex104.htm" TargetMode="External"/><Relationship Id="rId21" Type="http://schemas.openxmlformats.org/officeDocument/2006/relationships/hyperlink" Target="http://www.sec.gov/Archives/edgar/data/1593899/000119312520275997/d913778dex105.htm" TargetMode="External"/><Relationship Id="rId22" Type="http://schemas.openxmlformats.org/officeDocument/2006/relationships/hyperlink" Target="http://www.sec.gov/Archives/edgar/data/1593899/000119312520274635/d913778dex108.htm" TargetMode="External"/><Relationship Id="rId23" Type="http://schemas.openxmlformats.org/officeDocument/2006/relationships/hyperlink" Target="http://www.sec.gov/Archives/edgar/data/1593899/000119312520275997/d913778dex109.htm" TargetMode="External"/><Relationship Id="rId24" Type="http://schemas.openxmlformats.org/officeDocument/2006/relationships/hyperlink" Target="http://www.sec.gov/Archives/edgar/data/1593899/000119312520275997/d913778dex1010.htm" TargetMode="External"/><Relationship Id="rId25" Type="http://schemas.openxmlformats.org/officeDocument/2006/relationships/hyperlink" Target="http://www.sec.gov/Archives/edgar/data/1593899/000119312520267199/0001193125-20-267199.txt" TargetMode="External"/><Relationship Id="rId26" Type="http://schemas.openxmlformats.org/officeDocument/2006/relationships/hyperlink" Target="http://www.sec.gov/Archives/edgar/data/1593899/000119312520275997/d913778dex105.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26</Pages>
  <Words>133549</Words>
  <CharactersWithSpaces>877094</CharactersWithSpaces>
  <Paragraphs>7624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