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vir-20260630.htm"/>
      <w:bookmarkStart w:id="1" w:name="ksavir20260630"/>
      <w:bookmarkEnd w:id="0"/>
      <w:bookmarkEnd w:id="1"/>
      <w:r>
        <w:rPr/>
        <w:t> </w:t>
      </w:r>
    </w:p>
    <w:p>
      <w:pPr>
        <w:pStyle w:val="TextBody"/>
        <w:pBdr>
          <w:top w:val="double" w:sz="4" w:space="1" w:color="000000"/>
        </w:pBdr>
        <w:bidi w:val="0"/>
        <w:jc w:val="center"/>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spacing w:before="60" w:after="283"/>
        <w:jc w:val="center"/>
        <w:rPr/>
      </w:pPr>
      <w:r>
        <w:rPr/>
        <w:t> </w:t>
      </w:r>
    </w:p>
    <w:p>
      <w:pPr>
        <w:pStyle w:val="TextBody"/>
        <w:bidi w:val="0"/>
        <w:spacing w:before="90" w:after="283"/>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spacing w:before="60" w:after="283"/>
        <w:jc w:val="center"/>
        <w:rPr>
          <w:rFonts w:ascii="Arial" w:hAnsi="Arial"/>
          <w:sz w:val="20"/>
        </w:rPr>
      </w:pPr>
      <w:r>
        <w:rPr>
          <w:rFonts w:ascii="Arial" w:hAnsi="Arial"/>
          <w:b/>
          <w:color w:val="000000"/>
          <w:sz w:val="20"/>
        </w:rPr>
        <w:t>For the quarterly period ended June 30, 2026</w:t>
      </w:r>
      <w:r>
        <w:rPr>
          <w:rFonts w:ascii="Arial" w:hAnsi="Arial"/>
          <w:color w:val="000000"/>
          <w:sz w:val="20"/>
        </w:rPr>
        <w:t xml:space="preserve"> </w:t>
      </w:r>
    </w:p>
    <w:p>
      <w:pPr>
        <w:pStyle w:val="TextBody"/>
        <w:bidi w:val="0"/>
        <w:spacing w:before="60" w:after="283"/>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spacing w:before="60" w:after="283"/>
        <w:jc w:val="center"/>
        <w:rPr>
          <w:rFonts w:ascii="Arial" w:hAnsi="Arial"/>
          <w:b/>
          <w:color w:val="000000"/>
          <w:sz w:val="20"/>
        </w:rPr>
      </w:pPr>
      <w:r>
        <w:rPr>
          <w:rFonts w:ascii="Arial" w:hAnsi="Arial"/>
          <w:b/>
          <w:color w:val="000000"/>
          <w:sz w:val="20"/>
        </w:rPr>
        <w:t>For the transition period from _______________ to _______________</w:t>
      </w:r>
    </w:p>
    <w:p>
      <w:pPr>
        <w:pStyle w:val="TextBody"/>
        <w:bidi w:val="0"/>
        <w:spacing w:before="60" w:after="283"/>
        <w:jc w:val="center"/>
        <w:rPr>
          <w:rFonts w:ascii="Arial" w:hAnsi="Arial"/>
          <w:b/>
          <w:color w:val="000000"/>
          <w:sz w:val="20"/>
        </w:rPr>
      </w:pPr>
      <w:r>
        <w:rPr>
          <w:rFonts w:ascii="Arial" w:hAnsi="Arial"/>
          <w:b/>
          <w:color w:val="000000"/>
          <w:sz w:val="20"/>
        </w:rPr>
        <w:t>Commission File Number: 001-39661</w:t>
      </w:r>
    </w:p>
    <w:p>
      <w:pPr>
        <w:pStyle w:val="TextBody"/>
        <w:pBdr>
          <w:bottom w:val="single" w:sz="4" w:space="1" w:color="000000"/>
        </w:pBdr>
        <w:bidi w:val="0"/>
        <w:spacing w:before="60" w:after="120"/>
        <w:jc w:val="center"/>
        <w:rPr/>
      </w:pPr>
      <w:r>
        <w:rPr/>
        <w:t> </w:t>
      </w:r>
    </w:p>
    <w:p>
      <w:pPr>
        <w:pStyle w:val="TextBody"/>
        <w:bidi w:val="0"/>
        <w:jc w:val="center"/>
        <w:rPr>
          <w:rFonts w:ascii="Arial" w:hAnsi="Arial"/>
          <w:b/>
          <w:color w:val="000000"/>
          <w:sz w:val="44"/>
        </w:rPr>
      </w:pPr>
      <w:r>
        <w:rPr>
          <w:rFonts w:ascii="Arial" w:hAnsi="Arial"/>
          <w:b/>
          <w:color w:val="000000"/>
          <w:sz w:val="44"/>
        </w:rPr>
        <w:t>Atea Pharmaceuticals, Inc.</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4232" w:type="dxa"/>
        <w:jc w:val="left"/>
        <w:tblInd w:w="0" w:type="dxa"/>
        <w:tblLayout w:type="fixed"/>
        <w:tblCellMar>
          <w:top w:w="28" w:type="dxa"/>
          <w:left w:w="28" w:type="dxa"/>
          <w:bottom w:w="28" w:type="dxa"/>
          <w:right w:w="28" w:type="dxa"/>
        </w:tblCellMar>
      </w:tblPr>
      <w:tblGrid>
        <w:gridCol w:w="2941"/>
        <w:gridCol w:w="1291"/>
      </w:tblGrid>
      <w:tr>
        <w:trPr/>
        <w:tc>
          <w:tcPr>
            <w:tcW w:w="294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46-0574869</w:t>
            </w:r>
          </w:p>
        </w:tc>
      </w:tr>
      <w:tr>
        <w:trPr/>
        <w:tc>
          <w:tcPr>
            <w:tcW w:w="2941"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15"/>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(I.R.S. Employer</w:t>
              <w:br/>
              <w:t>Identification No.)</w:t>
            </w:r>
          </w:p>
        </w:tc>
      </w:tr>
      <w:tr>
        <w:trPr/>
        <w:tc>
          <w:tcPr>
            <w:tcW w:w="2941"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225 Franklin Street, Suite 2100</w:t>
            </w:r>
          </w:p>
          <w:p>
            <w:pPr>
              <w:pStyle w:val="TableContents"/>
              <w:bidi w:val="0"/>
              <w:spacing w:before="0" w:after="283"/>
              <w:jc w:val="center"/>
              <w:rPr>
                <w:rFonts w:ascii="Arial" w:hAnsi="Arial"/>
                <w:sz w:val="20"/>
              </w:rPr>
            </w:pPr>
            <w:r>
              <w:rPr>
                <w:rFonts w:ascii="Arial" w:hAnsi="Arial"/>
                <w:b/>
                <w:color w:val="000000"/>
                <w:sz w:val="20"/>
              </w:rPr>
              <w:t>Boston, MA</w:t>
            </w:r>
            <w:r>
              <w:rPr>
                <w:rFonts w:ascii="Arial" w:hAnsi="Arial"/>
                <w:color w:val="000000"/>
                <w:sz w:val="20"/>
              </w:rPr>
              <w:t xml:space="preserve">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02110</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(857) 284-8891</w:t>
      </w:r>
    </w:p>
    <w:p>
      <w:pPr>
        <w:pStyle w:val="TextBody"/>
        <w:bidi w:val="0"/>
        <w:jc w:val="center"/>
        <w:rPr>
          <w:rFonts w:ascii="Arial" w:hAnsi="Arial"/>
          <w:b/>
          <w:color w:val="000000"/>
          <w:sz w:val="14"/>
        </w:rPr>
      </w:pPr>
      <w:r>
        <w:rPr>
          <w:rFonts w:ascii="Arial" w:hAnsi="Arial"/>
          <w:b/>
          <w:color w:val="000000"/>
          <w:sz w:val="14"/>
        </w:rPr>
        <w:t>(Registrant’s telephone number, including area code)</w:t>
      </w:r>
    </w:p>
    <w:p>
      <w:pPr>
        <w:pStyle w:val="TextBody"/>
        <w:bidi w:val="0"/>
        <w:jc w:val="center"/>
        <w:rPr/>
      </w:pPr>
      <w:r>
        <w:rPr/>
        <w:t> </w:t>
      </w:r>
    </w:p>
    <w:p>
      <w:pPr>
        <w:pStyle w:val="TextBody"/>
        <w:bidi w:val="0"/>
        <w:jc w:val="center"/>
        <w:rPr/>
      </w:pPr>
      <w:r>
        <w:rPr/>
        <w:t> </w:t>
      </w:r>
    </w:p>
    <w:p>
      <w:pPr>
        <w:pStyle w:val="TextBody"/>
        <w:bidi w:val="0"/>
        <w:jc w:val="center"/>
        <w:rPr>
          <w:rFonts w:ascii="Arial" w:hAnsi="Arial"/>
          <w:b/>
          <w:color w:val="000000"/>
          <w:sz w:val="14"/>
        </w:rPr>
      </w:pPr>
      <w:r>
        <w:rPr>
          <w:rFonts w:ascii="Arial" w:hAnsi="Arial"/>
          <w:b/>
          <w:color w:val="000000"/>
          <w:sz w:val="14"/>
        </w:rPr>
        <w:t>(Former name, former address and former fiscal year, if changed since last report)</w:t>
      </w:r>
    </w:p>
    <w:p>
      <w:pPr>
        <w:pStyle w:val="TextBody"/>
        <w:pBdr>
          <w:bottom w:val="single" w:sz="4" w:space="1" w:color="000000"/>
        </w:pBdr>
        <w:bidi w:val="0"/>
        <w:jc w:val="center"/>
        <w:rPr/>
      </w:pPr>
      <w:r>
        <w:rPr/>
        <w:t> </w:t>
      </w:r>
    </w:p>
    <w:p>
      <w:pPr>
        <w:pStyle w:val="TextBody"/>
        <w:bidi w:val="0"/>
        <w:jc w:val="left"/>
        <w:rPr/>
      </w:pPr>
      <w:r>
        <w:rPr/>
        <w:t> </w:t>
      </w:r>
    </w:p>
    <w:p>
      <w:pPr>
        <w:pStyle w:val="TextBody"/>
        <w:bidi w:val="0"/>
        <w:jc w:val="left"/>
        <w:rPr>
          <w:rFonts w:ascii="Arial" w:hAnsi="Arial"/>
          <w:sz w:val="20"/>
        </w:rPr>
      </w:pPr>
      <w:r>
        <w:rPr>
          <w:rFonts w:ascii="Arial" w:hAnsi="Arial"/>
          <w:color w:val="000000"/>
          <w:sz w:val="18"/>
        </w:rPr>
        <w:t>Securities registered pursuant to Section 12(b) of the Act:</w:t>
      </w:r>
      <w:r>
        <w:rPr>
          <w:rFonts w:ascii="Arial" w:hAnsi="Arial"/>
          <w:color w:val="000000"/>
          <w:sz w:val="20"/>
        </w:rPr>
        <w:t xml:space="preserve"> </w:t>
      </w:r>
    </w:p>
    <w:p>
      <w:pPr>
        <w:pStyle w:val="TextBody"/>
        <w:bidi w:val="0"/>
        <w:jc w:val="left"/>
        <w:rPr/>
      </w:pPr>
      <w:r>
        <w:rPr/>
        <w:t> </w:t>
      </w:r>
    </w:p>
    <w:tbl>
      <w:tblPr>
        <w:tblW w:w="8530" w:type="dxa"/>
        <w:jc w:val="left"/>
        <w:tblInd w:w="0" w:type="dxa"/>
        <w:tblLayout w:type="fixed"/>
        <w:tblCellMar>
          <w:top w:w="28" w:type="dxa"/>
          <w:left w:w="28" w:type="dxa"/>
          <w:bottom w:w="28" w:type="dxa"/>
          <w:right w:w="28" w:type="dxa"/>
        </w:tblCellMar>
      </w:tblPr>
      <w:tblGrid>
        <w:gridCol w:w="3661"/>
        <w:gridCol w:w="146"/>
        <w:gridCol w:w="916"/>
        <w:gridCol w:w="146"/>
        <w:gridCol w:w="366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AVIR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The Nasdaq Global Select Market</w:t>
            </w:r>
          </w:p>
        </w:tc>
      </w:tr>
    </w:tbl>
    <w:p>
      <w:pPr>
        <w:pStyle w:val="TextBody"/>
        <w:bidi w:val="0"/>
        <w:jc w:val="left"/>
        <w:rPr/>
      </w:pPr>
      <w:r>
        <w:rPr/>
        <w:t> </w:t>
      </w:r>
    </w:p>
    <w:p>
      <w:pPr>
        <w:pStyle w:val="TextBody"/>
        <w:bidi w:val="0"/>
        <w:jc w:val="left"/>
        <w:rPr>
          <w:rFonts w:ascii="Arial" w:hAnsi="Arial"/>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 w:hAnsi="Arial"/>
          <w:color w:val="000000"/>
          <w:sz w:val="20"/>
        </w:rPr>
        <w:t xml:space="preserve"> ☒ </w:t>
      </w:r>
      <w:r>
        <w:rPr>
          <w:rFonts w:ascii="Arial" w:hAnsi="Arial"/>
          <w:color w:val="000000"/>
          <w:sz w:val="18"/>
        </w:rPr>
        <w:t>No ☐</w:t>
      </w:r>
    </w:p>
    <w:p>
      <w:pPr>
        <w:pStyle w:val="TextBody"/>
        <w:bidi w:val="0"/>
        <w:spacing w:before="60" w:after="283"/>
        <w:jc w:val="left"/>
        <w:rPr>
          <w:rFonts w:ascii="Arial" w:hAnsi="Arial"/>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Arial" w:hAnsi="Arial"/>
          <w:color w:val="000000"/>
          <w:sz w:val="20"/>
        </w:rPr>
        <w:t xml:space="preserve"> ☒ </w:t>
      </w:r>
      <w:r>
        <w:rPr>
          <w:rFonts w:ascii="Arial" w:hAnsi="Arial"/>
          <w:color w:val="000000"/>
          <w:sz w:val="18"/>
        </w:rPr>
        <w:t>No ☐</w:t>
      </w:r>
    </w:p>
    <w:p>
      <w:pPr>
        <w:pStyle w:val="TextBody"/>
        <w:bidi w:val="0"/>
        <w:spacing w:before="60" w:after="283"/>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77" w:type="dxa"/>
        <w:jc w:val="left"/>
        <w:tblInd w:w="0" w:type="dxa"/>
        <w:tblLayout w:type="fixed"/>
        <w:tblCellMar>
          <w:top w:w="28" w:type="dxa"/>
          <w:left w:w="28" w:type="dxa"/>
          <w:bottom w:w="28" w:type="dxa"/>
          <w:right w:w="28" w:type="dxa"/>
        </w:tblCellMar>
      </w:tblPr>
      <w:tblGrid>
        <w:gridCol w:w="1951"/>
        <w:gridCol w:w="146"/>
        <w:gridCol w:w="316"/>
        <w:gridCol w:w="146"/>
        <w:gridCol w:w="2311"/>
        <w:gridCol w:w="146"/>
        <w:gridCol w:w="36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Arial" w:hAnsi="Arial"/>
          <w:sz w:val="20"/>
        </w:rPr>
      </w:pPr>
      <w:r>
        <w:rPr>
          <w:rFonts w:ascii="Arial" w:hAnsi="Arial"/>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hAnsi="Arial"/>
          <w:color w:val="000000"/>
          <w:sz w:val="20"/>
        </w:rPr>
        <w:t xml:space="preserve"> </w:t>
      </w:r>
    </w:p>
    <w:p>
      <w:pPr>
        <w:pStyle w:val="TextBody"/>
        <w:bidi w:val="0"/>
        <w:spacing w:before="60" w:after="283"/>
        <w:jc w:val="left"/>
        <w:rPr>
          <w:rFonts w:ascii="Arial" w:hAnsi="Arial"/>
          <w:sz w:val="20"/>
        </w:rPr>
      </w:pPr>
      <w:r>
        <w:rPr>
          <w:rFonts w:ascii="Arial" w:hAnsi="Arial"/>
          <w:color w:val="000000"/>
          <w:sz w:val="18"/>
        </w:rPr>
        <w:t xml:space="preserve">Indicate by check mark whether the registrant is a shell company (as defined in Rule 12b-2 of the Exchange Act). Yes ☐ No </w:t>
      </w:r>
      <w:r>
        <w:rPr>
          <w:rFonts w:ascii="Arial" w:hAnsi="Arial"/>
          <w:color w:val="000000"/>
          <w:sz w:val="20"/>
        </w:rPr>
        <w:t>☒</w:t>
      </w:r>
    </w:p>
    <w:p>
      <w:pPr>
        <w:pStyle w:val="TextBody"/>
        <w:bidi w:val="0"/>
        <w:spacing w:before="60" w:after="283"/>
        <w:jc w:val="left"/>
        <w:rPr>
          <w:rFonts w:ascii="Arial" w:hAnsi="Arial"/>
          <w:sz w:val="20"/>
        </w:rPr>
      </w:pPr>
      <w:r>
        <w:rPr>
          <w:rFonts w:ascii="Arial" w:hAnsi="Arial"/>
          <w:color w:val="000000"/>
          <w:sz w:val="18"/>
        </w:rPr>
        <w:t>As of August 10, 2026, the registrant had 80,204,699</w:t>
      </w:r>
      <w:r>
        <w:rPr>
          <w:rFonts w:ascii="Arial" w:hAnsi="Arial"/>
          <w:color w:val="000000"/>
          <w:sz w:val="20"/>
        </w:rPr>
        <w:t xml:space="preserve"> </w:t>
      </w:r>
      <w:r>
        <w:rPr>
          <w:rFonts w:ascii="Arial" w:hAnsi="Arial"/>
          <w:color w:val="000000"/>
          <w:sz w:val="18"/>
        </w:rPr>
        <w:t>shares of common stock, $0.001 par value per share, outstanding.</w:t>
      </w:r>
    </w:p>
    <w:p>
      <w:pPr>
        <w:pStyle w:val="TextBody"/>
        <w:pBdr>
          <w:bottom w:val="double" w:sz="4"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 w:name="special_note_regarding_forward_looking_s"/>
      <w:bookmarkEnd w:id="2"/>
      <w:r>
        <w:rPr>
          <w:rFonts w:ascii="Arial" w:hAnsi="Arial"/>
          <w:b/>
          <w:color w:val="000000"/>
          <w:sz w:val="20"/>
        </w:rPr>
        <w:t>SPECIAL NOTE REGARDING FORWARD-LOOKING STATEMENTS AND INDUSTRY DATA</w:t>
      </w:r>
    </w:p>
    <w:p>
      <w:pPr>
        <w:pStyle w:val="TextBody"/>
        <w:bidi w:val="0"/>
        <w:jc w:val="left"/>
        <w:rPr>
          <w:rFonts w:ascii="Arial" w:hAnsi="Arial"/>
          <w:color w:val="000000"/>
          <w:sz w:val="20"/>
        </w:rPr>
      </w:pPr>
      <w:r>
        <w:rPr>
          <w:rFonts w:ascii="Arial" w:hAnsi="Arial"/>
          <w:color w:val="000000"/>
          <w:sz w:val="20"/>
        </w:rPr>
        <w:t>This Quarterly Report on Form 10-Q contains forward-looking statements. We make such forward-looking statements pursuant to the safe harbor provisions of the Private Securities Litigation Reform Act of 1995 and other federal securities laws. Forward-looking statements are neither historical facts nor assurances of future performance. Instead, they are based on our current beliefs, expectations and assumptions regarding the future of our business, future plans and strategies, our clinical development timelines and results and other future conditions. The words “aim,” “anticipate,” “believe,” “contemplate,” “continue,” “could,” “estimate,” “expect,” “goal,” “intend,” “may,” "objective," "on track," “plan,” “possible,” “potential,” “predict,” “project,” “seek,” “should,” “target,” “will,” “would” or the negative of these terms or other similar expressions are intended to identify forward-looking statements, although not all forward-looking statements contain these identifying words.</w:t>
      </w:r>
    </w:p>
    <w:p>
      <w:pPr>
        <w:pStyle w:val="TextBody"/>
        <w:bidi w:val="0"/>
        <w:jc w:val="left"/>
        <w:rPr>
          <w:rFonts w:ascii="Arial" w:hAnsi="Arial"/>
          <w:color w:val="000000"/>
          <w:sz w:val="20"/>
        </w:rPr>
      </w:pPr>
      <w:r>
        <w:rPr>
          <w:rFonts w:ascii="Arial" w:hAnsi="Arial"/>
          <w:color w:val="000000"/>
          <w:sz w:val="20"/>
        </w:rPr>
        <w:t>These forward-looking statements include, among other things,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expectations relating to the projected costs, timing of completion and reporting of results from C-FORWARD, our Phase 3 clinical trial evaluating the fixed-dose combination of bemnifosbuvir and ruzasvir (“BEM/RZR”), our product candidate for the treatment of hepatitis C virus (“HCV”);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relating to clinical trials evaluating AT-587, our product candidate for the treatment of hepatitis E virus ("HEV"), including projected costs, study designs and the timing for initiation, recruitment, completion, and reporting interim, top-line and final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potential therapeutic benefit of our HCV and HEV product candidates and market opportunities therefor;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safety profile and related adverse events of our HCV and HEV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plans to research, develop and commercialize our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potential benefits of any future collaboration we may enter into;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of and our ability to apply for, and if successful, obtain and maintain regulatory approvals for our product candidates, including the anticipated submission to the U.S. Food and Drug Administration of a new drug application seeking approval to market the regimen of BEM/RZR for the treatment of HCV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expected size of the commercial market for our HCV and HEV product candidates and any other product candidate for which we may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rate and degree of market acceptance and clinical utility of any products for which we may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manufacturing and commercialization capabilities and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estimates regarding future revenue, expenses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progress of, timing of and amount of expenses associated with our research, development and commercialization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future financial position, capital requirements, cash runway, needs for additional financing and the availability of such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business strategy and review of strategic alternatives;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developments relating to our industry and our competitors, including competing HCV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regarding federal, state and foreign laws and regulations;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attract, motivate, and retain key personnel.</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These forward-looking statements are based on management’s current expectations, estimates, forecasts and projections about our business and the industry in which we operate.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may cause actual results to </w:t>
      </w:r>
    </w:p>
    <w:p>
      <w:pPr>
        <w:pStyle w:val="TextBody"/>
        <w:bidi w:val="0"/>
        <w:spacing w:before="240" w:after="283"/>
        <w:jc w:val="center"/>
        <w:rPr>
          <w:rFonts w:ascii="Arial" w:hAnsi="Arial"/>
          <w:color w:val="000000"/>
          <w:sz w:val="20"/>
        </w:rPr>
      </w:pP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sz w:val="20"/>
        </w:rPr>
      </w:pPr>
      <w:r>
        <w:rPr>
          <w:rFonts w:ascii="Arial" w:hAnsi="Arial"/>
          <w:color w:val="000000"/>
          <w:sz w:val="20"/>
        </w:rPr>
        <w:t xml:space="preserve">differ materially from current expectations include the initiation, execution and completion of clinical trials, uncertainties surrounding the timing of availability of results from our clinical trials, ongoing discussions with and actions by regulatory authorities, our development activities and those other factors we discuss in </w:t>
      </w:r>
      <w:r>
        <w:rPr>
          <w:rFonts w:ascii="Arial" w:hAnsi="Arial"/>
          <w:i/>
          <w:color w:val="000000"/>
          <w:sz w:val="20"/>
        </w:rPr>
        <w:t>Part II, Item 1A. “Risk Factors”</w:t>
      </w:r>
      <w:r>
        <w:rPr>
          <w:rFonts w:ascii="Arial" w:hAnsi="Arial"/>
          <w:color w:val="000000"/>
          <w:sz w:val="20"/>
        </w:rPr>
        <w:t xml:space="preserve"> in this Quarterly Report on Form 10-Q. You should read these risk factors and the other cautionary statements made in this report as being applicable to all related forward-looking statements wherever they appear in this report. The risk factors are not exhaustive and other sections of this report may include additional factors which could adversely impact our business and financial performance. </w:t>
      </w:r>
    </w:p>
    <w:p>
      <w:pPr>
        <w:pStyle w:val="TextBody"/>
        <w:bidi w:val="0"/>
        <w:spacing w:before="120" w:after="283"/>
        <w:jc w:val="left"/>
        <w:rPr>
          <w:rFonts w:ascii="Arial" w:hAnsi="Arial"/>
          <w:color w:val="000000"/>
          <w:sz w:val="20"/>
        </w:rPr>
      </w:pPr>
      <w:r>
        <w:rPr>
          <w:rFonts w:ascii="Arial" w:hAnsi="Arial"/>
          <w:color w:val="000000"/>
          <w:sz w:val="20"/>
        </w:rPr>
        <w:t>Drug development and commercialization involve a high degree of risk, and only a small number of research and development programs result in commercialization of a product. Preliminary and interim results from any trial and results in early-stage clinical trials may not be indicative of full results or results from later stage or larger scale clinical trials and do not ensure regulatory approval.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before="120" w:after="283"/>
        <w:jc w:val="left"/>
        <w:rPr>
          <w:rFonts w:ascii="Arial" w:hAnsi="Arial"/>
          <w:color w:val="000000"/>
          <w:sz w:val="20"/>
        </w:rPr>
      </w:pPr>
      <w:r>
        <w:rPr>
          <w:rFonts w:ascii="Arial" w:hAnsi="Arial"/>
          <w:color w:val="000000"/>
          <w:sz w:val="20"/>
        </w:rPr>
        <w:t>Given these uncertainties, you should not rely on these forward-looking statements as predictions of future events. Except as required by law, we assume no obligation to update or revise these forward-looking statements for any reason, even if new information becomes available in the future.</w:t>
      </w:r>
    </w:p>
    <w:p>
      <w:pPr>
        <w:pStyle w:val="TextBody"/>
        <w:bidi w:val="0"/>
        <w:spacing w:before="120" w:after="283"/>
        <w:jc w:val="left"/>
        <w:rPr>
          <w:rFonts w:ascii="Arial" w:hAnsi="Arial"/>
          <w:color w:val="000000"/>
          <w:sz w:val="20"/>
        </w:rPr>
      </w:pPr>
      <w:r>
        <w:rPr>
          <w:rFonts w:ascii="Arial" w:hAnsi="Arial"/>
          <w:color w:val="000000"/>
          <w:sz w:val="20"/>
        </w:rPr>
        <w:t xml:space="preserve">As used in this Quarterly Report on Form 10-Q, unless otherwise specified or the context otherwise requires, the terms “we,” “our,” “us,” and the “Company” refer to Atea Pharmaceuticals, Inc. and its subsidiary. All brand names or trademarks appearing in this Quarterly Report on Form 10-Q are the property of their respective owners.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This Quarterly Report on Form 10-Q includes statistical and other industry and market data that we obtained from industry publications and research, surveys, and studies conducted by third parties as well as our own estimates of potential market opportunities. All of the market data used in this Quarterly Report on Form 10-Q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pStyle w:val="TextBody"/>
        <w:bidi w:val="0"/>
        <w:jc w:val="left"/>
        <w:rPr/>
      </w:pPr>
      <w:r>
        <w:rPr/>
        <w:t> </w:t>
      </w:r>
    </w:p>
    <w:p>
      <w:pPr>
        <w:pStyle w:val="TextBody"/>
        <w:bidi w:val="0"/>
        <w:spacing w:before="0" w:after="240"/>
        <w:jc w:val="center"/>
        <w:rPr>
          <w:rFonts w:ascii="Arial" w:hAnsi="Arial"/>
          <w:b/>
          <w:color w:val="000000"/>
          <w:sz w:val="20"/>
        </w:rPr>
      </w:pPr>
      <w:bookmarkStart w:id="3" w:name="trademarks_tradenames_and_service_marks"/>
      <w:bookmarkEnd w:id="3"/>
      <w:r>
        <w:rPr>
          <w:rFonts w:ascii="Arial" w:hAnsi="Arial"/>
          <w:b/>
          <w:color w:val="000000"/>
          <w:sz w:val="20"/>
        </w:rPr>
        <w:t>TRADEMARKS, TRADENAMES AND SERVICE MARKS</w:t>
      </w:r>
    </w:p>
    <w:p>
      <w:pPr>
        <w:pStyle w:val="TextBody"/>
        <w:bidi w:val="0"/>
        <w:spacing w:before="0" w:after="240"/>
        <w:jc w:val="both"/>
        <w:rPr>
          <w:rFonts w:ascii="Arial" w:hAnsi="Arial"/>
          <w:color w:val="000000"/>
          <w:sz w:val="20"/>
        </w:rPr>
      </w:pPr>
      <w:r>
        <w:rPr>
          <w:rFonts w:ascii="Arial" w:hAnsi="Arial"/>
          <w:color w:val="000000"/>
          <w:sz w:val="20"/>
        </w:rPr>
        <w:t>This Quarterly Report on Form 10-Q may include trademarks, tradenames and service marks that are the property of other organizations. Solely for convenience, trademarks and tradenames referred to in this Quarterly Report on Form 10-Q may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4" w:name="summary_risk_factors"/>
      <w:bookmarkEnd w:id="4"/>
      <w:r>
        <w:rPr>
          <w:rFonts w:ascii="Arial" w:hAnsi="Arial"/>
          <w:b/>
          <w:color w:val="000000"/>
          <w:sz w:val="20"/>
        </w:rPr>
        <w:t>SUMMARY RISK FACTORS</w:t>
      </w:r>
    </w:p>
    <w:p>
      <w:pPr>
        <w:pStyle w:val="TextBody"/>
        <w:bidi w:val="0"/>
        <w:spacing w:before="110" w:after="283"/>
        <w:jc w:val="left"/>
        <w:rPr>
          <w:rFonts w:ascii="Arial" w:hAnsi="Arial"/>
          <w:color w:val="000000"/>
          <w:sz w:val="20"/>
        </w:rPr>
      </w:pPr>
      <w:r>
        <w:rPr>
          <w:rFonts w:ascii="Arial" w:hAnsi="Arial"/>
          <w:color w:val="000000"/>
          <w:sz w:val="20"/>
        </w:rPr>
        <w:t>Our business is subject to numerous risks and uncertainties, including those described in Part II, Item 1A. “Risk Factors” in this Quarterly Report on Form 10-Q. The principal risks and uncertainties affecting our business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have a limited operating history and no history of successfully developing or commercializing any approved antiviral products, which may make it difficult to evaluate the success of our business to date and to assess the prospects for our future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have incurred significant operating expenses since inception. We expect our expenditures will increase for the foreseeable future. We have no products that have generated any commercial revenue and we may not again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require substantial additional financing, which may not be available on acceptable terms, or at all. A failure to obtain this necessary capital when needed could force us to delay, limit, reduce or terminate our product development or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engage in strategic collaborations or other transactions that could disrupt our business, cause dilution to our stockholders, reduce our financial resources, and subject us to other risks.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use our net operating loss carryforwards and other tax attributes to offset taxable income may be subject to certain limitations.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business is highly dependent on the success of our lead product candidate, the fixed-dose combination of bemnifosbuvir and ruzasvir for the treatment of HCV infection. If we fail to successfully develop this product candidate or we are unable to obtain regulatory approval or successfully commercialize this or any other product candidates, or are significantly delayed in doing so, our business will be harmed.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regulatory approval processes of the U.S. Food and Drug Administration (“FDA”) and comparable foreign regulatory authorities are lengthy, expensive, time-consuming and inherently unpredictable.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Clinical development, including enrollment and retention of patients in clinical trials, is an expensive, lengthy and uncertain process. We may encounter substantial delays and costs in our clinical trials, or may not be able to conduct or complete our clinical trials on the timelines we expect,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intend to develop certain of our product candidates in combination with other product candidates that we discover or acquire, which exposes us to additional risks.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product candidates may be associated with serious adverse events, undesirable side effects or have other properties that could halt their clinical development, prevent their regulatory approval, limit their commercial potential or result in significant negative consequences.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currently conduct, and may in the future, conduct clinical trials of our product candidates in sites outside the United States (“US”). The FDA may not accept data from trials conducted in foreign locations.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Interim, topline and preliminary data from our clinical trials that we announce or publish from time to time may change as more data become available and are subject to audit and verification procedures that could result in material changes in the final data.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not be successful in our efforts to identify and successfully develop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Risks related to healthcare laws and other legal compliance matters may materially and adversely affect our business and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Risks related to commercialization may materially and adversely affect our business and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Risks related to manufacturing and our dependence on third parties may materially and adversely affect our business and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Risks related to intellectual property may materially and adversely affect our business and financial results.</w:t>
      </w:r>
    </w:p>
    <w:p>
      <w:pPr>
        <w:pStyle w:val="TextBody"/>
        <w:bidi w:val="0"/>
        <w:spacing w:before="240" w:after="283"/>
        <w:jc w:val="center"/>
        <w:rPr>
          <w:rFonts w:ascii="Arial" w:hAnsi="Arial"/>
          <w:color w:val="000000"/>
          <w:sz w:val="20"/>
        </w:rPr>
      </w:pPr>
      <w:r>
        <w:rPr>
          <w:rFonts w:ascii="Arial" w:hAnsi="Arial"/>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are highly dependent on our management, directors and other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future success depends on our ability to retain officers, directors and key employee and to attract, retain and motivate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business and operations may suffer in the event of system failures, security breaches, deficiencies or intrusions which could materially affect our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or the third parties whom we depend upon may be adversely affected by natural disasters or other unforeseen events resulting in business interruptions and our business continuity and disaster recovery plans may not adequately protect us from such business interruptions.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Increased scrutiny of, and evolving expectations for, environmental, social, and governance initiatives could increase our costs, harm our reputation, or otherwise adversely impact our business and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Litigation against us could be costly and time-consuming to defend and could result in additional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Unstable market and economic conditions may have serious adverse consequences on our business, financial condition and stock price.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Risks related to our common stock may materially and adversely affect our stock price.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left"/>
        <w:rPr/>
      </w:pPr>
      <w:r>
        <w:rPr/>
        <w:t> </w:t>
      </w:r>
    </w:p>
    <w:p>
      <w:pPr>
        <w:pStyle w:val="TextBody"/>
        <w:bidi w:val="0"/>
        <w:jc w:val="left"/>
        <w:rPr/>
      </w:pPr>
      <w:r>
        <w:rPr/>
        <w:t> </w:t>
      </w:r>
    </w:p>
    <w:p>
      <w:pPr>
        <w:pStyle w:val="TextBody"/>
        <w:bidi w:val="0"/>
        <w:spacing w:before="100" w:after="283"/>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sz w:val="20"/>
        </w:rPr>
      </w:pPr>
      <w:bookmarkStart w:id="5" w:name="toc_page"/>
      <w:bookmarkEnd w:id="5"/>
      <w:r>
        <w:rPr>
          <w:rFonts w:ascii="Arial" w:hAnsi="Arial"/>
          <w:b/>
          <w:color w:val="000000"/>
          <w:sz w:val="20"/>
        </w:rPr>
        <w:t>Table of</w:t>
      </w:r>
      <w:r>
        <w:rPr>
          <w:rFonts w:ascii="Arial" w:hAnsi="Arial"/>
          <w:color w:val="000000"/>
          <w:sz w:val="20"/>
        </w:rPr>
        <w:t xml:space="preserve"> </w:t>
      </w:r>
      <w:r>
        <w:rPr>
          <w:rFonts w:ascii="Arial" w:hAnsi="Arial"/>
          <w:b/>
          <w:color w:val="000000"/>
          <w:sz w:val="20"/>
        </w:rPr>
        <w:t>Contents</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Page</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regarding_forward_looking_s">
              <w:r>
                <w:rPr>
                  <w:rStyle w:val="InternetLink"/>
                  <w:rFonts w:ascii="Arial" w:hAnsi="Arial"/>
                  <w:color w:val="0000FF"/>
                  <w:sz w:val="20"/>
                  <w:u w:val="single"/>
                </w:rPr>
                <w:t>SPECIAL NOTE REGARDING FORWARD-LOOKING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i</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ummary_risk_factors">
              <w:r>
                <w:rPr>
                  <w:rStyle w:val="InternetLink"/>
                  <w:rFonts w:ascii="Arial" w:hAnsi="Arial"/>
                  <w:color w:val="0000FF"/>
                  <w:sz w:val="20"/>
                  <w:u w:val="single"/>
                </w:rPr>
                <w:t>SUMMARY RISK FACTORS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iii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Arial" w:hAnsi="Arial"/>
                  <w:color w:val="0000FF"/>
                  <w:sz w:val="20"/>
                  <w:u w:val="single"/>
                </w:rPr>
                <w:t>FINANCIAL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Financial Statements (Unaudited)</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Arial" w:hAnsi="Arial"/>
                  <w:color w:val="0000FF"/>
                  <w:sz w:val="20"/>
                  <w:u w:val="single"/>
                </w:rPr>
                <w:t>Condensed Consolidated Balance Sheets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_compr">
              <w:r>
                <w:rPr>
                  <w:rStyle w:val="InternetLink"/>
                  <w:rFonts w:ascii="Arial" w:hAnsi="Arial"/>
                  <w:color w:val="0000FF"/>
                  <w:sz w:val="20"/>
                  <w:u w:val="single"/>
                </w:rPr>
                <w:t>Condensed Consolidated Statements of Operations and Comprehensive Loss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onvertible_pref">
              <w:r>
                <w:rPr>
                  <w:rStyle w:val="InternetLink"/>
                  <w:rFonts w:ascii="Arial" w:hAnsi="Arial"/>
                  <w:color w:val="0000FF"/>
                  <w:sz w:val="20"/>
                  <w:u w:val="single"/>
                </w:rPr>
                <w:t>Condensed Consolidated Statements of Stockholders’ Equity</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Arial" w:hAnsi="Arial"/>
                  <w:color w:val="0000FF"/>
                  <w:sz w:val="20"/>
                  <w:u w:val="single"/>
                </w:rPr>
                <w:t>Condensed Consolidated Statements of Cash Flows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Arial" w:hAnsi="Arial"/>
                  <w:color w:val="0000FF"/>
                  <w:sz w:val="20"/>
                  <w:u w:val="single"/>
                </w:rPr>
                <w:t>Notes to Condensed Consolidated Financial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FF"/>
                  <w:sz w:val="20"/>
                  <w:u w:val="single"/>
                </w:rPr>
                <w:t>Management’s Discussion and Analysis of Financial Condition and Results of Operations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color w:val="0000FF"/>
                  <w:sz w:val="20"/>
                  <w:u w:val="single"/>
                </w:rPr>
                <w:t>Quantitative and Qualitative Disclosures About Market Risk</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20"/>
                  <w:u w:val="single"/>
                </w:rPr>
                <w:t>Controls and Procedures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Arial" w:hAnsi="Arial"/>
                  <w:color w:val="0000FF"/>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20"/>
                  <w:u w:val="single"/>
                </w:rPr>
                <w:t>Unregistered Sales of Equity Securities and Use of Proceeds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Arial" w:hAnsi="Arial"/>
                  <w:color w:val="0000FF"/>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Exhibits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6" w:name="part_ifinancial_information"/>
      <w:bookmarkEnd w:id="6"/>
      <w:r>
        <w:rPr>
          <w:rFonts w:ascii="Arial" w:hAnsi="Arial"/>
          <w:b/>
          <w:color w:val="000000"/>
          <w:sz w:val="20"/>
        </w:rPr>
        <w:t>PART I—FINANCIAL INFORMATION</w:t>
      </w:r>
    </w:p>
    <w:p>
      <w:pPr>
        <w:pStyle w:val="TextBody"/>
        <w:bidi w:val="0"/>
        <w:spacing w:before="240" w:after="283"/>
        <w:jc w:val="left"/>
        <w:rPr>
          <w:rFonts w:ascii="Arial" w:hAnsi="Arial"/>
          <w:b/>
          <w:color w:val="000000"/>
          <w:sz w:val="20"/>
        </w:rPr>
      </w:pPr>
      <w:bookmarkStart w:id="7" w:name="item_1_financial_statements"/>
      <w:bookmarkEnd w:id="7"/>
      <w:r>
        <w:rPr>
          <w:rFonts w:ascii="Arial" w:hAnsi="Arial"/>
          <w:b/>
          <w:color w:val="000000"/>
          <w:sz w:val="20"/>
        </w:rPr>
        <w:t>Item 1. Financial Statements.</w:t>
      </w:r>
    </w:p>
    <w:p>
      <w:pPr>
        <w:pStyle w:val="TextBody"/>
        <w:bidi w:val="0"/>
        <w:spacing w:before="120" w:after="283"/>
        <w:jc w:val="left"/>
        <w:rPr>
          <w:rFonts w:ascii="Arial" w:hAnsi="Arial"/>
          <w:sz w:val="20"/>
        </w:rPr>
      </w:pPr>
      <w:r>
        <w:rPr>
          <w:rFonts w:ascii="Arial" w:hAnsi="Arial"/>
          <w:b/>
          <w:color w:val="000000"/>
          <w:sz w:val="36"/>
        </w:rPr>
        <w:t>Atea Pharmaceuticals, Inc.</w:t>
      </w:r>
      <w:r>
        <w:rPr>
          <w:rFonts w:ascii="Arial" w:hAnsi="Arial"/>
          <w:color w:val="000000"/>
          <w:sz w:val="20"/>
        </w:rPr>
        <w:t xml:space="preserve"> </w:t>
      </w:r>
    </w:p>
    <w:p>
      <w:pPr>
        <w:pStyle w:val="TextBody"/>
        <w:bidi w:val="0"/>
        <w:jc w:val="left"/>
        <w:rPr>
          <w:rFonts w:ascii="Arial" w:hAnsi="Arial"/>
          <w:sz w:val="20"/>
        </w:rPr>
      </w:pPr>
      <w:bookmarkStart w:id="8" w:name="consolidated_balance_sheets"/>
      <w:bookmarkEnd w:id="8"/>
      <w:r>
        <w:rPr>
          <w:rFonts w:ascii="Arial" w:hAnsi="Arial"/>
          <w:b/>
          <w:color w:val="000000"/>
          <w:sz w:val="36"/>
        </w:rPr>
        <w:t>Condensed Consolidated Balance Sheets</w:t>
      </w:r>
      <w:r>
        <w:rPr>
          <w:rFonts w:ascii="Arial" w:hAnsi="Arial"/>
          <w:color w:val="000000"/>
          <w:sz w:val="20"/>
        </w:rPr>
        <w:t xml:space="preserve"> </w:t>
      </w:r>
    </w:p>
    <w:p>
      <w:pPr>
        <w:pStyle w:val="TextBody"/>
        <w:bidi w:val="0"/>
        <w:jc w:val="left"/>
        <w:rPr>
          <w:rFonts w:ascii="Arial" w:hAnsi="Arial"/>
          <w:sz w:val="20"/>
        </w:rPr>
      </w:pPr>
      <w:r>
        <w:rPr>
          <w:rFonts w:ascii="Arial" w:hAnsi="Arial"/>
          <w:b/>
          <w:color w:val="000000"/>
          <w:sz w:val="20"/>
        </w:rPr>
        <w:t>(in thousands, except share and per share amounts)</w:t>
      </w:r>
      <w:r>
        <w:rPr>
          <w:rFonts w:ascii="Arial" w:hAnsi="Arial"/>
          <w:color w:val="000000"/>
          <w:sz w:val="20"/>
        </w:rPr>
        <w:t xml:space="preserve"> </w:t>
      </w:r>
    </w:p>
    <w:p>
      <w:pPr>
        <w:pStyle w:val="TextBody"/>
        <w:bidi w:val="0"/>
        <w:jc w:val="left"/>
        <w:rPr>
          <w:rFonts w:ascii="Arial" w:hAnsi="Arial"/>
          <w:sz w:val="20"/>
        </w:rPr>
      </w:pPr>
      <w:r>
        <w:rPr>
          <w:rFonts w:ascii="Arial" w:hAnsi="Arial"/>
          <w:b/>
          <w:color w:val="000000"/>
          <w:sz w:val="20"/>
        </w:rPr>
        <w:t>(Unaudited)</w:t>
      </w:r>
      <w:r>
        <w:rPr>
          <w:rFonts w:ascii="Arial" w:hAnsi="Arial"/>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59"/>
        <w:gridCol w:w="146"/>
        <w:gridCol w:w="211"/>
        <w:gridCol w:w="856"/>
        <w:gridCol w:w="166"/>
        <w:gridCol w:w="146"/>
        <w:gridCol w:w="247"/>
        <w:gridCol w:w="1002"/>
        <w:gridCol w:w="772"/>
      </w:tblGrid>
      <w:tr>
        <w:trPr/>
        <w:tc>
          <w:tcPr>
            <w:tcW w:w="6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6659"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67"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June 30,</w:t>
              <w:br/>
              <w:t>2026</w:t>
            </w:r>
          </w:p>
        </w:tc>
        <w:tc>
          <w:tcPr>
            <w:tcW w:w="16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49"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December 31,</w:t>
              <w:br/>
              <w:t>2025</w:t>
            </w:r>
          </w:p>
        </w:tc>
        <w:tc>
          <w:tcPr>
            <w:tcW w:w="772"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66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95,713</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206,117</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9,161</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5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310,991</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3,136</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634</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5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232,282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315,218</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12,945</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25,996</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843</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5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39,784</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Commitments and contingencies (see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Preferred stock, $0.001 par value per share; 10,000,000 shares</w:t>
              <w:br/>
              <w:t>   authorized; no 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 xml:space="preserve">Common stock, $0.001 par value; 300,000,000 shares authorized; </w:t>
              <w:br/>
              <w:t>80,204,699 and 78,126,796 shares issued and outstanding</w:t>
              <w:br/>
              <w:t>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805,116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797,751</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(522,569</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5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275,434</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59"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232,282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315,218</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sz w:val="20"/>
        </w:rPr>
      </w:pPr>
      <w:r>
        <w:rPr>
          <w:rFonts w:ascii="Arial" w:hAnsi="Arial"/>
          <w:i/>
          <w:color w:val="000000"/>
          <w:sz w:val="15"/>
        </w:rPr>
        <w:t>The accompanying notes are an integral part of these unaudited condensed consolidated financial statements.</w:t>
      </w:r>
      <w:r>
        <w:rPr>
          <w:rFonts w:ascii="Arial" w:hAnsi="Arial"/>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sz w:val="20"/>
        </w:rPr>
      </w:pPr>
      <w:r>
        <w:rPr>
          <w:rFonts w:ascii="Arial" w:hAnsi="Arial"/>
          <w:b/>
          <w:color w:val="000000"/>
          <w:sz w:val="36"/>
        </w:rPr>
        <w:t>Atea Pharmaceuticals, Inc.</w:t>
      </w:r>
      <w:r>
        <w:rPr>
          <w:rFonts w:ascii="Arial" w:hAnsi="Arial"/>
          <w:color w:val="000000"/>
          <w:sz w:val="20"/>
        </w:rPr>
        <w:t xml:space="preserve"> </w:t>
      </w:r>
    </w:p>
    <w:p>
      <w:pPr>
        <w:pStyle w:val="TextBody"/>
        <w:bidi w:val="0"/>
        <w:jc w:val="left"/>
        <w:rPr>
          <w:rFonts w:ascii="Arial" w:hAnsi="Arial"/>
          <w:b/>
          <w:color w:val="000000"/>
          <w:sz w:val="36"/>
        </w:rPr>
      </w:pPr>
      <w:bookmarkStart w:id="9" w:name="consolidated_statements_operations_compr"/>
      <w:bookmarkEnd w:id="9"/>
      <w:r>
        <w:rPr>
          <w:rFonts w:ascii="Arial" w:hAnsi="Arial"/>
          <w:b/>
          <w:color w:val="000000"/>
          <w:sz w:val="36"/>
        </w:rPr>
        <w:t>Condensed Consolidated Statements of Operations and Comprehensive Loss</w:t>
      </w:r>
    </w:p>
    <w:p>
      <w:pPr>
        <w:pStyle w:val="TextBody"/>
        <w:bidi w:val="0"/>
        <w:jc w:val="left"/>
        <w:rPr>
          <w:rFonts w:ascii="Arial" w:hAnsi="Arial"/>
          <w:sz w:val="20"/>
        </w:rPr>
      </w:pPr>
      <w:r>
        <w:rPr>
          <w:rFonts w:ascii="Arial" w:hAnsi="Arial"/>
          <w:b/>
          <w:color w:val="000000"/>
          <w:sz w:val="20"/>
        </w:rPr>
        <w:t>(in thousands, except share and per share amounts)</w:t>
      </w:r>
      <w:r>
        <w:rPr>
          <w:rFonts w:ascii="Arial" w:hAnsi="Arial"/>
          <w:color w:val="000000"/>
          <w:sz w:val="20"/>
        </w:rPr>
        <w:t xml:space="preserve"> </w:t>
      </w:r>
    </w:p>
    <w:p>
      <w:pPr>
        <w:pStyle w:val="TextBody"/>
        <w:bidi w:val="0"/>
        <w:jc w:val="left"/>
        <w:rPr>
          <w:rFonts w:ascii="Arial" w:hAnsi="Arial"/>
          <w:sz w:val="20"/>
        </w:rPr>
      </w:pPr>
      <w:r>
        <w:rPr>
          <w:rFonts w:ascii="Arial" w:hAnsi="Arial"/>
          <w:b/>
          <w:color w:val="000000"/>
          <w:sz w:val="20"/>
        </w:rPr>
        <w:t>(Unaudited)</w:t>
      </w:r>
      <w:r>
        <w:rPr>
          <w:rFonts w:ascii="Arial" w:hAnsi="Arial"/>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684"/>
        <w:gridCol w:w="146"/>
        <w:gridCol w:w="211"/>
        <w:gridCol w:w="1066"/>
        <w:gridCol w:w="166"/>
        <w:gridCol w:w="146"/>
        <w:gridCol w:w="211"/>
        <w:gridCol w:w="1066"/>
        <w:gridCol w:w="166"/>
        <w:gridCol w:w="146"/>
        <w:gridCol w:w="211"/>
        <w:gridCol w:w="1066"/>
        <w:gridCol w:w="166"/>
        <w:gridCol w:w="146"/>
        <w:gridCol w:w="211"/>
        <w:gridCol w:w="1066"/>
        <w:gridCol w:w="331"/>
      </w:tblGrid>
      <w:tr>
        <w:trPr/>
        <w:tc>
          <w:tcPr>
            <w:tcW w:w="3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684"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66"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Three Months Ended</w:t>
              <w:br/>
              <w:t>June 30,</w:t>
            </w:r>
          </w:p>
        </w:tc>
        <w:tc>
          <w:tcPr>
            <w:tcW w:w="16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866"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Six Months Ended</w:t>
              <w:br/>
              <w:t>June 30,</w:t>
            </w:r>
          </w:p>
        </w:tc>
        <w:tc>
          <w:tcPr>
            <w:tcW w:w="33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61,859</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18,527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80,386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(80,386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(71,023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(78,373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(71,433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Unrealized gain (loss)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(78,643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(71,629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number of common shares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80,050,518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83,747,335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79,183,301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84,449,318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8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sz w:val="20"/>
        </w:rPr>
      </w:pPr>
      <w:r>
        <w:rPr>
          <w:rFonts w:ascii="Arial" w:hAnsi="Arial"/>
          <w:i/>
          <w:color w:val="000000"/>
          <w:sz w:val="15"/>
        </w:rPr>
        <w:t>The accompanying notes are an integral part of these unaudited condensed consolidated financial statements.</w:t>
      </w:r>
      <w:r>
        <w:rPr>
          <w:rFonts w:ascii="Arial" w:hAnsi="Arial"/>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sz w:val="20"/>
        </w:rPr>
      </w:pPr>
      <w:r>
        <w:rPr>
          <w:rFonts w:ascii="Arial" w:hAnsi="Arial"/>
          <w:b/>
          <w:color w:val="000000"/>
          <w:sz w:val="36"/>
        </w:rPr>
        <w:t>Atea Pharmaceuticals, Inc.</w:t>
      </w:r>
      <w:r>
        <w:rPr>
          <w:rFonts w:ascii="Arial" w:hAnsi="Arial"/>
          <w:color w:val="000000"/>
          <w:sz w:val="20"/>
        </w:rPr>
        <w:t xml:space="preserve"> </w:t>
      </w:r>
    </w:p>
    <w:p>
      <w:pPr>
        <w:pStyle w:val="TextBody"/>
        <w:bidi w:val="0"/>
        <w:jc w:val="left"/>
        <w:rPr>
          <w:rFonts w:ascii="Arial" w:hAnsi="Arial"/>
          <w:b/>
          <w:color w:val="000000"/>
          <w:sz w:val="36"/>
        </w:rPr>
      </w:pPr>
      <w:bookmarkStart w:id="10" w:name="consolidated_statements_convertible_pref"/>
      <w:bookmarkEnd w:id="10"/>
      <w:r>
        <w:rPr>
          <w:rFonts w:ascii="Arial" w:hAnsi="Arial"/>
          <w:b/>
          <w:color w:val="000000"/>
          <w:sz w:val="36"/>
        </w:rPr>
        <w:t>Condensed Consolidated Statements of Stockholders’ Equity</w:t>
      </w:r>
    </w:p>
    <w:p>
      <w:pPr>
        <w:pStyle w:val="TextBody"/>
        <w:bidi w:val="0"/>
        <w:jc w:val="left"/>
        <w:rPr>
          <w:rFonts w:ascii="Arial" w:hAnsi="Arial"/>
          <w:sz w:val="20"/>
        </w:rPr>
      </w:pPr>
      <w:r>
        <w:rPr>
          <w:rFonts w:ascii="Arial" w:hAnsi="Arial"/>
          <w:b/>
          <w:color w:val="000000"/>
          <w:sz w:val="20"/>
        </w:rPr>
        <w:t>(in thousands, except share amounts)</w:t>
      </w:r>
      <w:r>
        <w:rPr>
          <w:rFonts w:ascii="Arial" w:hAnsi="Arial"/>
          <w:color w:val="000000"/>
          <w:sz w:val="20"/>
        </w:rPr>
        <w:t xml:space="preserve"> </w:t>
      </w:r>
    </w:p>
    <w:p>
      <w:pPr>
        <w:pStyle w:val="TextBody"/>
        <w:bidi w:val="0"/>
        <w:jc w:val="left"/>
        <w:rPr>
          <w:rFonts w:ascii="Arial" w:hAnsi="Arial"/>
          <w:sz w:val="20"/>
        </w:rPr>
      </w:pPr>
      <w:r>
        <w:rPr>
          <w:rFonts w:ascii="Arial" w:hAnsi="Arial"/>
          <w:b/>
          <w:color w:val="000000"/>
          <w:sz w:val="20"/>
        </w:rPr>
        <w:t>(Unaudited)</w:t>
      </w:r>
      <w:r>
        <w:rPr>
          <w:rFonts w:ascii="Arial" w:hAnsi="Arial"/>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597"/>
        <w:gridCol w:w="146"/>
        <w:gridCol w:w="146"/>
        <w:gridCol w:w="916"/>
        <w:gridCol w:w="146"/>
        <w:gridCol w:w="146"/>
        <w:gridCol w:w="271"/>
        <w:gridCol w:w="480"/>
        <w:gridCol w:w="146"/>
        <w:gridCol w:w="146"/>
        <w:gridCol w:w="208"/>
        <w:gridCol w:w="736"/>
        <w:gridCol w:w="166"/>
        <w:gridCol w:w="146"/>
        <w:gridCol w:w="519"/>
        <w:gridCol w:w="872"/>
        <w:gridCol w:w="166"/>
        <w:gridCol w:w="146"/>
        <w:gridCol w:w="239"/>
        <w:gridCol w:w="917"/>
        <w:gridCol w:w="166"/>
        <w:gridCol w:w="146"/>
        <w:gridCol w:w="270"/>
        <w:gridCol w:w="954"/>
        <w:gridCol w:w="414"/>
      </w:tblGrid>
      <w:tr>
        <w:trPr/>
        <w:tc>
          <w:tcPr>
            <w:tcW w:w="1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597"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05"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944"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6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391"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Other</w:t>
            </w:r>
          </w:p>
        </w:tc>
        <w:tc>
          <w:tcPr>
            <w:tcW w:w="16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156"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24"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14"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 Equity</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78,126,796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797,751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(522,569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275,434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1,216,262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630,075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3,729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(45,440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(45,440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80,027,099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801,735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(568,009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233,709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3,381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(32,933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5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80,204,699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805,116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(600,942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204,158</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5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2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71"/>
        <w:gridCol w:w="146"/>
        <w:gridCol w:w="146"/>
        <w:gridCol w:w="916"/>
        <w:gridCol w:w="166"/>
        <w:gridCol w:w="146"/>
        <w:gridCol w:w="271"/>
        <w:gridCol w:w="480"/>
        <w:gridCol w:w="166"/>
        <w:gridCol w:w="146"/>
        <w:gridCol w:w="207"/>
        <w:gridCol w:w="734"/>
        <w:gridCol w:w="166"/>
        <w:gridCol w:w="146"/>
        <w:gridCol w:w="518"/>
        <w:gridCol w:w="866"/>
        <w:gridCol w:w="166"/>
        <w:gridCol w:w="146"/>
        <w:gridCol w:w="239"/>
        <w:gridCol w:w="917"/>
        <w:gridCol w:w="166"/>
        <w:gridCol w:w="146"/>
        <w:gridCol w:w="269"/>
        <w:gridCol w:w="951"/>
        <w:gridCol w:w="414"/>
      </w:tblGrid>
      <w:tr>
        <w:trPr/>
        <w:tc>
          <w:tcPr>
            <w:tcW w:w="1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57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25"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6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941"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6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384"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Other</w:t>
            </w:r>
          </w:p>
        </w:tc>
        <w:tc>
          <w:tcPr>
            <w:tcW w:w="16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156"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20"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14"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 Equity</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84,463,059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802,770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(364,220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438,867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1,062,120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6,951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(34,272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85,579,475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809,373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(398,492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411,084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(4,619,597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(14,093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4,667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(37,161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81,137,478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799,951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(435,653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364,416</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8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5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2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sz w:val="20"/>
        </w:rPr>
      </w:pPr>
      <w:r>
        <w:rPr>
          <w:rFonts w:ascii="Arial" w:hAnsi="Arial"/>
          <w:i/>
          <w:color w:val="000000"/>
          <w:sz w:val="15"/>
        </w:rPr>
        <w:t>The accompanying notes are an integral part of these unaudited condensed consolidated financial statements.</w:t>
      </w:r>
      <w:r>
        <w:rPr>
          <w:rFonts w:ascii="Arial" w:hAnsi="Arial"/>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36"/>
        </w:rPr>
      </w:pPr>
      <w:r>
        <w:rPr>
          <w:rFonts w:ascii="Arial" w:hAnsi="Arial"/>
          <w:b/>
          <w:color w:val="000000"/>
          <w:sz w:val="36"/>
        </w:rPr>
        <w:t>Atea Pharmaceuticals, Inc.</w:t>
      </w:r>
    </w:p>
    <w:p>
      <w:pPr>
        <w:pStyle w:val="TextBody"/>
        <w:bidi w:val="0"/>
        <w:jc w:val="left"/>
        <w:rPr>
          <w:rFonts w:ascii="Arial" w:hAnsi="Arial"/>
          <w:sz w:val="20"/>
        </w:rPr>
      </w:pPr>
      <w:bookmarkStart w:id="11" w:name="consolidated_statements_cash_flows"/>
      <w:bookmarkEnd w:id="11"/>
      <w:r>
        <w:rPr>
          <w:rFonts w:ascii="Arial" w:hAnsi="Arial"/>
          <w:b/>
          <w:color w:val="000000"/>
          <w:sz w:val="36"/>
        </w:rPr>
        <w:t>Condensed Consolidated Statements of Cash Flows</w:t>
      </w:r>
      <w:r>
        <w:rPr>
          <w:rFonts w:ascii="Arial" w:hAnsi="Arial"/>
          <w:color w:val="000000"/>
          <w:sz w:val="20"/>
        </w:rPr>
        <w:t xml:space="preserve"> </w:t>
      </w:r>
    </w:p>
    <w:p>
      <w:pPr>
        <w:pStyle w:val="TextBody"/>
        <w:bidi w:val="0"/>
        <w:jc w:val="left"/>
        <w:rPr>
          <w:rFonts w:ascii="Arial" w:hAnsi="Arial"/>
          <w:sz w:val="20"/>
        </w:rPr>
      </w:pPr>
      <w:r>
        <w:rPr>
          <w:rFonts w:ascii="Arial" w:hAnsi="Arial"/>
          <w:b/>
          <w:color w:val="000000"/>
          <w:sz w:val="20"/>
        </w:rPr>
        <w:t>(in thousands)</w:t>
      </w:r>
      <w:r>
        <w:rPr>
          <w:rFonts w:ascii="Arial" w:hAnsi="Arial"/>
          <w:color w:val="000000"/>
          <w:sz w:val="20"/>
        </w:rPr>
        <w:t xml:space="preserve"> </w:t>
      </w:r>
    </w:p>
    <w:p>
      <w:pPr>
        <w:pStyle w:val="TextBody"/>
        <w:bidi w:val="0"/>
        <w:jc w:val="left"/>
        <w:rPr>
          <w:rFonts w:ascii="Arial" w:hAnsi="Arial"/>
          <w:sz w:val="20"/>
        </w:rPr>
      </w:pPr>
      <w:r>
        <w:rPr>
          <w:rFonts w:ascii="Arial" w:hAnsi="Arial"/>
          <w:b/>
          <w:color w:val="000000"/>
          <w:sz w:val="20"/>
        </w:rPr>
        <w:t>(Unaudited)</w:t>
      </w:r>
      <w:r>
        <w:rPr>
          <w:rFonts w:ascii="Arial" w:hAnsi="Arial"/>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842"/>
        <w:gridCol w:w="146"/>
        <w:gridCol w:w="211"/>
        <w:gridCol w:w="856"/>
        <w:gridCol w:w="166"/>
        <w:gridCol w:w="146"/>
        <w:gridCol w:w="211"/>
        <w:gridCol w:w="856"/>
        <w:gridCol w:w="771"/>
      </w:tblGrid>
      <w:tr>
        <w:trPr/>
        <w:tc>
          <w:tcPr>
            <w:tcW w:w="6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6842"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46"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Six Months Ended</w:t>
              <w:br/>
              <w:t>June 30,</w:t>
            </w:r>
          </w:p>
        </w:tc>
        <w:tc>
          <w:tcPr>
            <w:tcW w:w="77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6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(71,433</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Adjustments to reconcile net loss to net cash used in </w:t>
              <w:br/>
              <w:t>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11,618</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Accretion of premium and discounts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(3,061</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1,743</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(4,197</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4,386</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(2,602</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(63,433</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(223,368</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Sales and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324,266</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64,053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100,898</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(14,093</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(14,440</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23,025</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the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64,696</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the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76,548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87,721</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sz w:val="20"/>
        </w:rPr>
      </w:pPr>
      <w:r>
        <w:rPr>
          <w:rFonts w:ascii="Arial" w:hAnsi="Arial"/>
          <w:i/>
          <w:color w:val="000000"/>
          <w:sz w:val="15"/>
        </w:rPr>
        <w:t>The accompanying notes are an integral part of these unaudited condensed consolidated financial statements.</w:t>
      </w:r>
      <w:r>
        <w:rPr>
          <w:rFonts w:ascii="Arial" w:hAnsi="Arial"/>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sz w:val="20"/>
        </w:rPr>
      </w:pPr>
      <w:r>
        <w:rPr>
          <w:rFonts w:ascii="Arial" w:hAnsi="Arial"/>
          <w:b/>
          <w:color w:val="000000"/>
          <w:sz w:val="36"/>
        </w:rPr>
        <w:t>Atea Pharmaceuticals, Inc.</w:t>
      </w:r>
      <w:r>
        <w:rPr>
          <w:rFonts w:ascii="Arial" w:hAnsi="Arial"/>
          <w:color w:val="000000"/>
          <w:sz w:val="20"/>
        </w:rPr>
        <w:t xml:space="preserve"> </w:t>
      </w:r>
    </w:p>
    <w:p>
      <w:pPr>
        <w:pStyle w:val="TextBody"/>
        <w:bidi w:val="0"/>
        <w:jc w:val="left"/>
        <w:rPr>
          <w:rFonts w:ascii="Arial" w:hAnsi="Arial"/>
          <w:sz w:val="20"/>
        </w:rPr>
      </w:pPr>
      <w:bookmarkStart w:id="12" w:name="notes_to_consolidated_financial_statemen"/>
      <w:bookmarkEnd w:id="12"/>
      <w:r>
        <w:rPr>
          <w:rFonts w:ascii="Arial" w:hAnsi="Arial"/>
          <w:b/>
          <w:color w:val="000000"/>
          <w:sz w:val="36"/>
        </w:rPr>
        <w:t>Notes to Condensed Consolidated Financial Statements</w:t>
      </w:r>
      <w:r>
        <w:rPr>
          <w:rFonts w:ascii="Arial" w:hAnsi="Arial"/>
          <w:color w:val="000000"/>
          <w:sz w:val="20"/>
        </w:rPr>
        <w:t xml:space="preserve"> </w:t>
      </w:r>
    </w:p>
    <w:p>
      <w:pPr>
        <w:pStyle w:val="TextBody"/>
        <w:bidi w:val="0"/>
        <w:spacing w:before="120" w:after="283"/>
        <w:jc w:val="left"/>
        <w:rPr>
          <w:rFonts w:ascii="Arial" w:hAnsi="Arial"/>
          <w:sz w:val="20"/>
        </w:rPr>
      </w:pPr>
      <w:r>
        <w:rPr>
          <w:rFonts w:ascii="Arial" w:hAnsi="Arial"/>
          <w:b/>
          <w:color w:val="000000"/>
          <w:sz w:val="20"/>
        </w:rPr>
        <w:t>(in thousands, except share and per share amounts)</w:t>
      </w:r>
      <w:r>
        <w:rPr>
          <w:rFonts w:ascii="Arial" w:hAnsi="Arial"/>
          <w:color w:val="000000"/>
          <w:sz w:val="20"/>
        </w:rPr>
        <w:t xml:space="preserve"> </w:t>
      </w:r>
    </w:p>
    <w:p>
      <w:pPr>
        <w:pStyle w:val="TextBody"/>
        <w:bidi w:val="0"/>
        <w:jc w:val="left"/>
        <w:rPr>
          <w:rFonts w:ascii="Arial" w:hAnsi="Arial"/>
          <w:sz w:val="20"/>
        </w:rPr>
      </w:pPr>
      <w:r>
        <w:rPr>
          <w:rFonts w:ascii="Arial" w:hAnsi="Arial"/>
          <w:b/>
          <w:color w:val="000000"/>
          <w:sz w:val="20"/>
        </w:rPr>
        <w:t>(Unaudited)</w:t>
      </w:r>
      <w:r>
        <w:rPr>
          <w:rFonts w:ascii="Arial" w:hAnsi="Arial"/>
          <w:color w:val="000000"/>
          <w:sz w:val="20"/>
        </w:rPr>
        <w:t xml:space="preserve"> </w:t>
      </w:r>
    </w:p>
    <w:p>
      <w:pPr>
        <w:pStyle w:val="TextBody"/>
        <w:bidi w:val="0"/>
        <w:spacing w:before="120" w:after="283"/>
        <w:jc w:val="left"/>
        <w:rPr>
          <w:rFonts w:ascii="Arial" w:hAnsi="Arial"/>
          <w:b/>
          <w:color w:val="000000"/>
          <w:sz w:val="20"/>
        </w:rPr>
      </w:pPr>
      <w:r>
        <w:rPr>
          <w:rFonts w:ascii="Arial" w:hAnsi="Arial"/>
          <w:b/>
          <w:color w:val="000000"/>
          <w:sz w:val="20"/>
        </w:rPr>
        <w:t>1. Nature of Business</w:t>
      </w:r>
    </w:p>
    <w:p>
      <w:pPr>
        <w:pStyle w:val="TextBody"/>
        <w:bidi w:val="0"/>
        <w:spacing w:before="240" w:after="283"/>
        <w:jc w:val="left"/>
        <w:rPr>
          <w:rFonts w:ascii="Arial" w:hAnsi="Arial"/>
          <w:sz w:val="20"/>
        </w:rPr>
      </w:pPr>
      <w:r>
        <w:rPr>
          <w:rFonts w:ascii="Arial" w:hAnsi="Arial"/>
          <w:b/>
          <w:i/>
          <w:color w:val="000000"/>
          <w:sz w:val="20"/>
        </w:rPr>
        <w:t>Business Overview</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Atea Pharmaceuticals, Inc., together with its wholly owned subsidiary, Atea Pharmaceuticals Securities Corporation, is referred to herein on a consolidated basis as “Atea” or the “Company”.</w:t>
      </w:r>
    </w:p>
    <w:p>
      <w:pPr>
        <w:pStyle w:val="TextBody"/>
        <w:bidi w:val="0"/>
        <w:spacing w:before="120" w:after="283"/>
        <w:jc w:val="left"/>
        <w:rPr>
          <w:rFonts w:ascii="Arial" w:hAnsi="Arial"/>
          <w:color w:val="000000"/>
          <w:sz w:val="20"/>
        </w:rPr>
      </w:pPr>
      <w:r>
        <w:rPr>
          <w:rFonts w:ascii="Arial" w:hAnsi="Arial"/>
          <w:color w:val="000000"/>
          <w:sz w:val="20"/>
        </w:rPr>
        <w:t>The Company is a late-stage clinical biopharmaceutical company focused on discovering, developing and commercializing oral antiviral therapeutics to improve the lives of patients suffering from serious viral infections. The Company’s lead product candidate, the fixed-dose combination of bemnifosbuvir and ruzasvir is currently in Phase 3 clinical development for the treatment of hepatitis C virus (“HCV”). The Company is also developing AT-587 for the treatment of hepatitis E virus ("HEV").</w:t>
      </w:r>
    </w:p>
    <w:p>
      <w:pPr>
        <w:pStyle w:val="TextBody"/>
        <w:bidi w:val="0"/>
        <w:spacing w:before="120" w:after="283"/>
        <w:jc w:val="left"/>
        <w:rPr>
          <w:rFonts w:ascii="Arial" w:hAnsi="Arial"/>
          <w:color w:val="000000"/>
          <w:sz w:val="20"/>
        </w:rPr>
      </w:pPr>
      <w:r>
        <w:rPr>
          <w:rFonts w:ascii="Arial" w:hAnsi="Arial"/>
          <w:color w:val="000000"/>
          <w:sz w:val="20"/>
        </w:rPr>
        <w:t xml:space="preserve">Atea’s global HCV Phase 3 program consists of two randomized, open label studies: C-BEYOND which has clinical trial sites in the United States (“US”) and Canada and C-FORWARD which has clinical trial sites in countries outside of North America. The Phase 3 program is being conducted in geographically diverse regions in an effort to enroll patients with a broad array of the HCV genotypes. </w:t>
      </w:r>
    </w:p>
    <w:p>
      <w:pPr>
        <w:pStyle w:val="TextBody"/>
        <w:bidi w:val="0"/>
        <w:spacing w:before="120" w:after="283"/>
        <w:jc w:val="left"/>
        <w:rPr>
          <w:rFonts w:ascii="Arial" w:hAnsi="Arial"/>
          <w:color w:val="000000"/>
          <w:sz w:val="20"/>
        </w:rPr>
      </w:pPr>
      <w:r>
        <w:rPr>
          <w:rFonts w:ascii="Arial" w:hAnsi="Arial"/>
          <w:color w:val="000000"/>
          <w:sz w:val="20"/>
        </w:rPr>
        <w:t xml:space="preserve">In the Phase 3 trials, the fixed-dose combination of bemnifosbuvir and ruzasvir is compared to the fixed-dose combination of sofosbuvir and velapatsvir (marketed in the US under the brand Epclusa®) in patients with chronic HCV with and without cirrhosis. In patients without cirrhosis, eight weeks of treatment with the bemnifosbuvir and ruzasvir regimen administered once daily is being compared to 12 weeks of treatment with the sofobuvir and velapatasvir regimen administered once daily. In patients with cirrhosis, treatment is 12 weeks with each regimen. </w:t>
      </w:r>
    </w:p>
    <w:p>
      <w:pPr>
        <w:pStyle w:val="TextBody"/>
        <w:bidi w:val="0"/>
        <w:spacing w:before="120" w:after="283"/>
        <w:jc w:val="left"/>
        <w:rPr>
          <w:rFonts w:ascii="Arial" w:hAnsi="Arial"/>
          <w:color w:val="000000"/>
          <w:sz w:val="20"/>
        </w:rPr>
      </w:pPr>
      <w:r>
        <w:rPr>
          <w:rFonts w:ascii="Arial" w:hAnsi="Arial"/>
          <w:color w:val="000000"/>
          <w:sz w:val="20"/>
        </w:rPr>
        <w:t xml:space="preserve">In July 2026, the Company announced positive topline results from C-BEYOND with the regimen of bemnifosvbuvir and ruzasvir demonstrating statistical non-inferiority to the regimen of sofosbuvir and velapatasvir in the modified intent to treat population and achieving the trial’s primary endpoint. Statistical non-inferiority was also met in secondary endpoints, including the per-protocol analysis. These C-BEYOND results highlight the potential of the bemnifosbuvir and ruzasvir regimen to deliver robust antiviral efficacy with a shorter treatment duration (eight rather than 12 weeks) for patients without cirrhosis. In the US, approximately 80-90% of people living with HCV do not have cirrhosis. Together with its potential advantages of a shorter treatment duration for most patients, low risk of drug-drug interactions and no food effect, the results from C-BEYOND further reinforce the regimen of bemnifosbuvir and ruzasvir’s potential as a differentiated, best-in-class treatment option for people with HCV. </w:t>
      </w:r>
    </w:p>
    <w:p>
      <w:pPr>
        <w:pStyle w:val="TextBody"/>
        <w:bidi w:val="0"/>
        <w:spacing w:before="120" w:after="283"/>
        <w:jc w:val="left"/>
        <w:rPr>
          <w:rFonts w:ascii="Arial" w:hAnsi="Arial"/>
          <w:color w:val="000000"/>
          <w:sz w:val="20"/>
        </w:rPr>
      </w:pPr>
      <w:r>
        <w:rPr>
          <w:rFonts w:ascii="Arial" w:hAnsi="Arial"/>
          <w:color w:val="000000"/>
          <w:sz w:val="20"/>
        </w:rPr>
        <w:t>In June 2026, the Company completed enrollment of patients in C-FORWARD. Currently, the Company expects to report topline results from C-FORWARD early in the first quarter 2027 and, if the C-FORWARD results are positive, the Company is targeting the second quarter of 2027 for submission to the U.S. Food and Drug Administration (“FDA”) of a New Drug Application (“NDA”) for marketing approval.</w:t>
      </w:r>
    </w:p>
    <w:p>
      <w:pPr>
        <w:pStyle w:val="TextBody"/>
        <w:bidi w:val="0"/>
        <w:spacing w:before="120" w:after="283"/>
        <w:jc w:val="left"/>
        <w:rPr>
          <w:rFonts w:ascii="Arial" w:hAnsi="Arial"/>
          <w:color w:val="000000"/>
          <w:sz w:val="20"/>
        </w:rPr>
      </w:pPr>
      <w:r>
        <w:rPr>
          <w:rFonts w:ascii="Arial" w:hAnsi="Arial"/>
          <w:color w:val="000000"/>
          <w:sz w:val="20"/>
        </w:rPr>
        <w:t xml:space="preserve">Clinical development of AT-587, the Company’s product candidate for the treatment of HEV, was initiated in a first-in-human clinical trial in July 2026. This Phase 1 clinical trial is designed to evaluate the safety, tolerability and pharmacokinetics of AT-587 in healthy volunteers. </w:t>
      </w:r>
    </w:p>
    <w:p>
      <w:pPr>
        <w:pStyle w:val="TextBody"/>
        <w:bidi w:val="0"/>
        <w:spacing w:before="240" w:after="283"/>
        <w:jc w:val="left"/>
        <w:rPr>
          <w:rFonts w:ascii="Arial" w:hAnsi="Arial"/>
          <w:sz w:val="20"/>
        </w:rPr>
      </w:pPr>
      <w:r>
        <w:rPr>
          <w:rFonts w:ascii="Arial" w:hAnsi="Arial"/>
          <w:b/>
          <w:i/>
          <w:color w:val="000000"/>
          <w:sz w:val="20"/>
        </w:rPr>
        <w:t>Liquidity and Capital Resources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As of June 30, 2026, the Company had $219,465 in cash, cash equivalents and marketable securities, which the Company believes will be sufficient to fund its operations for a period through at least twelve months from the issuance date of these interim condensed consolidated financial statements.</w:t>
      </w:r>
    </w:p>
    <w:p>
      <w:pPr>
        <w:pStyle w:val="TextBody"/>
        <w:bidi w:val="0"/>
        <w:spacing w:before="120" w:after="283"/>
        <w:jc w:val="left"/>
        <w:rPr>
          <w:rFonts w:ascii="Arial" w:hAnsi="Arial"/>
          <w:color w:val="000000"/>
          <w:sz w:val="20"/>
        </w:rPr>
      </w:pPr>
      <w:r>
        <w:rPr>
          <w:rFonts w:ascii="Arial" w:hAnsi="Arial"/>
          <w:color w:val="000000"/>
          <w:sz w:val="20"/>
        </w:rPr>
        <w:t xml:space="preserve">The Company is a party to an amended and restated open market sales agreement (“Sales Agreement”) with Jefferies LLC (“Jefferies”), under which the Company may from time to time offer and sell shares of its common stock (“Common Stock”) for an aggregate offering price of up to $200,000, through or to Jefferies, acting as sales agent or principal. The shares will be offered and sold under the Company’s shelf registration statement on Form </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S-3 and a related prospectus declared effective by the Securities and Exchange Commission (the “SEC”) on November 19, 2024. The Company has agreed to pay Jefferies a commission of 3.0% of the aggregate gross proceeds from each sale of shares, reimburse legal fees and disbursements and provide Jefferies with customary indemnification and contribution rights. As of June 30, 2026, no shares have been issued under the Sales Agreement.</w:t>
      </w:r>
    </w:p>
    <w:p>
      <w:pPr>
        <w:pStyle w:val="TextBody"/>
        <w:bidi w:val="0"/>
        <w:spacing w:before="240" w:after="283"/>
        <w:jc w:val="left"/>
        <w:rPr>
          <w:rFonts w:ascii="Arial" w:hAnsi="Arial"/>
          <w:sz w:val="20"/>
        </w:rPr>
      </w:pPr>
      <w:r>
        <w:rPr>
          <w:rFonts w:ascii="Arial" w:hAnsi="Arial"/>
          <w:b/>
          <w:i/>
          <w:color w:val="000000"/>
          <w:sz w:val="20"/>
        </w:rPr>
        <w:t>Risks and Uncertainties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The Company is subject to risks and uncertainties common to late-stage clinical biopharmaceutical companies. These risks include, but are not limited to, potential failure of preclinical studies and clinical trials, uncertainties associated with research and development activities generally, competition from technical innovations of others, dependence upon key personnel, compliance with governmental regulations, the need to obtain marketing approval for any product candidate that the Company may develop, the need to gain broad acceptance among patients, payers and healthcare providers to successfully commercialize any product for which marketing approval is obtained and the need to secure and maintain adequate intellectual property protection for the Company’s proprietary technology and products. Further, the Company is dependent on third-party service providers for the conduct of its preclinical research, clinical development and manufacturing activities. Product candidates currently under development, including the regimen of bemnifosbuvir and ruzasvir for the treatment of HCV, will require significant amounts of additional capital and additional research and development efforts, and all will require regulatory approval, prior to commercialization. Even if the Company is able to generate revenues from the sale of its product candidates, if any are approved and commercialized, it may not become profitable. If the Company fails to become profitable or is unable to sustain profitability on a continuing basis, then it may be unable to continue its operations at planned levels and be forced to reduce its operations. </w:t>
      </w:r>
    </w:p>
    <w:p>
      <w:pPr>
        <w:pStyle w:val="TextBody"/>
        <w:bidi w:val="0"/>
        <w:spacing w:before="120" w:after="283"/>
        <w:jc w:val="left"/>
        <w:rPr>
          <w:rFonts w:ascii="Arial" w:hAnsi="Arial"/>
          <w:color w:val="000000"/>
          <w:sz w:val="20"/>
        </w:rPr>
      </w:pPr>
      <w:r>
        <w:rPr>
          <w:rFonts w:ascii="Arial" w:hAnsi="Arial"/>
          <w:color w:val="000000"/>
          <w:sz w:val="20"/>
        </w:rPr>
        <w:t xml:space="preserve">The Company may seek additional capital through one or more of a combination of financing through the sale of additional equity securities, debt financing, or funding in connection with any new collaborative relationships it may enter into or other arrangements. There can be no assurance that the Company will be able to obtain such additional funding, on terms acceptable to the Company, on a timely basis or at all. The terms of any financing may adversely affect the holdings or the rights of the Company’s existing stockholders. The Company’s cost of financing and its access to potential sources of future liquidity may be adversely impacted by a number of factors, including, without limitation, then current geopolitical events and the conditions in the financial markets including market volatility and rates of interest and inflation. </w:t>
      </w:r>
    </w:p>
    <w:p>
      <w:pPr>
        <w:pStyle w:val="TextBody"/>
        <w:bidi w:val="0"/>
        <w:spacing w:before="240" w:after="283"/>
        <w:jc w:val="left"/>
        <w:rPr>
          <w:rFonts w:ascii="Arial" w:hAnsi="Arial"/>
          <w:sz w:val="20"/>
        </w:rPr>
      </w:pPr>
      <w:r>
        <w:rPr>
          <w:rFonts w:ascii="Arial" w:hAnsi="Arial"/>
          <w:b/>
          <w:color w:val="000000"/>
          <w:sz w:val="20"/>
        </w:rPr>
        <w:t>2. Summary of Significant Accounting Policies</w:t>
      </w:r>
      <w:r>
        <w:rPr>
          <w:rFonts w:ascii="Arial" w:hAnsi="Arial"/>
          <w:color w:val="000000"/>
          <w:sz w:val="20"/>
        </w:rPr>
        <w:t xml:space="preserve"> </w:t>
      </w:r>
    </w:p>
    <w:p>
      <w:pPr>
        <w:pStyle w:val="TextBody"/>
        <w:bidi w:val="0"/>
        <w:spacing w:before="120" w:after="283"/>
        <w:jc w:val="left"/>
        <w:rPr>
          <w:rFonts w:ascii="Arial" w:hAnsi="Arial"/>
          <w:b/>
          <w:i/>
          <w:color w:val="000000"/>
          <w:sz w:val="20"/>
        </w:rPr>
      </w:pPr>
      <w:r>
        <w:rPr>
          <w:rFonts w:ascii="Arial" w:hAnsi="Arial"/>
          <w:b/>
          <w:i/>
          <w:color w:val="000000"/>
          <w:sz w:val="20"/>
        </w:rPr>
        <w:t>Basis of Presentation and Use of Estimates</w:t>
      </w:r>
    </w:p>
    <w:p>
      <w:pPr>
        <w:pStyle w:val="TextBody"/>
        <w:bidi w:val="0"/>
        <w:spacing w:before="120" w:after="283"/>
        <w:jc w:val="left"/>
        <w:rPr>
          <w:rFonts w:ascii="Arial" w:hAnsi="Arial"/>
          <w:color w:val="000000"/>
          <w:sz w:val="20"/>
        </w:rPr>
      </w:pPr>
      <w:r>
        <w:rPr>
          <w:rFonts w:ascii="Arial" w:hAnsi="Arial"/>
          <w:color w:val="000000"/>
          <w:sz w:val="20"/>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 Certain information and footnote disclosures normally included in financial statements prepared in accordance with GAAP have been condensed or omitted from this report, as is permitted by such SEC rules and regulations. Accordingly, these unaudited interim condensed consolidated financial statements should be read in conjunction with the Company’s audited consolidated financial statements and the notes thereto for the year ended December 31, 2025 included in the Company’s Annual Report on Form 10-K filed with the SEC on March 5, 2026.</w:t>
      </w:r>
    </w:p>
    <w:p>
      <w:pPr>
        <w:pStyle w:val="TextBody"/>
        <w:bidi w:val="0"/>
        <w:spacing w:before="120" w:after="283"/>
        <w:jc w:val="left"/>
        <w:rPr>
          <w:rFonts w:ascii="Arial" w:hAnsi="Arial"/>
          <w:sz w:val="20"/>
        </w:rPr>
      </w:pPr>
      <w:r>
        <w:rPr>
          <w:rFonts w:ascii="Arial" w:hAnsi="Arial"/>
          <w:b/>
          <w:i/>
          <w:color w:val="000000"/>
          <w:sz w:val="20"/>
        </w:rPr>
        <w:t>Unaudited Interim Financial Information</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The accompanying condensed consolidated balance sheet as of June 30, 2026, the condensed consolidated statements of operations and comprehensive loss for the three and six months ended June 30, 2026 and 2025, the condensed consolidated statements of stockholders’ equity for the three and six months ended June 30, 2026 and 2025, and the condensed consolidated statements of cash flows for the six months ended June 30, 2026 and 2025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June 30, 2026, the results of its operations for the three and six months ended June 30, 2026 and 2025 and its cash flows for the six months ended June 30, 2026 and 2025. The results for the six months ended June 30, 2026 are not </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necessarily indicative of results to be expected for the year ending December 31, 2026, or any other interim period.</w:t>
      </w:r>
    </w:p>
    <w:p>
      <w:pPr>
        <w:pStyle w:val="TextBody"/>
        <w:bidi w:val="0"/>
        <w:spacing w:before="120" w:after="283"/>
        <w:jc w:val="left"/>
        <w:rPr>
          <w:rFonts w:ascii="Arial" w:hAnsi="Arial"/>
          <w:b/>
          <w:i/>
          <w:color w:val="000000"/>
          <w:sz w:val="20"/>
        </w:rPr>
      </w:pPr>
      <w:r>
        <w:rPr>
          <w:rFonts w:ascii="Arial" w:hAnsi="Arial"/>
          <w:b/>
          <w:i/>
          <w:color w:val="000000"/>
          <w:sz w:val="20"/>
        </w:rPr>
        <w:t>Principles of Consolidation</w:t>
      </w:r>
    </w:p>
    <w:p>
      <w:pPr>
        <w:pStyle w:val="TextBody"/>
        <w:bidi w:val="0"/>
        <w:spacing w:before="120" w:after="283"/>
        <w:jc w:val="left"/>
        <w:rPr>
          <w:rFonts w:ascii="Arial" w:hAnsi="Arial"/>
          <w:color w:val="000000"/>
          <w:sz w:val="20"/>
        </w:rPr>
      </w:pPr>
      <w:r>
        <w:rPr>
          <w:rFonts w:ascii="Arial" w:hAnsi="Arial"/>
          <w:color w:val="000000"/>
          <w:sz w:val="20"/>
        </w:rPr>
        <w:t>The condensed consolidated financial statements include the accounts of Atea Pharmaceuticals, Inc. and its wholly-owned subsidiary, Atea Pharmaceuticals Securities Corporation. All intercompany amounts have been eliminated in consolidation.</w:t>
      </w:r>
    </w:p>
    <w:p>
      <w:pPr>
        <w:pStyle w:val="TextBody"/>
        <w:bidi w:val="0"/>
        <w:spacing w:before="120" w:after="283"/>
        <w:jc w:val="left"/>
        <w:rPr>
          <w:rFonts w:ascii="Arial" w:hAnsi="Arial"/>
          <w:b/>
          <w:i/>
          <w:color w:val="000000"/>
          <w:sz w:val="20"/>
        </w:rPr>
      </w:pPr>
      <w:r>
        <w:rPr>
          <w:rFonts w:ascii="Arial" w:hAnsi="Arial"/>
          <w:b/>
          <w:i/>
          <w:color w:val="000000"/>
          <w:sz w:val="20"/>
        </w:rPr>
        <w:t>Significant Accounting Policies</w:t>
      </w:r>
    </w:p>
    <w:p>
      <w:pPr>
        <w:pStyle w:val="TextBody"/>
        <w:bidi w:val="0"/>
        <w:spacing w:before="120" w:after="283"/>
        <w:jc w:val="left"/>
        <w:rPr>
          <w:rFonts w:ascii="Arial" w:hAnsi="Arial"/>
          <w:color w:val="000000"/>
          <w:sz w:val="20"/>
        </w:rPr>
      </w:pPr>
      <w:r>
        <w:rPr>
          <w:rFonts w:ascii="Arial" w:hAnsi="Arial"/>
          <w:color w:val="000000"/>
          <w:sz w:val="20"/>
        </w:rPr>
        <w:t xml:space="preserve">The significant accounting policies used in the preparation of these condensed consolidated financial statements are consistent with those as described in the Annual Report on Form 10-K for the year ended December 31, 2025 filed with the SEC on March 5, 2026. </w:t>
      </w:r>
    </w:p>
    <w:p>
      <w:pPr>
        <w:pStyle w:val="TextBody"/>
        <w:bidi w:val="0"/>
        <w:spacing w:before="120" w:after="283"/>
        <w:jc w:val="left"/>
        <w:rPr>
          <w:rFonts w:ascii="Arial" w:hAnsi="Arial"/>
          <w:b/>
          <w:i/>
          <w:color w:val="000000"/>
          <w:sz w:val="20"/>
        </w:rPr>
      </w:pPr>
      <w:r>
        <w:rPr>
          <w:rFonts w:ascii="Arial" w:hAnsi="Arial"/>
          <w:b/>
          <w:i/>
          <w:color w:val="000000"/>
          <w:sz w:val="20"/>
        </w:rPr>
        <w:t>Recently Issued Accounting Pronouncements</w:t>
      </w:r>
    </w:p>
    <w:p>
      <w:pPr>
        <w:pStyle w:val="TextBody"/>
        <w:bidi w:val="0"/>
        <w:spacing w:before="120" w:after="283"/>
        <w:jc w:val="left"/>
        <w:rPr>
          <w:rFonts w:ascii="Arial" w:hAnsi="Arial"/>
          <w:color w:val="000000"/>
          <w:sz w:val="20"/>
        </w:rPr>
      </w:pPr>
      <w:r>
        <w:rPr>
          <w:rFonts w:ascii="Arial" w:hAnsi="Arial"/>
          <w:color w:val="000000"/>
          <w:sz w:val="20"/>
        </w:rPr>
        <w:t xml:space="preserve">From time to time, new accounting pronouncements are issued by the FASB or other standard setting bodies that the Company adopts as of the specified effective date. The Company does not believe that the adoption of recently issued standards have or may have a material impact on its condensed consolidated financial statements and disclosures. </w:t>
      </w:r>
    </w:p>
    <w:p>
      <w:pPr>
        <w:pStyle w:val="TextBody"/>
        <w:bidi w:val="0"/>
        <w:spacing w:before="240" w:after="120"/>
        <w:jc w:val="left"/>
        <w:rPr>
          <w:rFonts w:ascii="Arial" w:hAnsi="Arial"/>
          <w:b/>
          <w:color w:val="000000"/>
          <w:sz w:val="20"/>
        </w:rPr>
      </w:pPr>
      <w:r>
        <w:rPr>
          <w:rFonts w:ascii="Arial" w:hAnsi="Arial"/>
          <w:b/>
          <w:color w:val="000000"/>
          <w:sz w:val="20"/>
        </w:rPr>
        <w:t>3. Marketable Securities</w:t>
      </w:r>
    </w:p>
    <w:tbl>
      <w:tblPr>
        <w:tblW w:w="10205" w:type="dxa"/>
        <w:jc w:val="left"/>
        <w:tblInd w:w="0" w:type="dxa"/>
        <w:tblLayout w:type="fixed"/>
        <w:tblCellMar>
          <w:top w:w="28" w:type="dxa"/>
          <w:left w:w="28" w:type="dxa"/>
          <w:bottom w:w="28" w:type="dxa"/>
          <w:right w:w="28" w:type="dxa"/>
        </w:tblCellMar>
      </w:tblPr>
      <w:tblGrid>
        <w:gridCol w:w="2238"/>
        <w:gridCol w:w="146"/>
        <w:gridCol w:w="293"/>
        <w:gridCol w:w="1111"/>
        <w:gridCol w:w="146"/>
        <w:gridCol w:w="146"/>
        <w:gridCol w:w="575"/>
        <w:gridCol w:w="944"/>
        <w:gridCol w:w="146"/>
        <w:gridCol w:w="146"/>
        <w:gridCol w:w="575"/>
        <w:gridCol w:w="1029"/>
        <w:gridCol w:w="166"/>
        <w:gridCol w:w="146"/>
        <w:gridCol w:w="344"/>
        <w:gridCol w:w="1298"/>
        <w:gridCol w:w="756"/>
      </w:tblGrid>
      <w:tr>
        <w:trPr/>
        <w:tc>
          <w:tcPr>
            <w:tcW w:w="2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2238"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04"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19"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04"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42"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As of June 30, 2026</w:t>
            </w:r>
          </w:p>
        </w:tc>
        <w:tc>
          <w:tcPr>
            <w:tcW w:w="75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Fair Value</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29,925</w:t>
            </w:r>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23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2,507</w:t>
            </w:r>
          </w:p>
        </w:tc>
        <w:tc>
          <w:tcPr>
            <w:tcW w:w="7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16,463</w:t>
            </w:r>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23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bonds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94,093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94,022</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238"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143,013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9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142,917</w:t>
            </w:r>
          </w:p>
        </w:tc>
        <w:tc>
          <w:tcPr>
            <w:tcW w:w="7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160"/>
        <w:gridCol w:w="146"/>
        <w:gridCol w:w="285"/>
        <w:gridCol w:w="1078"/>
        <w:gridCol w:w="146"/>
        <w:gridCol w:w="146"/>
        <w:gridCol w:w="488"/>
        <w:gridCol w:w="979"/>
        <w:gridCol w:w="146"/>
        <w:gridCol w:w="146"/>
        <w:gridCol w:w="584"/>
        <w:gridCol w:w="959"/>
        <w:gridCol w:w="166"/>
        <w:gridCol w:w="146"/>
        <w:gridCol w:w="392"/>
        <w:gridCol w:w="1482"/>
        <w:gridCol w:w="756"/>
      </w:tblGrid>
      <w:tr>
        <w:trPr/>
        <w:tc>
          <w:tcPr>
            <w:tcW w:w="2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2160"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363"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7"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43"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874"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As of December 31, 2025</w:t>
            </w:r>
          </w:p>
        </w:tc>
        <w:tc>
          <w:tcPr>
            <w:tcW w:w="75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Fair Value</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59,845</w:t>
            </w:r>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43,237</w:t>
            </w:r>
          </w:p>
        </w:tc>
        <w:tc>
          <w:tcPr>
            <w:tcW w:w="7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9,422</w:t>
            </w:r>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6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bonds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93,613</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160"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205,943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206,117</w:t>
            </w:r>
          </w:p>
        </w:tc>
        <w:tc>
          <w:tcPr>
            <w:tcW w:w="7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20"/>
        </w:rPr>
      </w:pPr>
      <w:r>
        <w:rPr>
          <w:rFonts w:ascii="Arial" w:hAnsi="Arial"/>
          <w:color w:val="000000"/>
          <w:sz w:val="20"/>
        </w:rPr>
        <w:t xml:space="preserve">As of June 30, 2026 and December 31, 2025, the Company held 37 and one securities, respectively, that were in an unrealized loss position of $96 and $2, respectively. The Company has the intent and ability to hold such securities until recovery. As a result, the Company did not record any charges for credit-related impairments for its marketable debt securities for the six months ended June 30, 2026. </w:t>
      </w:r>
    </w:p>
    <w:p>
      <w:pPr>
        <w:pStyle w:val="TextBody"/>
        <w:bidi w:val="0"/>
        <w:spacing w:before="120" w:after="120"/>
        <w:jc w:val="left"/>
        <w:rPr>
          <w:rFonts w:ascii="Arial" w:hAnsi="Arial"/>
          <w:color w:val="000000"/>
          <w:sz w:val="20"/>
        </w:rPr>
      </w:pPr>
      <w:r>
        <w:rPr>
          <w:rFonts w:ascii="Arial" w:hAnsi="Arial"/>
          <w:color w:val="000000"/>
          <w:sz w:val="20"/>
        </w:rPr>
        <w:t>The fair value of available-for-sale marketable securities by contractual maturity was as follows as of June 30, 2026:</w:t>
      </w:r>
    </w:p>
    <w:tbl>
      <w:tblPr>
        <w:tblW w:w="5513" w:type="dxa"/>
        <w:jc w:val="left"/>
        <w:tblInd w:w="0" w:type="dxa"/>
        <w:tblLayout w:type="fixed"/>
        <w:tblCellMar>
          <w:top w:w="28" w:type="dxa"/>
          <w:left w:w="28" w:type="dxa"/>
          <w:bottom w:w="28" w:type="dxa"/>
          <w:right w:w="28" w:type="dxa"/>
        </w:tblCellMar>
      </w:tblPr>
      <w:tblGrid>
        <w:gridCol w:w="3751"/>
        <w:gridCol w:w="146"/>
        <w:gridCol w:w="298"/>
        <w:gridCol w:w="1127"/>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5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25"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As of June 30,</w:t>
            </w:r>
          </w:p>
        </w:tc>
        <w:tc>
          <w:tcPr>
            <w:tcW w:w="19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Maturing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140,410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Maturing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142,917</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Company received proceeds of $172,409 and $324,266 from sales and maturities of marketable securities during the six months ended June 30, 2026 and 2025.</w:t>
      </w:r>
    </w:p>
    <w:p>
      <w:pPr>
        <w:pStyle w:val="TextBody"/>
        <w:bidi w:val="0"/>
        <w:jc w:val="left"/>
        <w:rPr/>
      </w:pPr>
      <w:r>
        <w:rPr/>
        <w:t> </w:t>
      </w:r>
    </w:p>
    <w:p>
      <w:pPr>
        <w:pStyle w:val="TextBody"/>
        <w:bidi w:val="0"/>
        <w:spacing w:before="240" w:after="283"/>
        <w:jc w:val="left"/>
        <w:rPr>
          <w:rFonts w:ascii="Arial" w:hAnsi="Arial"/>
          <w:sz w:val="20"/>
        </w:rPr>
      </w:pPr>
      <w:r>
        <w:rPr>
          <w:rFonts w:ascii="Arial" w:hAnsi="Arial"/>
          <w:b/>
          <w:color w:val="000000"/>
          <w:sz w:val="20"/>
        </w:rPr>
        <w:t>4. Fair Value Measurements</w:t>
      </w:r>
      <w:r>
        <w:rPr>
          <w:rFonts w:ascii="Arial" w:hAnsi="Arial"/>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 xml:space="preserve">The following tables present information about the Company’s financial assets measured at fair value on a recurring basis and indicate the level of the fair value hierarchy utilized to determine such fair values: </w:t>
      </w:r>
    </w:p>
    <w:tbl>
      <w:tblPr>
        <w:tblW w:w="7955" w:type="dxa"/>
        <w:jc w:val="left"/>
        <w:tblInd w:w="0" w:type="dxa"/>
        <w:tblLayout w:type="fixed"/>
        <w:tblCellMar>
          <w:top w:w="28" w:type="dxa"/>
          <w:left w:w="28" w:type="dxa"/>
          <w:bottom w:w="28" w:type="dxa"/>
          <w:right w:w="28" w:type="dxa"/>
        </w:tblCellMar>
      </w:tblPr>
      <w:tblGrid>
        <w:gridCol w:w="2501"/>
        <w:gridCol w:w="146"/>
        <w:gridCol w:w="211"/>
        <w:gridCol w:w="691"/>
        <w:gridCol w:w="146"/>
        <w:gridCol w:w="146"/>
        <w:gridCol w:w="211"/>
        <w:gridCol w:w="796"/>
        <w:gridCol w:w="146"/>
        <w:gridCol w:w="146"/>
        <w:gridCol w:w="289"/>
        <w:gridCol w:w="476"/>
        <w:gridCol w:w="146"/>
        <w:gridCol w:w="146"/>
        <w:gridCol w:w="211"/>
        <w:gridCol w:w="796"/>
        <w:gridCol w:w="751"/>
      </w:tblGrid>
      <w:tr>
        <w:trPr/>
        <w:tc>
          <w:tcPr>
            <w:tcW w:w="2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50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557" w:type="dxa"/>
            <w:gridSpan w:val="14"/>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 xml:space="preserve">Fair Value Measurements as of </w:t>
              <w:br/>
              <w:t>June 30, 2026</w:t>
            </w:r>
          </w:p>
        </w:tc>
        <w:tc>
          <w:tcPr>
            <w:tcW w:w="75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Total</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66,561</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29,925</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2,507</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16,463</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bonds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94,022</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50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66,561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142,917</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209,478</w:t>
            </w:r>
          </w:p>
        </w:tc>
        <w:tc>
          <w:tcPr>
            <w:tcW w:w="7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7955" w:type="dxa"/>
        <w:jc w:val="left"/>
        <w:tblInd w:w="0" w:type="dxa"/>
        <w:tblLayout w:type="fixed"/>
        <w:tblCellMar>
          <w:top w:w="28" w:type="dxa"/>
          <w:left w:w="28" w:type="dxa"/>
          <w:bottom w:w="28" w:type="dxa"/>
          <w:right w:w="28" w:type="dxa"/>
        </w:tblCellMar>
      </w:tblPr>
      <w:tblGrid>
        <w:gridCol w:w="2501"/>
        <w:gridCol w:w="146"/>
        <w:gridCol w:w="211"/>
        <w:gridCol w:w="691"/>
        <w:gridCol w:w="146"/>
        <w:gridCol w:w="146"/>
        <w:gridCol w:w="211"/>
        <w:gridCol w:w="796"/>
        <w:gridCol w:w="146"/>
        <w:gridCol w:w="146"/>
        <w:gridCol w:w="289"/>
        <w:gridCol w:w="476"/>
        <w:gridCol w:w="146"/>
        <w:gridCol w:w="146"/>
        <w:gridCol w:w="211"/>
        <w:gridCol w:w="796"/>
        <w:gridCol w:w="751"/>
      </w:tblGrid>
      <w:tr>
        <w:trPr/>
        <w:tc>
          <w:tcPr>
            <w:tcW w:w="2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50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557" w:type="dxa"/>
            <w:gridSpan w:val="14"/>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 xml:space="preserve">Fair Value Measurements as of </w:t>
              <w:br/>
              <w:t>December 31, 2025</w:t>
            </w:r>
          </w:p>
        </w:tc>
        <w:tc>
          <w:tcPr>
            <w:tcW w:w="75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Total</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87,584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59,845</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43,237</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9,422</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bonds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93,613</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50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87,584</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206,117</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293,701</w:t>
            </w:r>
          </w:p>
        </w:tc>
        <w:tc>
          <w:tcPr>
            <w:tcW w:w="7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20"/>
        </w:rPr>
      </w:pPr>
      <w:r>
        <w:rPr>
          <w:rFonts w:ascii="Arial" w:hAnsi="Arial"/>
          <w:color w:val="000000"/>
          <w:sz w:val="20"/>
        </w:rPr>
        <w:t>The Company’s assets with fair value categorized as Level 1 within the fair value hierarchy include money market funds. Money market funds are publicly traded mutual funds and are presented as cash equivalents on the unaudited condensed consolidated balance sheets as of June 30, 2026 and December 31, 2025.</w:t>
      </w:r>
    </w:p>
    <w:p>
      <w:pPr>
        <w:pStyle w:val="TextBody"/>
        <w:bidi w:val="0"/>
        <w:spacing w:before="120" w:after="283"/>
        <w:jc w:val="left"/>
        <w:rPr>
          <w:rFonts w:ascii="Arial" w:hAnsi="Arial"/>
          <w:color w:val="000000"/>
          <w:sz w:val="20"/>
        </w:rPr>
      </w:pPr>
      <w:r>
        <w:rPr>
          <w:rFonts w:ascii="Arial" w:hAnsi="Arial"/>
          <w:color w:val="000000"/>
          <w:sz w:val="20"/>
        </w:rPr>
        <w:t>The Company’s assets with fair value categorized as Level 2 within the fair value hierarchy include US Treasury obligations, asset-backed securities, commercial paper and corporate bonds with fair values determined by utilizing information from third party pricing sources for identical or similar assets and liabilities in an active market.</w:t>
      </w:r>
    </w:p>
    <w:p>
      <w:pPr>
        <w:pStyle w:val="TextBody"/>
        <w:bidi w:val="0"/>
        <w:spacing w:before="120" w:after="283"/>
        <w:jc w:val="left"/>
        <w:rPr>
          <w:rFonts w:ascii="Arial" w:hAnsi="Arial"/>
          <w:color w:val="000000"/>
          <w:sz w:val="20"/>
        </w:rPr>
      </w:pPr>
      <w:r>
        <w:rPr>
          <w:rFonts w:ascii="Arial" w:hAnsi="Arial"/>
          <w:color w:val="000000"/>
          <w:sz w:val="20"/>
        </w:rPr>
        <w:t>There were no transfers between Level 1, Level 2 or Level 3 categories during the six months ended June 30, 2026.</w:t>
      </w:r>
    </w:p>
    <w:p>
      <w:pPr>
        <w:pStyle w:val="TextBody"/>
        <w:bidi w:val="0"/>
        <w:spacing w:before="240" w:after="283"/>
        <w:jc w:val="left"/>
        <w:rPr>
          <w:rFonts w:ascii="Arial" w:hAnsi="Arial"/>
          <w:sz w:val="20"/>
        </w:rPr>
      </w:pPr>
      <w:r>
        <w:rPr>
          <w:rFonts w:ascii="Arial" w:hAnsi="Arial"/>
          <w:b/>
          <w:color w:val="000000"/>
          <w:sz w:val="20"/>
        </w:rPr>
        <w:t>5. Accrued Expenses and Other Current Liabilities</w:t>
      </w:r>
      <w:r>
        <w:rPr>
          <w:rFonts w:ascii="Arial" w:hAnsi="Arial"/>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 xml:space="preserve">Accrued expenses and other current liabilities consist of the following: </w:t>
      </w:r>
    </w:p>
    <w:tbl>
      <w:tblPr>
        <w:tblW w:w="10047" w:type="dxa"/>
        <w:jc w:val="left"/>
        <w:tblInd w:w="0" w:type="dxa"/>
        <w:tblLayout w:type="fixed"/>
        <w:tblCellMar>
          <w:top w:w="28" w:type="dxa"/>
          <w:left w:w="28" w:type="dxa"/>
          <w:bottom w:w="28" w:type="dxa"/>
          <w:right w:w="28" w:type="dxa"/>
        </w:tblCellMar>
      </w:tblPr>
      <w:tblGrid>
        <w:gridCol w:w="6871"/>
        <w:gridCol w:w="146"/>
        <w:gridCol w:w="211"/>
        <w:gridCol w:w="691"/>
        <w:gridCol w:w="146"/>
        <w:gridCol w:w="146"/>
        <w:gridCol w:w="319"/>
        <w:gridCol w:w="1046"/>
        <w:gridCol w:w="471"/>
      </w:tblGrid>
      <w:tr>
        <w:trPr/>
        <w:tc>
          <w:tcPr>
            <w:tcW w:w="6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87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02"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June 30,</w:t>
              <w:br/>
              <w:t>2026</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365"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December 31,</w:t>
              <w:br/>
              <w:t>2025</w:t>
            </w:r>
          </w:p>
        </w:tc>
        <w:tc>
          <w:tcPr>
            <w:tcW w:w="47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 including manufacturing and clinical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18,886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Payroll and payroll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6,438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fees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87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accrued expenses and other current liabilities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17,642</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25,996</w:t>
            </w:r>
          </w:p>
        </w:tc>
        <w:tc>
          <w:tcPr>
            <w:tcW w:w="4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Arial" w:hAnsi="Arial"/>
          <w:sz w:val="20"/>
        </w:rPr>
      </w:pPr>
      <w:r>
        <w:rPr>
          <w:rFonts w:ascii="Arial" w:hAnsi="Arial"/>
          <w:b/>
          <w:color w:val="000000"/>
          <w:sz w:val="20"/>
        </w:rPr>
        <w:t>6. Common Stock</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As of June 30, 2026, the authorized capital of the Company included 300,000,000 shares of Common Stock, of which 80,204,699 shares of the Common Stock were issued and outstanding. On all matters to be voted upon by the holders of the Common Stock, holders of the Common Stock are entitled to one vote per share. The holders of the Common Stock have no preemptive, redemption or conversion rights.</w:t>
      </w:r>
    </w:p>
    <w:p>
      <w:pPr>
        <w:pStyle w:val="TextBody"/>
        <w:bidi w:val="0"/>
        <w:jc w:val="left"/>
        <w:rPr/>
      </w:pPr>
      <w:r>
        <w:rPr/>
        <w:t> </w:t>
      </w:r>
    </w:p>
    <w:p>
      <w:pPr>
        <w:pStyle w:val="TextBody"/>
        <w:bidi w:val="0"/>
        <w:spacing w:before="240" w:after="283"/>
        <w:jc w:val="left"/>
        <w:rPr>
          <w:rFonts w:ascii="Arial" w:hAnsi="Arial"/>
          <w:sz w:val="20"/>
        </w:rPr>
      </w:pPr>
      <w:r>
        <w:rPr>
          <w:rFonts w:ascii="Arial" w:hAnsi="Arial"/>
          <w:b/>
          <w:color w:val="000000"/>
          <w:sz w:val="20"/>
        </w:rPr>
        <w:t>7. Stock-based Compensation</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In October 2020, the Company’s stockholders approved the Company’s 2020 Incentive Award Plan (“2020 Plan”). The 2020 Plan initially provided for the issuance of up to 7,924,000 shares of Common Stock and for the grant of incentive stock options and other incentive awards to employees, officers, directors and consultants of the Company. The number of shares of Common Stock that may be issued under the 2020 Plan is subject to increase on the first day of each calendar year equal to the lesser of i) 5% of the aggregate number of shares of Common Stock outstanding on the final day of the immediately preceding calendar year or ii) such smaller number of shares as is determined by the board of directors. Through December 31, 2025, the shares available under the 2020 Plan had been increased by an aggregate of 20,845,291 shares. In January 2026, the number of shares of Common Stock available for future issuance under the 2020 Plan was further increased by 3,906,339 shares. To the extent outstanding restricted stock unit or stock option awards granted under the 2020 Plan are cancelled, the shares of Common Stock underlying such cancelled awards are available for future grant under the 2020 Plan. As of June 30, 2026, 6,953,894 shares of Common Stock were available for future issuance under the 2020 Plan. </w:t>
      </w:r>
    </w:p>
    <w:p>
      <w:pPr>
        <w:pStyle w:val="TextBody"/>
        <w:bidi w:val="0"/>
        <w:spacing w:before="120" w:after="283"/>
        <w:jc w:val="left"/>
        <w:rPr>
          <w:rFonts w:ascii="Arial" w:hAnsi="Arial"/>
          <w:color w:val="000000"/>
          <w:sz w:val="20"/>
        </w:rPr>
      </w:pPr>
      <w:r>
        <w:rPr>
          <w:rFonts w:ascii="Arial" w:hAnsi="Arial"/>
          <w:color w:val="000000"/>
          <w:sz w:val="20"/>
        </w:rPr>
        <w:t>The 2020 Plan replaced and is the successor of the Company’s 2013 Equity Incentive Plan, as amended (“2013 Plan”). In the event of any cancellation of an outstanding option award under the 2013 Plan, the shares of Common Stock underlying the cancelled option award will be made available for grant under the 2020 Plan.</w:t>
      </w:r>
    </w:p>
    <w:p>
      <w:pPr>
        <w:pStyle w:val="TextBody"/>
        <w:bidi w:val="0"/>
        <w:spacing w:before="120" w:after="283"/>
        <w:jc w:val="left"/>
        <w:rPr>
          <w:rFonts w:ascii="Arial" w:hAnsi="Arial"/>
          <w:b/>
          <w:color w:val="000000"/>
          <w:sz w:val="20"/>
        </w:rPr>
      </w:pPr>
      <w:r>
        <w:rPr>
          <w:rFonts w:ascii="Arial" w:hAnsi="Arial"/>
          <w:b/>
          <w:color w:val="000000"/>
          <w:sz w:val="20"/>
        </w:rPr>
        <w:t>Stock Options</w:t>
      </w:r>
    </w:p>
    <w:p>
      <w:pPr>
        <w:pStyle w:val="TextBody"/>
        <w:bidi w:val="0"/>
        <w:spacing w:before="120" w:after="283"/>
        <w:jc w:val="left"/>
        <w:rPr>
          <w:rFonts w:ascii="Arial" w:hAnsi="Arial"/>
          <w:color w:val="000000"/>
          <w:sz w:val="20"/>
        </w:rPr>
      </w:pPr>
      <w:r>
        <w:rPr>
          <w:rFonts w:ascii="Arial" w:hAnsi="Arial"/>
          <w:color w:val="000000"/>
          <w:sz w:val="20"/>
        </w:rPr>
        <w:t>The following table summarizes stock option activity: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29"/>
        <w:gridCol w:w="146"/>
        <w:gridCol w:w="146"/>
        <w:gridCol w:w="1066"/>
        <w:gridCol w:w="166"/>
        <w:gridCol w:w="146"/>
        <w:gridCol w:w="375"/>
        <w:gridCol w:w="1047"/>
        <w:gridCol w:w="146"/>
        <w:gridCol w:w="146"/>
        <w:gridCol w:w="351"/>
        <w:gridCol w:w="905"/>
        <w:gridCol w:w="146"/>
        <w:gridCol w:w="146"/>
        <w:gridCol w:w="245"/>
        <w:gridCol w:w="806"/>
        <w:gridCol w:w="193"/>
      </w:tblGrid>
      <w:tr>
        <w:trPr/>
        <w:tc>
          <w:tcPr>
            <w:tcW w:w="4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029"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12"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Number of</w:t>
              <w:br/>
              <w:t>Shares</w:t>
            </w:r>
          </w:p>
        </w:tc>
        <w:tc>
          <w:tcPr>
            <w:tcW w:w="16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22"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Weighted</w:t>
              <w:br/>
              <w:t>Average</w:t>
              <w:br/>
              <w:t>Exercise Price</w:t>
              <w:br/>
              <w:t>Per Share</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256"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Weighted</w:t>
              <w:br/>
              <w:t>Average</w:t>
              <w:br/>
              <w:t>Remaining</w:t>
              <w:br/>
              <w:t>Contractual</w:t>
              <w:br/>
              <w:t>Term (years)</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051"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Aggregate</w:t>
              <w:br/>
              <w:t>Intrinsic</w:t>
              <w:br/>
              <w:t>Value</w:t>
              <w:br/>
              <w:t>($000s)</w:t>
            </w:r>
          </w:p>
        </w:tc>
        <w:tc>
          <w:tcPr>
            <w:tcW w:w="193"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40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22,842,960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8,436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2,185,540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(630,075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(2,546,459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21,851,966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16,366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 and 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21,851,966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16,366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 and exercisable at June 30, 2026</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16,328,302</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7.20</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11,900</w:t>
            </w:r>
          </w:p>
        </w:tc>
        <w:tc>
          <w:tcPr>
            <w:tcW w:w="19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20"/>
        </w:rPr>
      </w:pPr>
      <w:r>
        <w:rPr>
          <w:rFonts w:ascii="Arial" w:hAnsi="Arial"/>
          <w:color w:val="000000"/>
          <w:sz w:val="20"/>
        </w:rPr>
        <w:t>During the six months ended June 30, 2026, the Company granted 2,185,540 stock options with an aggregate grant date fair value of $6,667 under the 2020 Plan.</w:t>
      </w:r>
    </w:p>
    <w:p>
      <w:pPr>
        <w:pStyle w:val="TextBody"/>
        <w:bidi w:val="0"/>
        <w:spacing w:before="120" w:after="283"/>
        <w:jc w:val="left"/>
        <w:rPr>
          <w:rFonts w:ascii="Arial" w:hAnsi="Arial"/>
          <w:color w:val="000000"/>
          <w:sz w:val="20"/>
        </w:rPr>
      </w:pPr>
      <w:r>
        <w:rPr>
          <w:rFonts w:ascii="Arial" w:hAnsi="Arial"/>
          <w:color w:val="000000"/>
          <w:sz w:val="20"/>
        </w:rPr>
        <w:t>The aggregate intrinsic value of options granted is calculated as the difference between the exercise price of the options and the estimated fair value of the Common Stock for those options that had exercise prices lower than the fair value of the Common Stock.</w:t>
      </w:r>
    </w:p>
    <w:p>
      <w:pPr>
        <w:pStyle w:val="TextBody"/>
        <w:bidi w:val="0"/>
        <w:spacing w:before="120" w:after="283"/>
        <w:jc w:val="left"/>
        <w:rPr>
          <w:rFonts w:ascii="Arial" w:hAnsi="Arial"/>
          <w:color w:val="000000"/>
          <w:sz w:val="20"/>
        </w:rPr>
      </w:pPr>
      <w:r>
        <w:rPr>
          <w:rFonts w:ascii="Arial" w:hAnsi="Arial"/>
          <w:color w:val="000000"/>
          <w:sz w:val="20"/>
        </w:rPr>
        <w:t>Option awards granted to employees generally vest over a service period of four years and option awards granted to members of the board of directors generally vest over a service period of one or three years. All options have a contractual term of ten years. As of June 30, 2026, total unrecognized compensation expense related to stock option awards was $15,225, which is being recognized over a remaining weighted average period of 2.2 years.</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Restricted Stock Units</w:t>
      </w:r>
    </w:p>
    <w:p>
      <w:pPr>
        <w:pStyle w:val="TextBody"/>
        <w:bidi w:val="0"/>
        <w:spacing w:before="120" w:after="120"/>
        <w:jc w:val="left"/>
        <w:rPr>
          <w:rFonts w:ascii="Arial" w:hAnsi="Arial"/>
          <w:color w:val="000000"/>
          <w:sz w:val="20"/>
        </w:rPr>
      </w:pPr>
      <w:r>
        <w:rPr>
          <w:rFonts w:ascii="Arial" w:hAnsi="Arial"/>
          <w:color w:val="000000"/>
          <w:sz w:val="20"/>
        </w:rPr>
        <w:t xml:space="preserve">During the six months ended June 30, 2026, the Company granted 708,200 restricted stock units to employees and directors under the 2020 Plan with an aggregate grant date fair market value of $3,028. These restricted stock unit awards vest in three annual installments. </w:t>
      </w:r>
    </w:p>
    <w:p>
      <w:pPr>
        <w:pStyle w:val="TextBody"/>
        <w:bidi w:val="0"/>
        <w:spacing w:before="0" w:after="120"/>
        <w:jc w:val="left"/>
        <w:rPr>
          <w:rFonts w:ascii="Arial" w:hAnsi="Arial"/>
          <w:color w:val="000000"/>
          <w:sz w:val="20"/>
        </w:rPr>
      </w:pPr>
      <w:r>
        <w:rPr>
          <w:rFonts w:ascii="Arial" w:hAnsi="Arial"/>
          <w:color w:val="000000"/>
          <w:sz w:val="20"/>
        </w:rPr>
        <w:t xml:space="preserve">Below is the activity related to restricted stock units for the six months ended June 30, 2026. </w:t>
      </w:r>
    </w:p>
    <w:tbl>
      <w:tblPr>
        <w:tblW w:w="6752" w:type="dxa"/>
        <w:jc w:val="left"/>
        <w:tblInd w:w="0" w:type="dxa"/>
        <w:tblLayout w:type="fixed"/>
        <w:tblCellMar>
          <w:top w:w="28" w:type="dxa"/>
          <w:left w:w="28" w:type="dxa"/>
          <w:bottom w:w="28" w:type="dxa"/>
          <w:right w:w="28" w:type="dxa"/>
        </w:tblCellMar>
      </w:tblPr>
      <w:tblGrid>
        <w:gridCol w:w="2851"/>
        <w:gridCol w:w="146"/>
        <w:gridCol w:w="146"/>
        <w:gridCol w:w="1021"/>
        <w:gridCol w:w="166"/>
        <w:gridCol w:w="146"/>
        <w:gridCol w:w="634"/>
        <w:gridCol w:w="1451"/>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67"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Number of</w:t>
              <w:br/>
              <w:t>Shares</w:t>
            </w:r>
          </w:p>
        </w:tc>
        <w:tc>
          <w:tcPr>
            <w:tcW w:w="16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085"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Weighted Average</w:t>
              <w:br/>
              <w:t>Grant Date Fair Value</w:t>
            </w:r>
          </w:p>
        </w:tc>
        <w:tc>
          <w:tcPr>
            <w:tcW w:w="19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2,247,064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708,200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(1,388,728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at June 30, 2026</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1,552,537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Arial" w:hAnsi="Arial"/>
          <w:color w:val="000000"/>
          <w:sz w:val="20"/>
        </w:rPr>
      </w:pPr>
      <w:r>
        <w:rPr>
          <w:rFonts w:ascii="Arial" w:hAnsi="Arial"/>
          <w:color w:val="000000"/>
          <w:sz w:val="20"/>
        </w:rPr>
        <w:t>As of June 30, 2026, total unrecognized compensation expense related to restricted stock units was $4,755, which is being recognized over a remaining weighted average period of 1.6 years.</w:t>
      </w:r>
    </w:p>
    <w:p>
      <w:pPr>
        <w:pStyle w:val="TextBody"/>
        <w:bidi w:val="0"/>
        <w:jc w:val="left"/>
        <w:rPr>
          <w:rFonts w:ascii="Arial" w:hAnsi="Arial"/>
          <w:b/>
          <w:i/>
          <w:color w:val="000000"/>
          <w:sz w:val="20"/>
        </w:rPr>
      </w:pPr>
      <w:r>
        <w:rPr>
          <w:rFonts w:ascii="Arial" w:hAnsi="Arial"/>
          <w:b/>
          <w:i/>
          <w:color w:val="000000"/>
          <w:sz w:val="20"/>
        </w:rPr>
        <w:t>Performance-based Restricted Stock Units</w:t>
      </w:r>
    </w:p>
    <w:p>
      <w:pPr>
        <w:pStyle w:val="TextBody"/>
        <w:bidi w:val="0"/>
        <w:spacing w:before="120" w:after="283"/>
        <w:jc w:val="left"/>
        <w:rPr>
          <w:rFonts w:ascii="Arial" w:hAnsi="Arial"/>
          <w:color w:val="000000"/>
          <w:sz w:val="20"/>
        </w:rPr>
      </w:pPr>
      <w:r>
        <w:rPr>
          <w:rFonts w:ascii="Arial" w:hAnsi="Arial"/>
          <w:color w:val="000000"/>
          <w:sz w:val="20"/>
        </w:rPr>
        <w:t>During the year ended December 31, 2022 the Company granted 724,970 performance-based restricted stock units (“2022 PSUs”) under the 2020 Plan to employees with an aggregate grant fair value of $5,298. The performance period for the 2022 PSUs ran from February 1, 2022 through January 31, 2025 to achieve up to six defined performance metrics. The Company achieved two metrics which resulted in 50% of the grant date fair value being recognized as expense. Of the total 2022 PSUs granted, 25% vested on January 31, 2025, and 25% vested on January 31, 2026. The Company recorded compensation expense of $0 and $81 for the three months ended June 30, 2026 and 2025, respectively related to the 2022 PSUs. The Company recorded compensation expense of $27 and $197 for the six months ended June 30, 2026 and 2025, respectively related to the 2022 PSUs.</w:t>
      </w:r>
    </w:p>
    <w:p>
      <w:pPr>
        <w:pStyle w:val="TextBody"/>
        <w:bidi w:val="0"/>
        <w:spacing w:before="120" w:after="283"/>
        <w:jc w:val="left"/>
        <w:rPr>
          <w:rFonts w:ascii="Arial" w:hAnsi="Arial"/>
          <w:color w:val="000000"/>
          <w:sz w:val="20"/>
        </w:rPr>
      </w:pPr>
      <w:r>
        <w:rPr>
          <w:rFonts w:ascii="Arial" w:hAnsi="Arial"/>
          <w:color w:val="000000"/>
          <w:sz w:val="20"/>
        </w:rPr>
        <w:t>During the year ended December 31, 2024, the Company granted 1,057,900 performance-based restricted stock units (“2024 PSUs”) under the 2020 Plan to employees with an aggregate grant date fair value of $4,401. The 2024 PSUs provide for a performance period from February 1, 2024 through January 31, 2027 to achieve up to four defined performance metrics. The percentage of 2024 PSUs eligible to vest will be determined based on the number of metrics achieved during the performance period and may range from 0% to 200%. As of June 30, 2026, two of the 2024 PSU metrics were deemed probable of achievement resulting in expense recognition of 75% of the 2024 PSU grant date value. Compensation expense is being recognized from the grant date through the final vest date of January 31, 2027. The Company recorded compensation expense of $274 for each of the three months ended June 30, 2026 and 2025 related to the 2024 PSUs. The Company recorded compensation expense of $545 for each of the six months ended June 30, 2026 and 2025 related to the 2024 PSUs.</w:t>
      </w:r>
    </w:p>
    <w:p>
      <w:pPr>
        <w:pStyle w:val="TextBody"/>
        <w:bidi w:val="0"/>
        <w:spacing w:before="120" w:after="283"/>
        <w:jc w:val="left"/>
        <w:rPr>
          <w:rFonts w:ascii="Arial" w:hAnsi="Arial"/>
          <w:color w:val="000000"/>
          <w:sz w:val="20"/>
        </w:rPr>
      </w:pPr>
      <w:r>
        <w:rPr>
          <w:rFonts w:ascii="Arial" w:hAnsi="Arial"/>
          <w:color w:val="000000"/>
          <w:sz w:val="20"/>
        </w:rPr>
        <w:t xml:space="preserve">During the year ended December 31, 2025, the Company granted 1,045,600 performance-based restricted stock units (“2025 PSUs”) under the 2020 Plan to employees with an aggregate grant date fair value of $3,200. The 2025 PSUs provide for a performance period from February 1, 2025 through January 31, 2028 to achieve up to four defined performance metrics. The percentage of 2025 PSUs eligible to vest will be determined based on the number of metrics achieved during the performance period and may range from 0% to 200%. As of June 30, 2026, none of the 2025 PSU metrics were deemed probable of achievement. The Company recorded compensation expense of $0 for the three and six months ended June 30, 2026 and 2025 related to the 2025 PSUs. </w:t>
      </w:r>
    </w:p>
    <w:p>
      <w:pPr>
        <w:pStyle w:val="TextBody"/>
        <w:bidi w:val="0"/>
        <w:spacing w:before="120" w:after="283"/>
        <w:jc w:val="left"/>
        <w:rPr>
          <w:rFonts w:ascii="Arial" w:hAnsi="Arial"/>
          <w:color w:val="000000"/>
          <w:sz w:val="20"/>
        </w:rPr>
      </w:pPr>
      <w:r>
        <w:rPr>
          <w:rFonts w:ascii="Arial" w:hAnsi="Arial"/>
          <w:color w:val="000000"/>
          <w:sz w:val="20"/>
        </w:rPr>
        <w:t>During the six months ended June 30, 2026, the Company granted 1,886,320 performance-based restricted stock units (“2026 PSUs”) under the 2020 Plan to employees with an aggregate grant date fair value of $7,998. The 2026 PSUs provide for a performance period from February 1, 2026 through January 31, 2029 to achieve up to four defined performance metrics. The percentage of 2026 PSUs eligible to vest will be determined based on the number of metrics achieved during the performance period and may range from 0% to 200%. As of June 30, 2026, none of the 2026 PSU metrics were deemed probable of achievement. The Company recorded compensation expense of $0 for the three and six months ended June, 2026 related to the 2026 PSUs.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Arial" w:hAnsi="Arial"/>
          <w:color w:val="000000"/>
          <w:sz w:val="20"/>
        </w:rPr>
      </w:pPr>
      <w:r>
        <w:rPr>
          <w:rFonts w:ascii="Arial" w:hAnsi="Arial"/>
          <w:color w:val="000000"/>
          <w:sz w:val="20"/>
        </w:rPr>
        <w:t>The following table summarizes the activity related to performance-based restricted stock units:</w:t>
      </w:r>
    </w:p>
    <w:tbl>
      <w:tblPr>
        <w:tblW w:w="6692" w:type="dxa"/>
        <w:jc w:val="left"/>
        <w:tblInd w:w="0" w:type="dxa"/>
        <w:tblLayout w:type="fixed"/>
        <w:tblCellMar>
          <w:top w:w="28" w:type="dxa"/>
          <w:left w:w="28" w:type="dxa"/>
          <w:bottom w:w="28" w:type="dxa"/>
          <w:right w:w="28" w:type="dxa"/>
        </w:tblCellMar>
      </w:tblPr>
      <w:tblGrid>
        <w:gridCol w:w="2851"/>
        <w:gridCol w:w="146"/>
        <w:gridCol w:w="146"/>
        <w:gridCol w:w="961"/>
        <w:gridCol w:w="166"/>
        <w:gridCol w:w="146"/>
        <w:gridCol w:w="634"/>
        <w:gridCol w:w="1451"/>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07"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Number of</w:t>
              <w:br/>
              <w:t>Shares</w:t>
            </w:r>
          </w:p>
        </w:tc>
        <w:tc>
          <w:tcPr>
            <w:tcW w:w="16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085"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Weighted Average</w:t>
              <w:br/>
              <w:t>Grant Date Fair Value</w:t>
            </w:r>
          </w:p>
        </w:tc>
        <w:tc>
          <w:tcPr>
            <w:tcW w:w="19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2,465,985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1,886,320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at June 30, 2026</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3,989,820</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3.91</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20"/>
        </w:rPr>
      </w:pPr>
      <w:r>
        <w:rPr>
          <w:rFonts w:ascii="Arial" w:hAnsi="Arial"/>
          <w:color w:val="000000"/>
          <w:sz w:val="20"/>
        </w:rPr>
        <w:t>As of June 30, 2026, total unrecognized compensation expense related to performance-based restricted stock units was $647, which is being recognized over a weighted average period of 1.8 years.</w:t>
      </w:r>
    </w:p>
    <w:p>
      <w:pPr>
        <w:pStyle w:val="TextBody"/>
        <w:bidi w:val="0"/>
        <w:spacing w:before="120" w:after="283"/>
        <w:jc w:val="left"/>
        <w:rPr>
          <w:rFonts w:ascii="Arial" w:hAnsi="Arial"/>
          <w:b/>
          <w:color w:val="000000"/>
          <w:sz w:val="20"/>
        </w:rPr>
      </w:pPr>
      <w:r>
        <w:rPr>
          <w:rFonts w:ascii="Arial" w:hAnsi="Arial"/>
          <w:b/>
          <w:color w:val="000000"/>
          <w:sz w:val="20"/>
        </w:rPr>
        <w:t>Employee Stock Purchase Plan</w:t>
      </w:r>
    </w:p>
    <w:p>
      <w:pPr>
        <w:pStyle w:val="TextBody"/>
        <w:bidi w:val="0"/>
        <w:spacing w:before="120" w:after="283"/>
        <w:jc w:val="left"/>
        <w:rPr>
          <w:rFonts w:ascii="Arial" w:hAnsi="Arial"/>
          <w:color w:val="000000"/>
          <w:sz w:val="20"/>
        </w:rPr>
      </w:pPr>
      <w:r>
        <w:rPr>
          <w:rFonts w:ascii="Arial" w:hAnsi="Arial"/>
          <w:color w:val="000000"/>
          <w:sz w:val="20"/>
        </w:rPr>
        <w:t>In October 2020, the Company’s shareholders approved the Employee Stock Purchase Plan (“ESPP”), which became effective upon the closing of the Company’s initial public offering in November 2020. The Company initially reserved a total of 1,187,000 shares of its Common Stock for issuance under the ESPP. The ESPP provides that the number of shares reserved and available for issuance under the ESPP will be increased on January 1 of each calendar year by 1% of the number of shares of Common Stock issued and outstanding on the immediately preceding December 31 or such lesser amount as specified by the board of directors. Through December 31, 2025, the number of shares of Common Stock available for future issuance under the ESPP had been increased by 2,511,861 shares. In January 2026, the number of shares of Common Stock available for future issuance under the ESPP was further increased by 781,267 shares.</w:t>
      </w:r>
    </w:p>
    <w:p>
      <w:pPr>
        <w:pStyle w:val="TextBody"/>
        <w:bidi w:val="0"/>
        <w:spacing w:before="120" w:after="283"/>
        <w:jc w:val="left"/>
        <w:rPr>
          <w:rFonts w:ascii="Arial" w:hAnsi="Arial"/>
          <w:color w:val="000000"/>
          <w:sz w:val="20"/>
        </w:rPr>
      </w:pPr>
      <w:r>
        <w:rPr>
          <w:rFonts w:ascii="Arial" w:hAnsi="Arial"/>
          <w:color w:val="000000"/>
          <w:sz w:val="20"/>
        </w:rPr>
        <w:t xml:space="preserve">The Company issued 53,966 and 54,296 shares for proceeds of $132 and $138 during the six months ended June 30, 2026 and 2025, respectively. </w:t>
      </w:r>
    </w:p>
    <w:p>
      <w:pPr>
        <w:pStyle w:val="TextBody"/>
        <w:bidi w:val="0"/>
        <w:spacing w:before="120" w:after="283"/>
        <w:jc w:val="left"/>
        <w:rPr>
          <w:rFonts w:ascii="Arial" w:hAnsi="Arial"/>
          <w:sz w:val="20"/>
        </w:rPr>
      </w:pPr>
      <w:r>
        <w:rPr>
          <w:rFonts w:ascii="Arial" w:hAnsi="Arial"/>
          <w:b/>
          <w:i/>
          <w:color w:val="000000"/>
          <w:sz w:val="20"/>
        </w:rPr>
        <w:t>Stock-based Compensation Expense</w:t>
      </w:r>
      <w:r>
        <w:rPr>
          <w:rFonts w:ascii="Arial" w:hAnsi="Arial"/>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Stock-based compensation expense by award type included within the unaudited condensed consolidated statements of operations and comprehensive loss was as follows:</w:t>
      </w:r>
    </w:p>
    <w:tbl>
      <w:tblPr>
        <w:tblW w:w="8409" w:type="dxa"/>
        <w:jc w:val="left"/>
        <w:tblInd w:w="0" w:type="dxa"/>
        <w:tblLayout w:type="fixed"/>
        <w:tblCellMar>
          <w:top w:w="28" w:type="dxa"/>
          <w:left w:w="28" w:type="dxa"/>
          <w:bottom w:w="28" w:type="dxa"/>
          <w:right w:w="28" w:type="dxa"/>
        </w:tblCellMar>
      </w:tblPr>
      <w:tblGrid>
        <w:gridCol w:w="3751"/>
        <w:gridCol w:w="146"/>
        <w:gridCol w:w="228"/>
        <w:gridCol w:w="634"/>
        <w:gridCol w:w="157"/>
        <w:gridCol w:w="157"/>
        <w:gridCol w:w="228"/>
        <w:gridCol w:w="634"/>
        <w:gridCol w:w="146"/>
        <w:gridCol w:w="146"/>
        <w:gridCol w:w="211"/>
        <w:gridCol w:w="586"/>
        <w:gridCol w:w="146"/>
        <w:gridCol w:w="146"/>
        <w:gridCol w:w="211"/>
        <w:gridCol w:w="691"/>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5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38"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Three Months Ended</w:t>
              <w:br/>
              <w:t>June 30,</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991"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Six Months Ended</w:t>
              <w:br/>
              <w:t>June 30,</w:t>
            </w:r>
          </w:p>
        </w:tc>
        <w:tc>
          <w:tcPr>
            <w:tcW w:w="19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Performance-based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stock-based compensation expense</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3,381</w:t>
            </w:r>
          </w:p>
        </w:tc>
        <w:tc>
          <w:tcPr>
            <w:tcW w:w="15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4,667</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7,110</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11,618</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Arial" w:hAnsi="Arial"/>
          <w:color w:val="000000"/>
          <w:sz w:val="20"/>
        </w:rPr>
      </w:pPr>
      <w:r>
        <w:rPr>
          <w:rFonts w:ascii="Arial" w:hAnsi="Arial"/>
          <w:color w:val="000000"/>
          <w:sz w:val="20"/>
        </w:rPr>
        <w:t xml:space="preserve">Stock-based compensation expense is classified as follows: </w:t>
      </w:r>
    </w:p>
    <w:tbl>
      <w:tblPr>
        <w:tblW w:w="8409" w:type="dxa"/>
        <w:jc w:val="left"/>
        <w:tblInd w:w="0" w:type="dxa"/>
        <w:tblLayout w:type="fixed"/>
        <w:tblCellMar>
          <w:top w:w="28" w:type="dxa"/>
          <w:left w:w="28" w:type="dxa"/>
          <w:bottom w:w="28" w:type="dxa"/>
          <w:right w:w="28" w:type="dxa"/>
        </w:tblCellMar>
      </w:tblPr>
      <w:tblGrid>
        <w:gridCol w:w="3751"/>
        <w:gridCol w:w="146"/>
        <w:gridCol w:w="228"/>
        <w:gridCol w:w="634"/>
        <w:gridCol w:w="157"/>
        <w:gridCol w:w="157"/>
        <w:gridCol w:w="228"/>
        <w:gridCol w:w="634"/>
        <w:gridCol w:w="146"/>
        <w:gridCol w:w="146"/>
        <w:gridCol w:w="211"/>
        <w:gridCol w:w="586"/>
        <w:gridCol w:w="146"/>
        <w:gridCol w:w="146"/>
        <w:gridCol w:w="211"/>
        <w:gridCol w:w="691"/>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5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38"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Three Months Ended</w:t>
              <w:br/>
              <w:t>June 30,</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991"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Six Months Ended</w:t>
              <w:br/>
              <w:t>June 30,</w:t>
            </w:r>
          </w:p>
        </w:tc>
        <w:tc>
          <w:tcPr>
            <w:tcW w:w="19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1,620</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stock-based compensation expense</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3,381</w:t>
            </w:r>
          </w:p>
        </w:tc>
        <w:tc>
          <w:tcPr>
            <w:tcW w:w="15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4,667</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7,110</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11,618</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0"/>
        </w:rPr>
      </w:pPr>
      <w:r>
        <w:rPr>
          <w:rFonts w:ascii="Arial" w:hAnsi="Arial"/>
          <w:b/>
          <w:color w:val="000000"/>
          <w:sz w:val="20"/>
        </w:rPr>
        <w:t>8. Net Loss Per Share</w:t>
      </w:r>
      <w:r>
        <w:rPr>
          <w:rFonts w:ascii="Arial" w:hAnsi="Arial"/>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Basic and diluted earnings per share are calculated as follows:</w:t>
      </w:r>
    </w:p>
    <w:tbl>
      <w:tblPr>
        <w:tblW w:w="10205" w:type="dxa"/>
        <w:jc w:val="left"/>
        <w:tblInd w:w="0" w:type="dxa"/>
        <w:tblLayout w:type="fixed"/>
        <w:tblCellMar>
          <w:top w:w="28" w:type="dxa"/>
          <w:left w:w="28" w:type="dxa"/>
          <w:bottom w:w="28" w:type="dxa"/>
          <w:right w:w="28" w:type="dxa"/>
        </w:tblCellMar>
      </w:tblPr>
      <w:tblGrid>
        <w:gridCol w:w="3804"/>
        <w:gridCol w:w="146"/>
        <w:gridCol w:w="211"/>
        <w:gridCol w:w="1066"/>
        <w:gridCol w:w="166"/>
        <w:gridCol w:w="146"/>
        <w:gridCol w:w="211"/>
        <w:gridCol w:w="1066"/>
        <w:gridCol w:w="166"/>
        <w:gridCol w:w="146"/>
        <w:gridCol w:w="211"/>
        <w:gridCol w:w="1066"/>
        <w:gridCol w:w="166"/>
        <w:gridCol w:w="146"/>
        <w:gridCol w:w="211"/>
        <w:gridCol w:w="1066"/>
        <w:gridCol w:w="211"/>
      </w:tblGrid>
      <w:tr>
        <w:trPr/>
        <w:tc>
          <w:tcPr>
            <w:tcW w:w="3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04"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66"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Three Months Ended</w:t>
              <w:br/>
              <w:t>June 30,</w:t>
            </w:r>
          </w:p>
        </w:tc>
        <w:tc>
          <w:tcPr>
            <w:tcW w:w="16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866"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Six Months Ended</w:t>
              <w:br/>
              <w:t>June 30,</w:t>
            </w:r>
          </w:p>
        </w:tc>
        <w:tc>
          <w:tcPr>
            <w:tcW w:w="21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(71,433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common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80,050,518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83,747,335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79,183,301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84,449,318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 basic and diluted</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(0.41</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(0.44</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(0.99</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(0.85</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20" w:after="283"/>
        <w:jc w:val="left"/>
        <w:rPr>
          <w:rFonts w:ascii="Arial" w:hAnsi="Arial"/>
          <w:color w:val="000000"/>
          <w:sz w:val="20"/>
        </w:rPr>
      </w:pPr>
      <w:r>
        <w:rPr>
          <w:rFonts w:ascii="Arial" w:hAnsi="Arial"/>
          <w:color w:val="000000"/>
          <w:sz w:val="20"/>
        </w:rPr>
        <w:t>The following shares were excluded from the computation of the net loss per share for the three and six months ended June 30, 2026 and 2025, respectively, due to the net loss during the respective period as their effect is antidilutive.</w:t>
      </w:r>
    </w:p>
    <w:p>
      <w:pPr>
        <w:pStyle w:val="TextBody"/>
        <w:bidi w:val="0"/>
        <w:jc w:val="left"/>
        <w:rPr/>
      </w:pPr>
      <w:r>
        <w:rPr/>
        <w:t> </w:t>
      </w:r>
    </w:p>
    <w:tbl>
      <w:tblPr>
        <w:tblW w:w="9767" w:type="dxa"/>
        <w:jc w:val="left"/>
        <w:tblInd w:w="0" w:type="dxa"/>
        <w:tblLayout w:type="fixed"/>
        <w:tblCellMar>
          <w:top w:w="28" w:type="dxa"/>
          <w:left w:w="28" w:type="dxa"/>
          <w:bottom w:w="28" w:type="dxa"/>
          <w:right w:w="28" w:type="dxa"/>
        </w:tblCellMar>
      </w:tblPr>
      <w:tblGrid>
        <w:gridCol w:w="3706"/>
        <w:gridCol w:w="146"/>
        <w:gridCol w:w="146"/>
        <w:gridCol w:w="1066"/>
        <w:gridCol w:w="146"/>
        <w:gridCol w:w="146"/>
        <w:gridCol w:w="146"/>
        <w:gridCol w:w="1066"/>
        <w:gridCol w:w="146"/>
        <w:gridCol w:w="146"/>
        <w:gridCol w:w="146"/>
        <w:gridCol w:w="1066"/>
        <w:gridCol w:w="146"/>
        <w:gridCol w:w="146"/>
        <w:gridCol w:w="146"/>
        <w:gridCol w:w="1066"/>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16"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Three Months Ended</w:t>
              <w:br/>
              <w:t>June 30,</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716"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Six Months Ended</w:t>
              <w:br/>
              <w:t>June 30,</w:t>
            </w:r>
          </w:p>
        </w:tc>
        <w:tc>
          <w:tcPr>
            <w:tcW w:w="19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21,851,966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22,889,797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21,851,966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22,889,797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1,552,537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2,247,064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1,552,537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2,247,064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Performance-based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3,989,820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2,465,985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3,989,820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2,465,985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12,383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21,588</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12,383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21,588</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9. Leases</w:t>
      </w:r>
    </w:p>
    <w:p>
      <w:pPr>
        <w:pStyle w:val="TextBody"/>
        <w:bidi w:val="0"/>
        <w:spacing w:before="120" w:after="283"/>
        <w:jc w:val="left"/>
        <w:rPr>
          <w:rFonts w:ascii="Arial" w:hAnsi="Arial"/>
          <w:color w:val="000000"/>
          <w:sz w:val="20"/>
        </w:rPr>
      </w:pPr>
      <w:r>
        <w:rPr>
          <w:rFonts w:ascii="Arial" w:hAnsi="Arial"/>
          <w:color w:val="000000"/>
          <w:sz w:val="20"/>
        </w:rPr>
        <w:t xml:space="preserve">The Company has a non-cancelable operating lease agreement for its office space in Boston, Massachusetts at 225 Franklin Street ("225 Lease"). The 225 Lease commencement date was January 1, 2022 and the 225 Lease runs through December 31, 2026. The 225 Lease does not contain any options for renewal or extension. </w:t>
      </w:r>
    </w:p>
    <w:p>
      <w:pPr>
        <w:pStyle w:val="TextBody"/>
        <w:bidi w:val="0"/>
        <w:spacing w:before="120" w:after="120"/>
        <w:jc w:val="left"/>
        <w:rPr>
          <w:rFonts w:ascii="Arial" w:hAnsi="Arial"/>
          <w:color w:val="000000"/>
          <w:sz w:val="20"/>
        </w:rPr>
      </w:pPr>
      <w:r>
        <w:rPr>
          <w:rFonts w:ascii="Arial" w:hAnsi="Arial"/>
          <w:color w:val="000000"/>
          <w:sz w:val="20"/>
        </w:rPr>
        <w:t>Future minimum payments under the 225 Lease, the Company’s only operating lease as of June 30, 2026 were $427.</w:t>
      </w:r>
    </w:p>
    <w:p>
      <w:pPr>
        <w:pStyle w:val="TextBody"/>
        <w:bidi w:val="0"/>
        <w:jc w:val="left"/>
        <w:rPr>
          <w:rFonts w:ascii="Arial" w:hAnsi="Arial"/>
          <w:color w:val="000000"/>
          <w:sz w:val="20"/>
        </w:rPr>
      </w:pPr>
      <w:r>
        <w:rPr>
          <w:rFonts w:ascii="Arial" w:hAnsi="Arial"/>
          <w:color w:val="000000"/>
          <w:sz w:val="20"/>
        </w:rPr>
        <w:t xml:space="preserve">For each of the three months ended June 30, 2026 and 2025, the Company recorded operating lease costs of $162 relating to its operating lease agreements. For each of the six months ended June 30, 2026 and 2025, the Company recorded operating lease costs of $323 relating to its operating lease agreements. </w:t>
      </w:r>
    </w:p>
    <w:p>
      <w:pPr>
        <w:pStyle w:val="TextBody"/>
        <w:bidi w:val="0"/>
        <w:spacing w:before="120" w:after="120"/>
        <w:jc w:val="left"/>
        <w:rPr>
          <w:rFonts w:ascii="Arial" w:hAnsi="Arial"/>
          <w:sz w:val="20"/>
        </w:rPr>
      </w:pPr>
      <w:r>
        <w:rPr>
          <w:rFonts w:ascii="Arial" w:hAnsi="Arial"/>
          <w:b/>
          <w:color w:val="000000"/>
          <w:sz w:val="20"/>
        </w:rPr>
        <w:t>10. Income Taxes</w:t>
      </w:r>
      <w:r>
        <w:rPr>
          <w:rFonts w:ascii="Arial" w:hAnsi="Arial"/>
          <w:color w:val="000000"/>
          <w:sz w:val="20"/>
        </w:rPr>
        <w:t xml:space="preserve"> </w:t>
      </w:r>
    </w:p>
    <w:p>
      <w:pPr>
        <w:pStyle w:val="TextBody"/>
        <w:bidi w:val="0"/>
        <w:jc w:val="left"/>
        <w:rPr>
          <w:rFonts w:ascii="Arial" w:hAnsi="Arial"/>
          <w:color w:val="000000"/>
          <w:sz w:val="20"/>
        </w:rPr>
      </w:pPr>
      <w:r>
        <w:rPr>
          <w:rFonts w:ascii="Arial" w:hAnsi="Arial"/>
          <w:color w:val="000000"/>
          <w:sz w:val="20"/>
        </w:rPr>
        <w:t xml:space="preserve">The Company recorded income tax expense of $24 and $207 for the three months ended June 30, 2026 and 2025, respectively. The Company recorded income tax expense of $74 and $410 for the six months ended June 30, 2026 and 2025, respectively.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Company maintained a full valuation allowance through June 30, 2026 due to uncertainty regarding its ability to utilize deferred tax assets.</w:t>
      </w:r>
    </w:p>
    <w:p>
      <w:pPr>
        <w:pStyle w:val="TextBody"/>
        <w:bidi w:val="0"/>
        <w:spacing w:before="240" w:after="283"/>
        <w:jc w:val="left"/>
        <w:rPr>
          <w:rFonts w:ascii="Arial" w:hAnsi="Arial"/>
          <w:b/>
          <w:color w:val="000000"/>
          <w:sz w:val="20"/>
        </w:rPr>
      </w:pPr>
      <w:r>
        <w:rPr>
          <w:rFonts w:ascii="Arial" w:hAnsi="Arial"/>
          <w:b/>
          <w:color w:val="000000"/>
          <w:sz w:val="20"/>
        </w:rPr>
        <w:t>11. Commitments and Contingencies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License Agreement</w:t>
      </w:r>
    </w:p>
    <w:p>
      <w:pPr>
        <w:pStyle w:val="TextBody"/>
        <w:bidi w:val="0"/>
        <w:spacing w:before="120" w:after="283"/>
        <w:jc w:val="left"/>
        <w:rPr>
          <w:rFonts w:ascii="Arial" w:hAnsi="Arial"/>
          <w:color w:val="000000"/>
          <w:sz w:val="20"/>
        </w:rPr>
      </w:pPr>
      <w:r>
        <w:rPr>
          <w:rFonts w:ascii="Arial" w:hAnsi="Arial"/>
          <w:color w:val="000000"/>
          <w:sz w:val="20"/>
        </w:rPr>
        <w:t xml:space="preserve">In December 2021, the Company entered into a license agreement (“Merck License Agreement”) with MSD International GmbH, an affiliate of Merck &amp; Co, Inc. (“Merck”) for the development, manufacture and commercialization of ruzasvir. Ruzasvir is the NS5A inhibitor the Company is developing in combination with bemnifosbuvir for the treatment of HCV. </w:t>
      </w:r>
    </w:p>
    <w:p>
      <w:pPr>
        <w:pStyle w:val="TextBody"/>
        <w:bidi w:val="0"/>
        <w:spacing w:before="120" w:after="283"/>
        <w:jc w:val="left"/>
        <w:rPr>
          <w:rFonts w:ascii="Arial" w:hAnsi="Arial"/>
          <w:color w:val="000000"/>
          <w:sz w:val="20"/>
        </w:rPr>
      </w:pPr>
      <w:r>
        <w:rPr>
          <w:rFonts w:ascii="Arial" w:hAnsi="Arial"/>
          <w:color w:val="000000"/>
          <w:sz w:val="20"/>
        </w:rPr>
        <w:t>Pursuant to the terms of the Merck License Agreement, the Company obtained from Merck a worldwide exclusive (subject to certain reserved rights to conduct internal research) and sublicensable license under certain Merck patents and know-how to research, develop, manufacture, have manufactured, use, import, export, sell, offer for sale, and otherwise commercialize ruzasvir or products containing ruzasvir (each a “Product”) for all therapeutic or prophylactic uses in humans.</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In addition to a non-refundable upfront payment that the Company made in February 2022, the Company agreed to pay Merck milestone payments upon its achievement of certain development, regulatory and sales-based milestones. Additionally, the Company will pay Merck tiered royalties based on annual net sales of Products ranging from high single digits to mid-teens percentages. The Company’s royalty payment obligations will continue until the later of (i) the expiration of the last to expire valid claim of a licensed Merck patent claiming such Product and (ii) a period of years after the first commercial sale of such Product in such country. The Company may terminate the Merck License Agreement for convenience upon prior written notice. The first milestone in the amount of $5,000 became due and payable and the related expense was recognized in April 2025 upon the initiation of the HCV Phase 3 clinical trial referred to as C-Beyond. The next potential milestone under the Merck License Agreement, in the amount of $10,000, is payable upon the acceptance by the FDA of a NDA covering a product candidate including ruzasvir which the Company expects will be the regimen of bemnifosbuvir and ruzasvir for the treatment of HCV.</w:t>
      </w:r>
    </w:p>
    <w:p>
      <w:pPr>
        <w:pStyle w:val="TextBody"/>
        <w:bidi w:val="0"/>
        <w:spacing w:before="120" w:after="120"/>
        <w:jc w:val="left"/>
        <w:rPr>
          <w:rFonts w:ascii="Arial" w:hAnsi="Arial"/>
          <w:b/>
          <w:i/>
          <w:color w:val="000000"/>
          <w:sz w:val="20"/>
        </w:rPr>
      </w:pPr>
      <w:r>
        <w:rPr>
          <w:rFonts w:ascii="Arial" w:hAnsi="Arial"/>
          <w:b/>
          <w:i/>
          <w:color w:val="000000"/>
          <w:sz w:val="20"/>
        </w:rPr>
        <w:t>Contingent Consulting Fee</w:t>
      </w:r>
    </w:p>
    <w:p>
      <w:pPr>
        <w:pStyle w:val="TextBody"/>
        <w:bidi w:val="0"/>
        <w:spacing w:before="0" w:after="120"/>
        <w:jc w:val="left"/>
        <w:rPr>
          <w:rFonts w:ascii="Arial" w:hAnsi="Arial"/>
          <w:color w:val="000000"/>
          <w:sz w:val="20"/>
        </w:rPr>
      </w:pPr>
      <w:r>
        <w:rPr>
          <w:rFonts w:ascii="Arial" w:hAnsi="Arial"/>
          <w:color w:val="000000"/>
          <w:sz w:val="20"/>
        </w:rPr>
        <w:t xml:space="preserve">The Company has an agreement with a consultant that requires payment of a success fee calculated as a percentage of certain product sales, subject to a cumulative maximum payout of $5,000. This success payment is contingent upon the occurrence of future events and the timing and likelihood of such payment is neither probable nor estimable. </w:t>
      </w:r>
    </w:p>
    <w:p>
      <w:pPr>
        <w:pStyle w:val="TextBody"/>
        <w:bidi w:val="0"/>
        <w:jc w:val="left"/>
        <w:rPr>
          <w:rFonts w:ascii="Arial" w:hAnsi="Arial"/>
          <w:b/>
          <w:i/>
          <w:color w:val="000000"/>
          <w:sz w:val="20"/>
        </w:rPr>
      </w:pPr>
      <w:r>
        <w:rPr>
          <w:rFonts w:ascii="Arial" w:hAnsi="Arial"/>
          <w:b/>
          <w:i/>
          <w:color w:val="000000"/>
          <w:sz w:val="20"/>
        </w:rPr>
        <w:t>Indemnification</w:t>
      </w:r>
    </w:p>
    <w:p>
      <w:pPr>
        <w:pStyle w:val="TextBody"/>
        <w:bidi w:val="0"/>
        <w:spacing w:before="120" w:after="283"/>
        <w:jc w:val="left"/>
        <w:rPr>
          <w:rFonts w:ascii="Arial" w:hAnsi="Arial"/>
          <w:color w:val="000000"/>
          <w:sz w:val="20"/>
        </w:rPr>
      </w:pPr>
      <w:r>
        <w:rPr>
          <w:rFonts w:ascii="Arial" w:hAnsi="Arial"/>
          <w:color w:val="000000"/>
          <w:sz w:val="20"/>
        </w:rPr>
        <w:t>The Company enters into certain types of contracts that contingently require the Company to indemnify various parties against claims from third parties. These contracts primarily relate to (i) the Company’s bylaws, under which the Company must indemnify directors and executive officers, and may indemnify other officers and employees, for liabilities arising out of their relationship with the Company, (ii) contracts under which the Company must indemnify directors and certain officers and consultants for liabilities arising out of their relationship with the Company, and (iii) procurement, service or license agreements under which the Company may be required to indemnify vendors, service providers or licensees for certain claims, including claims that may be brought against them arising from the Company’s acts or omissions with respect to the Company’s products, technology, intellectual property or services.</w:t>
      </w:r>
    </w:p>
    <w:p>
      <w:pPr>
        <w:pStyle w:val="TextBody"/>
        <w:bidi w:val="0"/>
        <w:spacing w:before="120" w:after="283"/>
        <w:jc w:val="left"/>
        <w:rPr>
          <w:rFonts w:ascii="Arial" w:hAnsi="Arial"/>
          <w:color w:val="000000"/>
          <w:sz w:val="20"/>
        </w:rPr>
      </w:pPr>
      <w:r>
        <w:rPr>
          <w:rFonts w:ascii="Arial" w:hAnsi="Arial"/>
          <w:color w:val="000000"/>
          <w:sz w:val="20"/>
        </w:rPr>
        <w:t>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the Company’s future business, operating results or financial condition. It is not possible to determine the maximum potential amount payable under these contracts since the Company has no history of prior indemnification claims and the unique facts and circumstances involved in each particular claim will be determinative.</w:t>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12. Benefit Plan</w:t>
      </w:r>
    </w:p>
    <w:p>
      <w:pPr>
        <w:pStyle w:val="TextBody"/>
        <w:bidi w:val="0"/>
        <w:spacing w:before="120" w:after="283"/>
        <w:jc w:val="left"/>
        <w:rPr>
          <w:rFonts w:ascii="Arial" w:hAnsi="Arial"/>
          <w:color w:val="000000"/>
          <w:sz w:val="20"/>
        </w:rPr>
      </w:pPr>
      <w:r>
        <w:rPr>
          <w:rFonts w:ascii="Arial" w:hAnsi="Arial"/>
          <w:color w:val="000000"/>
          <w:sz w:val="20"/>
        </w:rPr>
        <w:t xml:space="preserve">The Company’s defined contribution plan under Section 401(k) of the Internal Revenue Code (“401(k) Plan”) covers substantially all employees who meet minimum age and service requirements. Under the terms of the 401(k) Plan, the Company records matching contributions up to 4% of the participant’s eligible compensation. During the three months ended June 30, 2026 and 2025, the Company recognized expense of $228 and $138, respectively, relating to matching contributions to the 401(k) Plan. During the six months ended June 30, 2026 and 2025, the Company recognized expense of $556 and $455, respectively, relating to matching contributions to the 401(k) Plan. </w:t>
      </w:r>
    </w:p>
    <w:p>
      <w:pPr>
        <w:pStyle w:val="TextBody"/>
        <w:bidi w:val="0"/>
        <w:spacing w:before="240" w:after="283"/>
        <w:jc w:val="left"/>
        <w:rPr>
          <w:rFonts w:ascii="Arial" w:hAnsi="Arial"/>
          <w:b/>
          <w:color w:val="000000"/>
          <w:sz w:val="20"/>
        </w:rPr>
      </w:pPr>
      <w:r>
        <w:rPr>
          <w:rFonts w:ascii="Arial" w:hAnsi="Arial"/>
          <w:b/>
          <w:color w:val="000000"/>
          <w:sz w:val="20"/>
        </w:rPr>
        <w:t>13. Related Party Transactions</w:t>
      </w:r>
    </w:p>
    <w:p>
      <w:pPr>
        <w:pStyle w:val="TextBody"/>
        <w:bidi w:val="0"/>
        <w:spacing w:before="120" w:after="283"/>
        <w:jc w:val="left"/>
        <w:rPr>
          <w:rFonts w:ascii="Arial" w:hAnsi="Arial"/>
          <w:color w:val="000000"/>
          <w:sz w:val="20"/>
        </w:rPr>
      </w:pPr>
      <w:r>
        <w:rPr>
          <w:rFonts w:ascii="Arial" w:hAnsi="Arial"/>
          <w:color w:val="000000"/>
          <w:sz w:val="20"/>
        </w:rPr>
        <w:t>During the year ended December 31, 2021, the Company entered into a consulting agreement with an entity controlled by one of its directors. The agreement provides for an annual retainer of $110. The Company recognized expense in the amount of $27 for each of the three months ended June 30, 2026 and 2025. The Company recognized expense in the amount of $54 for each of the six months ended June 30, 2026 and 2025.</w:t>
      </w:r>
    </w:p>
    <w:p>
      <w:pPr>
        <w:pStyle w:val="TextBody"/>
        <w:bidi w:val="0"/>
        <w:spacing w:before="120" w:after="283"/>
        <w:jc w:val="left"/>
        <w:rPr>
          <w:rFonts w:ascii="Arial" w:hAnsi="Arial"/>
          <w:color w:val="000000"/>
          <w:sz w:val="20"/>
        </w:rPr>
      </w:pPr>
      <w:r>
        <w:rPr>
          <w:rFonts w:ascii="Arial" w:hAnsi="Arial"/>
          <w:color w:val="000000"/>
          <w:sz w:val="20"/>
        </w:rPr>
        <w:t>In May 2022, the Company entered into a consulting agreement with one of its directors. No expense related to this agreement was recognized during the three or six months ended June 30, 2026 and 2025.</w:t>
      </w:r>
    </w:p>
    <w:p>
      <w:pPr>
        <w:pStyle w:val="TextBody"/>
        <w:bidi w:val="0"/>
        <w:spacing w:before="120" w:after="283"/>
        <w:jc w:val="left"/>
        <w:rPr>
          <w:rFonts w:ascii="Arial" w:hAnsi="Arial"/>
          <w:color w:val="000000"/>
          <w:sz w:val="20"/>
        </w:rPr>
      </w:pPr>
      <w:r>
        <w:rPr>
          <w:rFonts w:ascii="Arial" w:hAnsi="Arial"/>
          <w:color w:val="000000"/>
          <w:sz w:val="20"/>
        </w:rPr>
        <w:t>In June 2026, the Company entered into a consulting agreement with another one of its directors. The Company recognized expense of $8 during the three and six months ended June 30, 2026.</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14. Segment Information</w:t>
      </w:r>
    </w:p>
    <w:p>
      <w:pPr>
        <w:pStyle w:val="TextBody"/>
        <w:bidi w:val="0"/>
        <w:spacing w:before="120" w:after="283"/>
        <w:jc w:val="left"/>
        <w:rPr>
          <w:rFonts w:ascii="Arial" w:hAnsi="Arial"/>
          <w:color w:val="000000"/>
          <w:sz w:val="20"/>
        </w:rPr>
      </w:pPr>
      <w:r>
        <w:rPr>
          <w:rFonts w:ascii="Arial" w:hAnsi="Arial"/>
          <w:color w:val="000000"/>
          <w:sz w:val="20"/>
        </w:rPr>
        <w:t>The Company operates as one operating segment, focused on discovering, developing and commercializing antiviral therapeutics. The determination of a single business segment is consistent with the consolidated financial information regularly provided to the Company’s Chief Executive Officer (“CEO”) who is also the Chief Operating Decision Maker (“CODM”). As CODM, the CEO, uses consolidated, single-segment financial information for purposes of evaluating performance, making operating decisions, allocating resources, and planning and forecasting for future periods.</w:t>
      </w:r>
    </w:p>
    <w:p>
      <w:pPr>
        <w:pStyle w:val="TextBody"/>
        <w:bidi w:val="0"/>
        <w:spacing w:before="120" w:after="283"/>
        <w:jc w:val="left"/>
        <w:rPr>
          <w:rFonts w:ascii="Arial" w:hAnsi="Arial"/>
          <w:color w:val="000000"/>
          <w:sz w:val="20"/>
        </w:rPr>
      </w:pPr>
      <w:r>
        <w:rPr>
          <w:rFonts w:ascii="Arial" w:hAnsi="Arial"/>
          <w:color w:val="000000"/>
          <w:sz w:val="20"/>
        </w:rPr>
        <w:t>The CODM assesses performance and decides how to allocate resources based on consolidated net loss. This measure is used to monitor budget versus actual results to evaluate the performance of the segment.</w:t>
      </w:r>
    </w:p>
    <w:p>
      <w:pPr>
        <w:pStyle w:val="TextBody"/>
        <w:bidi w:val="0"/>
        <w:spacing w:before="120" w:after="283"/>
        <w:jc w:val="left"/>
        <w:rPr>
          <w:rFonts w:ascii="Arial" w:hAnsi="Arial"/>
          <w:color w:val="000000"/>
          <w:sz w:val="20"/>
        </w:rPr>
      </w:pPr>
      <w:r>
        <w:rPr>
          <w:rFonts w:ascii="Arial" w:hAnsi="Arial"/>
          <w:color w:val="000000"/>
          <w:sz w:val="20"/>
        </w:rPr>
        <w:t>The CODM reviews cash, cash equivalents and marketable securities as a measure of segment assets. As of June 30, 2026 and December 31, 2025, the Company’s cash, cash equivalents and marketable securities were $219,465 and $301,830, respectively.</w:t>
      </w:r>
    </w:p>
    <w:p>
      <w:pPr>
        <w:pStyle w:val="TextBody"/>
        <w:bidi w:val="0"/>
        <w:spacing w:before="120" w:after="283"/>
        <w:jc w:val="left"/>
        <w:rPr>
          <w:rFonts w:ascii="Arial" w:hAnsi="Arial"/>
          <w:color w:val="000000"/>
          <w:sz w:val="20"/>
        </w:rPr>
      </w:pPr>
      <w:r>
        <w:rPr>
          <w:rFonts w:ascii="Arial" w:hAnsi="Arial"/>
          <w:color w:val="000000"/>
          <w:sz w:val="20"/>
        </w:rPr>
        <w:t>The following table illustrates information about significant segment expenses and segment operating loss for the three and six months ended June 30, 2026 and 2025:</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4156"/>
        <w:gridCol w:w="146"/>
        <w:gridCol w:w="211"/>
        <w:gridCol w:w="751"/>
        <w:gridCol w:w="166"/>
        <w:gridCol w:w="146"/>
        <w:gridCol w:w="211"/>
        <w:gridCol w:w="751"/>
        <w:gridCol w:w="166"/>
        <w:gridCol w:w="146"/>
        <w:gridCol w:w="211"/>
        <w:gridCol w:w="751"/>
        <w:gridCol w:w="166"/>
        <w:gridCol w:w="146"/>
        <w:gridCol w:w="211"/>
        <w:gridCol w:w="751"/>
        <w:gridCol w:w="47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15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36"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Three Months Ended</w:t>
              <w:br/>
              <w:t>June 30,</w:t>
            </w:r>
          </w:p>
        </w:tc>
        <w:tc>
          <w:tcPr>
            <w:tcW w:w="16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236"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Six Months Ended</w:t>
              <w:br/>
              <w:t>June 30,</w:t>
            </w:r>
          </w:p>
        </w:tc>
        <w:tc>
          <w:tcPr>
            <w:tcW w:w="47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4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Arial" w:hAnsi="Arial"/>
                <w:color w:val="000000"/>
                <w:sz w:val="20"/>
              </w:rPr>
              <w:t xml:space="preserve">Research and development expense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Arial" w:hAnsi="Arial"/>
                <w:color w:val="000000"/>
                <w:sz w:val="20"/>
              </w:rPr>
              <w:t>HCV external costs </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41,869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Arial" w:hAnsi="Arial"/>
                <w:color w:val="000000"/>
                <w:sz w:val="20"/>
              </w:rPr>
              <w:t>HEV external costs </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Arial" w:hAnsi="Arial"/>
                <w:color w:val="000000"/>
                <w:sz w:val="20"/>
              </w:rPr>
              <w:t xml:space="preserve">COVID-19 external costs </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1,156</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sz w:val="20"/>
              </w:rPr>
            </w:pPr>
            <w:r>
              <w:rPr>
                <w:rFonts w:ascii="Arial" w:hAnsi="Arial"/>
                <w:color w:val="000000"/>
                <w:sz w:val="20"/>
              </w:rPr>
              <w:t>Early stage discovery external costs </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Compensation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10,456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Consulting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65,599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56,000</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Arial" w:hAnsi="Arial"/>
                <w:color w:val="000000"/>
                <w:sz w:val="20"/>
              </w:rPr>
              <w:t xml:space="preserve">General and administrative </w:t>
            </w:r>
            <w:r>
              <w:rPr>
                <w:rFonts w:ascii="Arial" w:hAnsi="Arial"/>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Compensation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Consulting and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754</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12,768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11,618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Arial" w:hAnsi="Arial"/>
                <w:color w:val="000000"/>
                <w:sz w:val="20"/>
              </w:rPr>
              <w:t xml:space="preserve">Other segment items </w:t>
            </w:r>
            <w:r>
              <w:rPr>
                <w:rFonts w:ascii="Arial" w:hAnsi="Arial"/>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(8,953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(32,933</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(37,161</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(78,373</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(71,433</w:t>
            </w:r>
          </w:p>
        </w:tc>
        <w:tc>
          <w:tcPr>
            <w:tcW w:w="4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120" w:after="283"/>
        <w:jc w:val="left"/>
        <w:rPr>
          <w:rFonts w:ascii="Arial" w:hAnsi="Arial"/>
          <w:sz w:val="20"/>
        </w:rPr>
      </w:pPr>
      <w:r>
        <w:rPr>
          <w:rFonts w:ascii="Arial" w:hAnsi="Arial"/>
          <w:color w:val="000000"/>
          <w:sz w:val="13"/>
        </w:rPr>
        <w:t>(1)</w:t>
      </w:r>
      <w:r>
        <w:rPr>
          <w:rFonts w:ascii="Arial" w:hAnsi="Arial"/>
          <w:color w:val="000000"/>
          <w:sz w:val="20"/>
        </w:rPr>
        <w:t xml:space="preserve">Research and development expense for the three months ended June 30, 2026 and 2025 excludes stock-based compensation of $1,761 and $2,419, respectively. Research and development expense for the six months ended June 30, 2026 and 2025 excludes stock-based compensation of $3,685 and $5,859, respectively. </w:t>
      </w:r>
    </w:p>
    <w:p>
      <w:pPr>
        <w:pStyle w:val="TextBody"/>
        <w:bidi w:val="0"/>
        <w:spacing w:before="120" w:after="283"/>
        <w:jc w:val="left"/>
        <w:rPr>
          <w:rFonts w:ascii="Arial" w:hAnsi="Arial"/>
          <w:sz w:val="20"/>
        </w:rPr>
      </w:pPr>
      <w:r>
        <w:rPr>
          <w:rFonts w:ascii="Arial" w:hAnsi="Arial"/>
          <w:color w:val="000000"/>
          <w:sz w:val="13"/>
        </w:rPr>
        <w:t>(2)</w:t>
      </w:r>
      <w:r>
        <w:rPr>
          <w:rFonts w:ascii="Arial" w:hAnsi="Arial"/>
          <w:color w:val="000000"/>
          <w:sz w:val="20"/>
        </w:rPr>
        <w:t>External costs consist primarily of costs associated with preclinical, clinical and manufacturing related activities.</w:t>
      </w:r>
    </w:p>
    <w:p>
      <w:pPr>
        <w:pStyle w:val="TextBody"/>
        <w:bidi w:val="0"/>
        <w:spacing w:before="120" w:after="283"/>
        <w:jc w:val="left"/>
        <w:rPr>
          <w:rFonts w:ascii="Arial" w:hAnsi="Arial"/>
          <w:sz w:val="20"/>
        </w:rPr>
      </w:pPr>
      <w:r>
        <w:rPr>
          <w:rFonts w:ascii="Arial" w:hAnsi="Arial"/>
          <w:color w:val="000000"/>
          <w:sz w:val="13"/>
        </w:rPr>
        <w:t>(3)</w:t>
      </w:r>
      <w:r>
        <w:rPr>
          <w:rFonts w:ascii="Arial" w:hAnsi="Arial"/>
          <w:color w:val="000000"/>
          <w:sz w:val="20"/>
        </w:rPr>
        <w:t xml:space="preserve">General and administrative expense for the three months ended June 30, 2026 and 2025 excludes stock-based compensation of $1,620 and $2,248, respectively. General and administrative expense for the six months ended June 30, 2026 and 2025 excludes stock-based compensation of $3,425 and $5,759, respectively. </w:t>
      </w:r>
    </w:p>
    <w:p>
      <w:pPr>
        <w:pStyle w:val="TextBody"/>
        <w:bidi w:val="0"/>
        <w:spacing w:before="120" w:after="283"/>
        <w:jc w:val="left"/>
        <w:rPr>
          <w:rFonts w:ascii="Arial" w:hAnsi="Arial"/>
          <w:sz w:val="20"/>
        </w:rPr>
      </w:pPr>
      <w:r>
        <w:rPr>
          <w:rFonts w:ascii="Arial" w:hAnsi="Arial"/>
          <w:color w:val="000000"/>
          <w:sz w:val="13"/>
        </w:rPr>
        <w:t>(4)</w:t>
      </w:r>
      <w:r>
        <w:rPr>
          <w:rFonts w:ascii="Arial" w:hAnsi="Arial"/>
          <w:color w:val="000000"/>
          <w:sz w:val="20"/>
        </w:rPr>
        <w:t xml:space="preserve">Other segment items include interest income and other, net and income tax expense.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0"/>
        </w:rPr>
      </w:pPr>
      <w:bookmarkStart w:id="13" w:name="item_2_managements_discussion_analysis_f"/>
      <w:bookmarkEnd w:id="13"/>
      <w:r>
        <w:rPr>
          <w:rFonts w:ascii="Arial" w:hAnsi="Arial"/>
          <w:b/>
          <w:color w:val="000000"/>
          <w:sz w:val="20"/>
        </w:rPr>
        <w:t>Item 2. Management’s Discussion and Analysis of</w:t>
      </w:r>
      <w:r>
        <w:rPr>
          <w:rFonts w:ascii="Arial" w:hAnsi="Arial"/>
          <w:color w:val="000000"/>
          <w:sz w:val="20"/>
        </w:rPr>
        <w:t xml:space="preserve"> </w:t>
      </w:r>
      <w:r>
        <w:rPr>
          <w:rFonts w:ascii="Arial" w:hAnsi="Arial"/>
          <w:b/>
          <w:color w:val="000000"/>
          <w:sz w:val="20"/>
        </w:rPr>
        <w:t>Financial Condition and Results of Operations.</w:t>
      </w:r>
    </w:p>
    <w:p>
      <w:pPr>
        <w:pStyle w:val="TextBody"/>
        <w:bidi w:val="0"/>
        <w:spacing w:before="120" w:after="283"/>
        <w:jc w:val="left"/>
        <w:rPr>
          <w:rFonts w:ascii="Arial" w:hAnsi="Arial"/>
          <w:i/>
          <w:color w:val="000000"/>
          <w:sz w:val="20"/>
        </w:rPr>
      </w:pPr>
      <w:r>
        <w:rPr>
          <w:rFonts w:ascii="Arial" w:hAnsi="Arial"/>
          <w:i/>
          <w:color w:val="000000"/>
          <w:sz w:val="20"/>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for the year ended December 31, 2025, filed with the Securities and Exchange Commission (“SEC”) on March 5, 2026.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II, Item 1A, “Risk Factors” and other factors set forth in other parts of this Quarterly Report on Form 10-Q.</w:t>
      </w:r>
    </w:p>
    <w:p>
      <w:pPr>
        <w:pStyle w:val="TextBody"/>
        <w:bidi w:val="0"/>
        <w:spacing w:before="240" w:after="283"/>
        <w:jc w:val="left"/>
        <w:rPr>
          <w:rFonts w:ascii="Arial" w:hAnsi="Arial"/>
          <w:b/>
          <w:color w:val="000000"/>
          <w:sz w:val="20"/>
        </w:rPr>
      </w:pPr>
      <w:r>
        <w:rPr>
          <w:rFonts w:ascii="Arial" w:hAnsi="Arial"/>
          <w:b/>
          <w:color w:val="000000"/>
          <w:sz w:val="20"/>
        </w:rPr>
        <w:t>Overview</w:t>
      </w:r>
    </w:p>
    <w:p>
      <w:pPr>
        <w:pStyle w:val="TextBody"/>
        <w:bidi w:val="0"/>
        <w:spacing w:before="120" w:after="283"/>
        <w:jc w:val="left"/>
        <w:rPr>
          <w:rFonts w:ascii="Arial" w:hAnsi="Arial"/>
          <w:color w:val="000000"/>
          <w:sz w:val="20"/>
        </w:rPr>
      </w:pPr>
      <w:r>
        <w:rPr>
          <w:rFonts w:ascii="Arial" w:hAnsi="Arial"/>
          <w:color w:val="000000"/>
          <w:sz w:val="20"/>
        </w:rPr>
        <w:t xml:space="preserve">We are a late-stage clinical biopharmaceutical company leveraging our deep understanding of antiviral drug development, medicinal chemistry, biochemistry and virology to discover, develop and commercialize novel, orally administered antivirals to treat serious viral diseases. Our current product candidate pipeline includes the regimen of bemnifosbuvir and ruzasvir (“BEM/RZR”) which we believe has the potential to improve the current standard of care (“SOC”) for the treatment of patients with hepatitis C virus (“HCV”) infection and AT-587 which we believe has the potential to be the first direct-acting antiviral (“DAA”) for the treatment of patients, particularly immunocompromised patients, with chronic hepatitis E virus (“HEV”) infection. </w:t>
      </w:r>
    </w:p>
    <w:p>
      <w:pPr>
        <w:pStyle w:val="TextBody"/>
        <w:bidi w:val="0"/>
        <w:spacing w:before="120" w:after="283"/>
        <w:jc w:val="left"/>
        <w:rPr>
          <w:rFonts w:ascii="Arial" w:hAnsi="Arial"/>
          <w:i/>
          <w:color w:val="000000"/>
          <w:sz w:val="20"/>
          <w:u w:val="single"/>
        </w:rPr>
      </w:pPr>
      <w:r>
        <w:rPr>
          <w:rFonts w:ascii="Arial" w:hAnsi="Arial"/>
          <w:i/>
          <w:color w:val="000000"/>
          <w:sz w:val="20"/>
          <w:u w:val="single"/>
        </w:rPr>
        <w:t>HCV - Our Goal and our Program</w:t>
      </w:r>
    </w:p>
    <w:p>
      <w:pPr>
        <w:pStyle w:val="TextBody"/>
        <w:bidi w:val="0"/>
        <w:spacing w:before="120" w:after="283"/>
        <w:jc w:val="left"/>
        <w:rPr>
          <w:rFonts w:ascii="Arial" w:hAnsi="Arial"/>
          <w:color w:val="000000"/>
          <w:sz w:val="20"/>
        </w:rPr>
      </w:pPr>
      <w:r>
        <w:rPr>
          <w:rFonts w:ascii="Arial" w:hAnsi="Arial"/>
          <w:color w:val="000000"/>
          <w:sz w:val="20"/>
        </w:rPr>
        <w:t>The objective of our HCV development program is to improve upon the current SOC by offering the fixed-dose combination (“FDC”) regimen of BEM/RZR as a differentiated pan-genotypic protease inhibitor-free, short-duration regimen with a low risk of drug-drug interactions for patients infected with HCV, if successfully developed and approved. We believe that a novel, shorter duration, easily prescribable treatment will benefit today’s HCV patient population, which is predominately young (20-49 years old) and non-cirrhotic (80-90% of the US population), and would be a significant improvement to the current SOC.</w:t>
      </w:r>
    </w:p>
    <w:p>
      <w:pPr>
        <w:pStyle w:val="TextBody"/>
        <w:bidi w:val="0"/>
        <w:spacing w:before="120" w:after="283"/>
        <w:jc w:val="left"/>
        <w:rPr>
          <w:rFonts w:ascii="Arial" w:hAnsi="Arial"/>
          <w:color w:val="000000"/>
          <w:sz w:val="20"/>
        </w:rPr>
      </w:pPr>
      <w:r>
        <w:rPr>
          <w:rFonts w:ascii="Arial" w:hAnsi="Arial"/>
          <w:color w:val="000000"/>
          <w:sz w:val="20"/>
        </w:rPr>
        <w:t>Chronic HCV infection remains an ongoing public health crisis. If left untreated, HCV can progress to cirrhosis, end-stage liver disease and liver cancer, and it remains one of the leading causes of liver cancer in the US, Europe and Japan. According to the World Health Organization (cited July 28, 2026), approximately 50 million people worldwide are living with HCV, including up to 4 million people in the US, while new diagnoses continue to outpace annual cures. Additionally, many people living with HCV are also managing other chronic conditions, and roughly 80% take multiple concomitant medications for common comorbidities such as heartburn, heart arrhythmia, high blood pressure and gastroesophageal reflux disease (GERD), which may increase the potential for drug-drug interactions with currently approved therapies.</w:t>
      </w:r>
    </w:p>
    <w:p>
      <w:pPr>
        <w:pStyle w:val="TextBody"/>
        <w:bidi w:val="0"/>
        <w:spacing w:before="120" w:after="283"/>
        <w:jc w:val="left"/>
        <w:rPr>
          <w:rFonts w:ascii="Arial" w:hAnsi="Arial"/>
          <w:color w:val="000000"/>
          <w:sz w:val="20"/>
        </w:rPr>
      </w:pPr>
      <w:r>
        <w:rPr>
          <w:rFonts w:ascii="Arial" w:hAnsi="Arial"/>
          <w:color w:val="000000"/>
          <w:sz w:val="20"/>
        </w:rPr>
        <w:t xml:space="preserve">Presently, there are no short-course (i.e., eight week) nucleotide inhibitor-based, pan-genotypic HCV treatment regimens. Clinical and nonclinical results from studies we conducted prior to our Phase 3 program have shown that the BEM/RZR regimen has high antiviral potency and has been well tolerated. These studies have also shown that the BEM/RZR regimen has a low risk for drug-drug interactions with many commonly prescribed medications including proton pump inhibitors and offers the convenience of being able to be taken with or without food. This is a profile that we believe will offer a significant improvement to the current SOC, if approved. </w:t>
      </w:r>
    </w:p>
    <w:p>
      <w:pPr>
        <w:pStyle w:val="TextBody"/>
        <w:bidi w:val="0"/>
        <w:spacing w:before="120" w:after="283"/>
        <w:jc w:val="left"/>
        <w:rPr>
          <w:rFonts w:ascii="Arial" w:hAnsi="Arial"/>
          <w:color w:val="000000"/>
          <w:sz w:val="20"/>
        </w:rPr>
      </w:pPr>
      <w:r>
        <w:rPr>
          <w:rFonts w:ascii="Arial" w:hAnsi="Arial"/>
          <w:color w:val="000000"/>
          <w:sz w:val="20"/>
        </w:rPr>
        <w:t xml:space="preserve">The global HCV Phase 3 program we are conducting consists of two randomized, open label studies: C-BEYOND which has clinical trial sites in the United States (“US”) and Canada, and C-FORWARD which has clinical trial sites in countries outside of North America. In these Phase 3 trials, we are comparing BEM/RZR to an active comparator, the fixed-dose combination regimen of sofosbuvir and velpatasvir (“SOF/VEL” marketed in the US under the brand Epclusa®), in patients with chronic HCV infection. We are conducting the Phase 3 program in geographically diverse regions in order to enroll patients with a broad array of HCV genotypes. </w:t>
      </w:r>
    </w:p>
    <w:p>
      <w:pPr>
        <w:pStyle w:val="TextBody"/>
        <w:bidi w:val="0"/>
        <w:jc w:val="left"/>
        <w:rPr>
          <w:rFonts w:ascii="Arial" w:hAnsi="Arial"/>
          <w:color w:val="000000"/>
          <w:sz w:val="20"/>
        </w:rPr>
      </w:pPr>
      <w:r>
        <w:rPr>
          <w:rFonts w:ascii="Arial" w:hAnsi="Arial"/>
          <w:color w:val="000000"/>
          <w:sz w:val="20"/>
        </w:rPr>
        <w:t xml:space="preserve">In July 2026, we announced positive topline results from C-BEYOND with BEM/RZR demonstrating statistical non-inferiority compared to SOF/VEL in the modified intent-to-treat (mITT) population thereby achieving the trial’s primary endpoint. </w:t>
      </w:r>
    </w:p>
    <w:p>
      <w:pPr>
        <w:pStyle w:val="TextBody"/>
        <w:bidi w:val="0"/>
        <w:spacing w:before="120" w:after="283"/>
        <w:jc w:val="left"/>
        <w:rPr>
          <w:rFonts w:ascii="Arial" w:hAnsi="Arial"/>
          <w:color w:val="000000"/>
          <w:sz w:val="20"/>
        </w:rPr>
      </w:pPr>
      <w:r>
        <w:rPr>
          <w:rFonts w:ascii="Arial" w:hAnsi="Arial"/>
          <w:color w:val="000000"/>
          <w:sz w:val="20"/>
        </w:rPr>
        <w:t xml:space="preserve">In the mITT analysis (n=905, cirrhotic and non-cirrhotic), BEM/RZR achieved a 93.9% sustained virologic response (SVR) rate vs. 94.8% for SOF/VEL at Week 24 from the start of treatment, encompassing SVR at 12 weeks post-treatment (the generally accepted definition of cure for HCV) in both arms. These results achieved the primary endpoint of statistical non-inferiority, with a 95% confidence interval for difference in SVR rates within the prespecified 5% margin. The mITT analysis in patients without cirrhosis (n=721) showed BEM/RZR (8 weeks of </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treatment) achieved a 93.5% SVR rate vs. 94.6% for SOF/VEL (12 weeks of treatment). In patients with cirrhosis (12 weeks treatment in both arms) (n=184), BEM/RZR achieved a 95.4% SVR rate vs. 95.4% for SOF/VEL. In C-BEYOND, rates of virologic failure across all patient populations were low and comparable between treatment arms. Statistical non-inferiority was also met in secondary endpoints, including the per-protocol analysis. </w:t>
      </w:r>
    </w:p>
    <w:p>
      <w:pPr>
        <w:pStyle w:val="TextBody"/>
        <w:bidi w:val="0"/>
        <w:spacing w:before="120" w:after="283"/>
        <w:jc w:val="left"/>
        <w:rPr>
          <w:rFonts w:ascii="Arial" w:hAnsi="Arial"/>
          <w:color w:val="000000"/>
          <w:sz w:val="20"/>
        </w:rPr>
      </w:pPr>
      <w:r>
        <w:rPr>
          <w:rFonts w:ascii="Arial" w:hAnsi="Arial"/>
          <w:color w:val="000000"/>
          <w:sz w:val="20"/>
        </w:rPr>
        <w:t xml:space="preserve">BEM/RZR was administered as an 8-week regimen to patients without cirrhosis compared with the 12-week regimen of SOF/VEL, highlighting the potential of BEM/RZR to deliver robust antiviral efficacy with a shorter treatment duration. In the US, approximately 80-90% of people living with HCV do not have cirrhosis. Together with its potential advantages of a shorter treatment duration for most patients, low risk of drug-drug interactions and no food effect, the results from C-BEYOND further reinforce BEM/RZR’s potential as a differentiated, best-in-class treatment option for people with HCV. </w:t>
      </w:r>
    </w:p>
    <w:p>
      <w:pPr>
        <w:pStyle w:val="TextBody"/>
        <w:bidi w:val="0"/>
        <w:spacing w:before="120" w:after="283"/>
        <w:jc w:val="left"/>
        <w:rPr>
          <w:rFonts w:ascii="Arial" w:hAnsi="Arial"/>
          <w:color w:val="000000"/>
          <w:sz w:val="20"/>
        </w:rPr>
      </w:pPr>
      <w:r>
        <w:rPr>
          <w:rFonts w:ascii="Arial" w:hAnsi="Arial"/>
          <w:color w:val="000000"/>
          <w:sz w:val="20"/>
        </w:rPr>
        <w:t xml:space="preserve">In C-BEYOND, BEM/RZR demonstrated robust SVR rates across HCV genotypes that predominate in North America. C-FORWARD, which is being conducted at approximately 120 sites in 17 countries outside North America, includes a broader range of HCV genotypes and is expected to provide additional efficacy data in genotypes more frequently found outside the US and Canada. In C-BEYOND, BEM/RZR was generally safe and well tolerated with no drug-related serious adverse events or drug related early treatment discontinuations. Safety was comparable between treatment arms. </w:t>
      </w:r>
    </w:p>
    <w:p>
      <w:pPr>
        <w:pStyle w:val="TextBody"/>
        <w:bidi w:val="0"/>
        <w:spacing w:before="120" w:after="283"/>
        <w:jc w:val="left"/>
        <w:rPr>
          <w:rFonts w:ascii="Arial" w:hAnsi="Arial"/>
          <w:color w:val="000000"/>
          <w:sz w:val="20"/>
        </w:rPr>
      </w:pPr>
      <w:r>
        <w:rPr>
          <w:rFonts w:ascii="Arial" w:hAnsi="Arial"/>
          <w:color w:val="000000"/>
          <w:sz w:val="20"/>
        </w:rPr>
        <w:t>In June 2026, we announced that we completed enrollment of more than 880 HCV patients in C-FORWARD. Currently, we anticipate to report the topline results from C-FORWARD early in the first quarter of 2027. Pending successful results from C-FORWARD, we are targeting submission to the U.S. Food and Drug Administration (“FDA”) of a New Drug Application (“NDA”) for marketing approval in the second quarter of 2027.</w:t>
      </w:r>
    </w:p>
    <w:p>
      <w:pPr>
        <w:pStyle w:val="TextBody"/>
        <w:bidi w:val="0"/>
        <w:spacing w:before="120" w:after="283"/>
        <w:jc w:val="left"/>
        <w:rPr>
          <w:rFonts w:ascii="Arial" w:hAnsi="Arial"/>
          <w:color w:val="000000"/>
          <w:sz w:val="20"/>
        </w:rPr>
      </w:pPr>
      <w:r>
        <w:rPr>
          <w:rFonts w:ascii="Arial" w:hAnsi="Arial"/>
          <w:color w:val="000000"/>
          <w:sz w:val="20"/>
        </w:rPr>
        <w:t>In addition to our clinical development activities, we are executing a focused chemistry, manufacturing and controls (“CMC”) strategy to manufacture BEM/RZR FDC tablets to fulfill NDA requirements and prepare us for potential launch.</w:t>
      </w:r>
    </w:p>
    <w:p>
      <w:pPr>
        <w:pStyle w:val="TextBody"/>
        <w:bidi w:val="0"/>
        <w:spacing w:before="120" w:after="283"/>
        <w:jc w:val="left"/>
        <w:rPr>
          <w:rFonts w:ascii="Arial" w:hAnsi="Arial"/>
          <w:sz w:val="20"/>
        </w:rPr>
      </w:pPr>
      <w:r>
        <w:rPr>
          <w:rFonts w:ascii="Arial" w:hAnsi="Arial"/>
          <w:color w:val="000000"/>
          <w:sz w:val="20"/>
        </w:rPr>
        <w:t>Given the large number of patients currently infected with HCV and the incidence of newly reported chronic infections continuing to outpace rates of treatment, we expect that a substantial global market will exist for the foreseeable future. In 2025, global net sales of branded HCV therapeutics known in the US as Epclusa</w:t>
      </w:r>
      <w:r>
        <w:rPr>
          <w:rFonts w:ascii="Arial" w:hAnsi="Arial"/>
          <w:color w:val="000000"/>
          <w:sz w:val="13"/>
        </w:rPr>
        <w:t xml:space="preserve">® </w:t>
      </w:r>
      <w:r>
        <w:rPr>
          <w:rFonts w:ascii="Arial" w:hAnsi="Arial"/>
          <w:color w:val="000000"/>
          <w:sz w:val="20"/>
        </w:rPr>
        <w:t>(including the authorized generic copy of Epclusa</w:t>
      </w:r>
      <w:r>
        <w:rPr>
          <w:rFonts w:ascii="Arial" w:hAnsi="Arial"/>
          <w:color w:val="000000"/>
          <w:sz w:val="13"/>
        </w:rPr>
        <w:t>®</w:t>
      </w:r>
      <w:r>
        <w:rPr>
          <w:rFonts w:ascii="Arial" w:hAnsi="Arial"/>
          <w:color w:val="000000"/>
          <w:sz w:val="20"/>
        </w:rPr>
        <w:t>) and Mavyret</w:t>
      </w:r>
      <w:r>
        <w:rPr>
          <w:rFonts w:ascii="Arial" w:hAnsi="Arial"/>
          <w:color w:val="000000"/>
          <w:sz w:val="13"/>
        </w:rPr>
        <w:t xml:space="preserve">® </w:t>
      </w:r>
      <w:r>
        <w:rPr>
          <w:rFonts w:ascii="Arial" w:hAnsi="Arial"/>
          <w:color w:val="000000"/>
          <w:sz w:val="20"/>
        </w:rPr>
        <w:t xml:space="preserve">exceeded $2.5 billion with the US accounting for approximately 50% of these sales. </w:t>
      </w:r>
    </w:p>
    <w:p>
      <w:pPr>
        <w:pStyle w:val="TextBody"/>
        <w:bidi w:val="0"/>
        <w:spacing w:before="240" w:after="283"/>
        <w:jc w:val="left"/>
        <w:rPr>
          <w:rFonts w:ascii="Arial" w:hAnsi="Arial"/>
          <w:i/>
          <w:color w:val="000000"/>
          <w:sz w:val="20"/>
          <w:u w:val="single"/>
        </w:rPr>
      </w:pPr>
      <w:r>
        <w:rPr>
          <w:rFonts w:ascii="Arial" w:hAnsi="Arial"/>
          <w:i/>
          <w:color w:val="000000"/>
          <w:sz w:val="20"/>
          <w:u w:val="single"/>
        </w:rPr>
        <w:t>HEV – Our Goal and Our Program</w:t>
      </w:r>
    </w:p>
    <w:p>
      <w:pPr>
        <w:pStyle w:val="TextBody"/>
        <w:bidi w:val="0"/>
        <w:spacing w:before="120" w:after="283"/>
        <w:jc w:val="left"/>
        <w:rPr>
          <w:rFonts w:ascii="Arial" w:hAnsi="Arial"/>
          <w:color w:val="000000"/>
          <w:sz w:val="20"/>
        </w:rPr>
      </w:pPr>
      <w:r>
        <w:rPr>
          <w:rFonts w:ascii="Arial" w:hAnsi="Arial"/>
          <w:color w:val="000000"/>
          <w:sz w:val="20"/>
        </w:rPr>
        <w:t xml:space="preserve">We are developing AT-587 for the treatment of chronic HEV infection in immunocompromised patients. In this high-risk patient population, infection with HEV can rapidly progress to cirrhosis and other serious complications. </w:t>
      </w:r>
    </w:p>
    <w:p>
      <w:pPr>
        <w:pStyle w:val="TextBody"/>
        <w:bidi w:val="0"/>
        <w:spacing w:before="120" w:after="283"/>
        <w:jc w:val="left"/>
        <w:rPr>
          <w:rFonts w:ascii="Arial" w:hAnsi="Arial"/>
          <w:color w:val="000000"/>
          <w:sz w:val="20"/>
        </w:rPr>
      </w:pPr>
      <w:r>
        <w:rPr>
          <w:rFonts w:ascii="Arial" w:hAnsi="Arial"/>
          <w:color w:val="000000"/>
          <w:sz w:val="20"/>
        </w:rPr>
        <w:t xml:space="preserve">There are no DAAs currently available for the treatment of HEV. The most frequent interventions include reduction of immunosuppressive agents which, in solid organ transplant recipients, increases risk of transplant rejection, or off-label treatment with ribavirin which is indicated for treatment of other viruses but hindered by serious adverse events and limited HEV efficacy. The severity of disease in high-risk patients combined with the lack of approved HEV therapies is a substantial unmet medical need which we believe can be addressed if AT-587 is successfully developed. </w:t>
      </w:r>
    </w:p>
    <w:p>
      <w:pPr>
        <w:pStyle w:val="TextBody"/>
        <w:bidi w:val="0"/>
        <w:spacing w:before="120" w:after="283"/>
        <w:jc w:val="left"/>
        <w:rPr>
          <w:rFonts w:ascii="Arial" w:hAnsi="Arial"/>
          <w:sz w:val="20"/>
        </w:rPr>
      </w:pPr>
      <w:r>
        <w:rPr>
          <w:rFonts w:ascii="Arial" w:hAnsi="Arial"/>
          <w:color w:val="000000"/>
          <w:sz w:val="20"/>
        </w:rPr>
        <w:t xml:space="preserve">AT-587 has demonstrated potent nanomolar antiviral activity against HEV </w:t>
      </w:r>
      <w:r>
        <w:rPr>
          <w:rFonts w:ascii="Arial" w:hAnsi="Arial"/>
          <w:i/>
          <w:color w:val="000000"/>
          <w:sz w:val="20"/>
        </w:rPr>
        <w:t>in vitro</w:t>
      </w:r>
      <w:r>
        <w:rPr>
          <w:rFonts w:ascii="Arial" w:hAnsi="Arial"/>
          <w:color w:val="000000"/>
          <w:sz w:val="20"/>
        </w:rPr>
        <w:t xml:space="preserve">. In single-dose </w:t>
      </w:r>
      <w:r>
        <w:rPr>
          <w:rFonts w:ascii="Arial" w:hAnsi="Arial"/>
          <w:i/>
          <w:color w:val="000000"/>
          <w:sz w:val="20"/>
        </w:rPr>
        <w:t>in vivo</w:t>
      </w:r>
      <w:r>
        <w:rPr>
          <w:rFonts w:ascii="Arial" w:hAnsi="Arial"/>
          <w:color w:val="000000"/>
          <w:sz w:val="20"/>
        </w:rPr>
        <w:t xml:space="preserve"> nonclinical pharmacokinetic studies, high plasma concentrations of the surrogate to the active intracellular triphosphate metabolite were observed in all animal species tested. Results from </w:t>
      </w:r>
      <w:r>
        <w:rPr>
          <w:rFonts w:ascii="Arial" w:hAnsi="Arial"/>
          <w:i/>
          <w:color w:val="000000"/>
          <w:sz w:val="20"/>
        </w:rPr>
        <w:t>in vitro</w:t>
      </w:r>
      <w:r>
        <w:rPr>
          <w:rFonts w:ascii="Arial" w:hAnsi="Arial"/>
          <w:color w:val="000000"/>
          <w:sz w:val="20"/>
        </w:rPr>
        <w:t xml:space="preserve"> toxicology, pharmacology and drug metabolism and pharmacokinetic studies indicate the potential for a favorable clinical profile for AT-587. In July 2026, we initiated clinical development of AT-587 in a Phase 1 clinical trial which is designed to evaluate the safety, tolerability and pharmacokinetics of AT-587 in healthy volunteers.</w:t>
      </w:r>
    </w:p>
    <w:p>
      <w:pPr>
        <w:pStyle w:val="TextBody"/>
        <w:bidi w:val="0"/>
        <w:spacing w:before="120" w:after="283"/>
        <w:jc w:val="left"/>
        <w:rPr>
          <w:rFonts w:ascii="Arial" w:hAnsi="Arial"/>
          <w:color w:val="000000"/>
          <w:sz w:val="20"/>
        </w:rPr>
      </w:pPr>
      <w:r>
        <w:rPr>
          <w:rFonts w:ascii="Arial" w:hAnsi="Arial"/>
          <w:color w:val="000000"/>
          <w:sz w:val="20"/>
        </w:rPr>
        <w:t>Developing a treatment for HEV, particularly a product candidate derived from our proprietary platform, is a potentially important and advantageous strategic expansion of our antiviral pipeline. If both product candidates are successfully developed and approved, we will have a hepatology portfolio that we anticipate will improve upon the current SOC for HCV and introduce the first DAA for HEV.</w:t>
      </w:r>
    </w:p>
    <w:p>
      <w:pPr>
        <w:pStyle w:val="TextBody"/>
        <w:bidi w:val="0"/>
        <w:spacing w:before="240" w:after="283"/>
        <w:jc w:val="left"/>
        <w:rPr>
          <w:rFonts w:ascii="Arial" w:hAnsi="Arial"/>
          <w:sz w:val="20"/>
        </w:rPr>
      </w:pPr>
      <w:r>
        <w:rPr>
          <w:rFonts w:ascii="Arial" w:hAnsi="Arial"/>
          <w:b/>
          <w:color w:val="000000"/>
          <w:sz w:val="20"/>
        </w:rPr>
        <w:t>Discovery efforts for other RNA virus infections</w:t>
      </w:r>
      <w:r>
        <w:rPr>
          <w:rFonts w:ascii="Arial" w:hAnsi="Arial"/>
          <w:color w:val="000000"/>
          <w:sz w:val="20"/>
        </w:rPr>
        <w:t xml:space="preserve"> </w:t>
      </w:r>
    </w:p>
    <w:p>
      <w:pPr>
        <w:pStyle w:val="TextBody"/>
        <w:bidi w:val="0"/>
        <w:spacing w:before="120" w:after="283"/>
        <w:jc w:val="left"/>
        <w:rPr>
          <w:rFonts w:ascii="Arial" w:hAnsi="Arial"/>
          <w:sz w:val="20"/>
        </w:rPr>
      </w:pPr>
      <w:r>
        <w:rPr>
          <w:rFonts w:ascii="Arial" w:hAnsi="Arial"/>
          <w:color w:val="000000"/>
          <w:sz w:val="20"/>
        </w:rPr>
        <w:t xml:space="preserve">We have an extensive library of compounds that have been designed and generated by our medicinal chemists. Currently, we are evaluating select compounds derived from this library in </w:t>
      </w:r>
      <w:r>
        <w:rPr>
          <w:rFonts w:ascii="Arial" w:hAnsi="Arial"/>
          <w:i/>
          <w:color w:val="000000"/>
          <w:sz w:val="20"/>
        </w:rPr>
        <w:t xml:space="preserve">in vitro </w:t>
      </w:r>
      <w:r>
        <w:rPr>
          <w:rFonts w:ascii="Arial" w:hAnsi="Arial"/>
          <w:color w:val="000000"/>
          <w:sz w:val="20"/>
        </w:rPr>
        <w:t xml:space="preserve">and </w:t>
      </w:r>
      <w:r>
        <w:rPr>
          <w:rFonts w:ascii="Arial" w:hAnsi="Arial"/>
          <w:i/>
          <w:color w:val="000000"/>
          <w:sz w:val="20"/>
        </w:rPr>
        <w:t xml:space="preserve">in vivo </w:t>
      </w:r>
      <w:r>
        <w:rPr>
          <w:rFonts w:ascii="Arial" w:hAnsi="Arial"/>
          <w:color w:val="000000"/>
          <w:sz w:val="20"/>
        </w:rPr>
        <w:t>studies to assess the antiviral activity and other properties of such compounds against other RNA viral infections.</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In all our discovery and preclinical efforts, we assess where there is a compelling market opportunity and then we aim to identify and advance only those candidates that we believe may have first- or best-in-class profiles with the potential to either become the SOC, or disrupt the existing SOC, and in each case, dramatically improve patient outcomes. </w:t>
      </w:r>
    </w:p>
    <w:p>
      <w:pPr>
        <w:pStyle w:val="TextBody"/>
        <w:bidi w:val="0"/>
        <w:spacing w:before="240" w:after="283"/>
        <w:jc w:val="left"/>
        <w:rPr>
          <w:rFonts w:ascii="Arial" w:hAnsi="Arial"/>
          <w:sz w:val="20"/>
        </w:rPr>
      </w:pPr>
      <w:r>
        <w:rPr>
          <w:rFonts w:ascii="Arial" w:hAnsi="Arial"/>
          <w:b/>
          <w:i/>
          <w:color w:val="000000"/>
          <w:sz w:val="20"/>
        </w:rPr>
        <w:t>Financial Resources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believe we are well capitalized to advance our current programs. We had $219.5 million in cash, cash equivalents and marketable securities at June 30, 2026.</w:t>
      </w:r>
    </w:p>
    <w:p>
      <w:pPr>
        <w:pStyle w:val="TextBody"/>
        <w:bidi w:val="0"/>
        <w:spacing w:before="120" w:after="283"/>
        <w:jc w:val="left"/>
        <w:rPr>
          <w:rFonts w:ascii="Arial" w:hAnsi="Arial"/>
          <w:color w:val="000000"/>
          <w:sz w:val="20"/>
        </w:rPr>
      </w:pPr>
      <w:r>
        <w:rPr>
          <w:rFonts w:ascii="Arial" w:hAnsi="Arial"/>
          <w:color w:val="000000"/>
          <w:sz w:val="20"/>
        </w:rPr>
        <w:t>We do not have any products approved for sale and have not generated any product revenue since inception. We do not anticipate generating any revenue from product sales for the foreseeable future. 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third parties,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pStyle w:val="TextBody"/>
        <w:bidi w:val="0"/>
        <w:spacing w:before="120" w:after="283"/>
        <w:jc w:val="left"/>
        <w:rPr>
          <w:rFonts w:ascii="Arial" w:hAnsi="Arial"/>
          <w:color w:val="000000"/>
          <w:sz w:val="20"/>
        </w:rPr>
      </w:pPr>
      <w:r>
        <w:rPr>
          <w:rFonts w:ascii="Arial" w:hAnsi="Arial"/>
          <w:color w:val="000000"/>
          <w:sz w:val="20"/>
        </w:rPr>
        <w:t xml:space="preserve">We remain focused on identifying initiatives, investments and opportunities to maximize stockholder value. </w:t>
      </w:r>
    </w:p>
    <w:p>
      <w:pPr>
        <w:pStyle w:val="TextBody"/>
        <w:bidi w:val="0"/>
        <w:spacing w:before="120" w:after="283"/>
        <w:jc w:val="left"/>
        <w:rPr>
          <w:rFonts w:ascii="Arial" w:hAnsi="Arial"/>
          <w:color w:val="000000"/>
          <w:sz w:val="20"/>
        </w:rPr>
      </w:pPr>
      <w:r>
        <w:rPr>
          <w:rFonts w:ascii="Arial" w:hAnsi="Arial"/>
          <w:color w:val="000000"/>
          <w:sz w:val="20"/>
        </w:rPr>
        <w:t xml:space="preserve">In an effort to enhance efficiency in the management of infrastructure expenses, in the first quarter of 2025, we reduced our workforce by approximately 25%. This workforce reduction is expected to result in aggregate cost savings of approximately $15.0 million through 2027. </w:t>
      </w:r>
    </w:p>
    <w:p>
      <w:pPr>
        <w:pStyle w:val="TextBody"/>
        <w:bidi w:val="0"/>
        <w:spacing w:before="120" w:after="283"/>
        <w:jc w:val="left"/>
        <w:rPr>
          <w:rFonts w:ascii="Arial" w:hAnsi="Arial"/>
          <w:color w:val="000000"/>
          <w:sz w:val="20"/>
        </w:rPr>
      </w:pPr>
      <w:r>
        <w:rPr>
          <w:rFonts w:ascii="Arial" w:hAnsi="Arial"/>
          <w:color w:val="000000"/>
          <w:sz w:val="20"/>
        </w:rPr>
        <w:t xml:space="preserve">Additionally, in April 2025, our Board authorized a program to repurchase shares of our common stock (“Common Stock”). Under this authorization, we returned capital to our stockholders while maintaining the capacity to complete the Phase 3 clinical development of the regimen of BEM/RZR and execute on our other strategic business plans. Under the share repurchase program, which was fully completed in 2025, we expended $25.5 million (including transaction costs and excise taxes) in connection with the repurchase of 7,673,792 shares of our Common Stock. </w:t>
      </w:r>
    </w:p>
    <w:p>
      <w:pPr>
        <w:pStyle w:val="TextBody"/>
        <w:bidi w:val="0"/>
        <w:spacing w:before="120" w:after="283"/>
        <w:jc w:val="left"/>
        <w:rPr>
          <w:rFonts w:ascii="Arial" w:hAnsi="Arial"/>
          <w:color w:val="000000"/>
          <w:sz w:val="20"/>
        </w:rPr>
      </w:pPr>
      <w:r>
        <w:rPr>
          <w:rFonts w:ascii="Arial" w:hAnsi="Arial"/>
          <w:color w:val="000000"/>
          <w:sz w:val="20"/>
        </w:rPr>
        <w:t xml:space="preserve">Expecting that the results of our HCV Phase 3 clinical development program, if successful, will drive stockholder value and catalyze business development discussions, in November 2025, we concluded the formal engagement to explore strategic partnerships which we previously entered into with Evercore LLC, a global independent investment bank. As noted above, in July 2026, we reported topline results of C-BEYOND, our Phase 3 clinical trial, comparing our regimen of BEM/RZR against the regimen of SOF/VEL (marketed in the US under the brand Epclusa®). In C-BEYOND, BEM/RZR demonstrated statistical non-inferiority to SOF/VEL meeting both primary and secondary study endpoints. In addition to C-BEYOND, our HCV Phase 3 clinical development program also includes C-FORWARD, a second Phase 3 clinical trial. Patient enrollment in C-FORWARD was completed in June 2026 and we currently expect to report topline results from this Phase 3 clinical trial early in the first quarter of 2027. If C-FORWARD is successfully completed, we are targeting to submit an NDA to the FDA in the second quarter of 2027 seeking approval to market the regimen. </w:t>
      </w:r>
    </w:p>
    <w:p>
      <w:pPr>
        <w:pStyle w:val="TextBody"/>
        <w:bidi w:val="0"/>
        <w:spacing w:before="120" w:after="283"/>
        <w:jc w:val="left"/>
        <w:rPr>
          <w:rFonts w:ascii="Arial" w:hAnsi="Arial"/>
          <w:color w:val="000000"/>
          <w:sz w:val="20"/>
        </w:rPr>
      </w:pPr>
      <w:r>
        <w:rPr>
          <w:rFonts w:ascii="Arial" w:hAnsi="Arial"/>
          <w:color w:val="000000"/>
          <w:sz w:val="20"/>
        </w:rPr>
        <w:t>We remain open to consideration of strategic transactions and all other opportunities to drive stockholder value.</w:t>
      </w:r>
    </w:p>
    <w:p>
      <w:pPr>
        <w:pStyle w:val="TextBody"/>
        <w:bidi w:val="0"/>
        <w:spacing w:before="240" w:after="283"/>
        <w:jc w:val="left"/>
        <w:rPr>
          <w:rFonts w:ascii="Arial" w:hAnsi="Arial"/>
          <w:b/>
          <w:color w:val="000000"/>
          <w:sz w:val="20"/>
        </w:rPr>
      </w:pPr>
      <w:r>
        <w:rPr>
          <w:rFonts w:ascii="Arial" w:hAnsi="Arial"/>
          <w:b/>
          <w:color w:val="000000"/>
          <w:sz w:val="20"/>
        </w:rPr>
        <w:t>Merck License Agreement</w:t>
      </w:r>
    </w:p>
    <w:p>
      <w:pPr>
        <w:pStyle w:val="TextBody"/>
        <w:bidi w:val="0"/>
        <w:spacing w:before="120" w:after="283"/>
        <w:jc w:val="left"/>
        <w:rPr>
          <w:rFonts w:ascii="Arial" w:hAnsi="Arial"/>
          <w:color w:val="000000"/>
          <w:sz w:val="20"/>
        </w:rPr>
      </w:pPr>
      <w:r>
        <w:rPr>
          <w:rFonts w:ascii="Arial" w:hAnsi="Arial"/>
          <w:color w:val="000000"/>
          <w:sz w:val="20"/>
        </w:rPr>
        <w:t xml:space="preserve">In December 2021, we entered into a license agreement (“Merck License Agreement”) with MSD International GmbH, an affiliate of Merck &amp; Co., Inc. (“Merck”) for the development, manufacture and commercialization of ruzasvir. Ruzasvir is the investigational NS5A inhibitor we are developing in combination with bemnifosbuvir for the treatment of HCV. </w:t>
      </w:r>
    </w:p>
    <w:p>
      <w:pPr>
        <w:pStyle w:val="TextBody"/>
        <w:bidi w:val="0"/>
        <w:spacing w:before="120" w:after="283"/>
        <w:jc w:val="left"/>
        <w:rPr>
          <w:rFonts w:ascii="Arial" w:hAnsi="Arial"/>
          <w:color w:val="000000"/>
          <w:sz w:val="20"/>
        </w:rPr>
      </w:pPr>
      <w:r>
        <w:rPr>
          <w:rFonts w:ascii="Arial" w:hAnsi="Arial"/>
          <w:color w:val="000000"/>
          <w:sz w:val="20"/>
        </w:rPr>
        <w:t>Pursuant to the terms of the Merck License Agreement, we obtained from Merck an exclusive (subject to certain reserved rights to conduct internal research), sublicensable, and worldwide license under certain Merck patents and know-how to research, develop, manufacture, have manufactured, use, import, export, sell, offer for sale, and otherwise commercialize ruzasvir or products containing ruzasvir (each a “Product”) for all therapeutic or prophylactic uses in humans.</w:t>
      </w:r>
    </w:p>
    <w:p>
      <w:pPr>
        <w:pStyle w:val="TextBody"/>
        <w:bidi w:val="0"/>
        <w:spacing w:before="120" w:after="283"/>
        <w:jc w:val="left"/>
        <w:rPr>
          <w:rFonts w:ascii="Arial" w:hAnsi="Arial"/>
          <w:color w:val="000000"/>
          <w:sz w:val="20"/>
        </w:rPr>
      </w:pPr>
      <w:r>
        <w:rPr>
          <w:rFonts w:ascii="Arial" w:hAnsi="Arial"/>
          <w:color w:val="000000"/>
          <w:sz w:val="20"/>
        </w:rPr>
        <w:t xml:space="preserve">In addition to a non-refundable upfront payment that we made in February 2022, we agreed to pay Merck milestone payments upon our achievement of certain development, regulatory and sales-based milestones. Additionally, we will pay Merck tiered royalties based on annual net sales of Products ranging from </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high single digits to mid-teens percentages. Our royalty payment obligations will continue until the later of (i) the expiration of the last to expire valid claim of a licensed Merck patent claiming such Product and (ii) a period of years after the first commercial sale of such Product in such country. We may terminate the Merck License Agreement for convenience upon prior written notice. The first milestone in the amount of $5.0 million became due and payable in April 2025 when we enrolled our first patient in C-BEYOND, the Phase 3 clinical trial that we are currently conducting in the US and Canada evaluating the regimen of BEM/RZR for the treatment of HCV. The Company recognized this milestone payment as research and development expense in the three months ended June 30, 2025. The next potential milestone, in the amount of $10.0 million, is payable upon acceptance by the FDA of a new drug application covering a product candidate including ruzasvir. If we successfully complete C-FORWARD, our Phase 3 clinical trial, and our HCV development program evaluating the BEM/RZR regimen, and we are able to complete and submit the NDA to the FDA on our current projected timeline, we anticipate that this next potential milestone may become due and payable during the three months ending September 30, 2027. </w:t>
      </w:r>
    </w:p>
    <w:p>
      <w:pPr>
        <w:pStyle w:val="TextBody"/>
        <w:bidi w:val="0"/>
        <w:spacing w:before="240" w:after="283"/>
        <w:jc w:val="left"/>
        <w:rPr>
          <w:rFonts w:ascii="Arial" w:hAnsi="Arial"/>
          <w:b/>
          <w:color w:val="000000"/>
          <w:sz w:val="20"/>
        </w:rPr>
      </w:pPr>
      <w:r>
        <w:rPr>
          <w:rFonts w:ascii="Arial" w:hAnsi="Arial"/>
          <w:b/>
          <w:color w:val="000000"/>
          <w:sz w:val="20"/>
        </w:rPr>
        <w:t>Financial Operations Overview</w:t>
      </w:r>
    </w:p>
    <w:p>
      <w:pPr>
        <w:pStyle w:val="TextBody"/>
        <w:bidi w:val="0"/>
        <w:spacing w:before="120" w:after="283"/>
        <w:jc w:val="left"/>
        <w:rPr>
          <w:rFonts w:ascii="Arial" w:hAnsi="Arial"/>
          <w:color w:val="000000"/>
          <w:sz w:val="20"/>
        </w:rPr>
      </w:pPr>
      <w:r>
        <w:rPr>
          <w:rFonts w:ascii="Arial" w:hAnsi="Arial"/>
          <w:color w:val="000000"/>
          <w:sz w:val="20"/>
        </w:rPr>
        <w:t>As of June 30, 2026, we had cash and investments of $219.5 million. Net cash used in operating activities was $83.5 million for the six months ended June 30, 2026.</w:t>
      </w:r>
    </w:p>
    <w:p>
      <w:pPr>
        <w:pStyle w:val="TextBody"/>
        <w:bidi w:val="0"/>
        <w:spacing w:before="120" w:after="283"/>
        <w:jc w:val="left"/>
        <w:rPr>
          <w:rFonts w:ascii="Arial" w:hAnsi="Arial"/>
          <w:color w:val="000000"/>
          <w:sz w:val="20"/>
        </w:rPr>
      </w:pPr>
      <w:r>
        <w:rPr>
          <w:rFonts w:ascii="Arial" w:hAnsi="Arial"/>
          <w:color w:val="000000"/>
          <w:sz w:val="20"/>
        </w:rPr>
        <w:t>Based on our current plans, we anticipate our existing financial resources will allow us to advance our current and planned clinical programs to and through key inflection points, prepare and submit an application for marketing approval of the regimen of BEM/RZR, engage in pre-launch activities and advance AT-587 for the treatment of HEV to late-stage clinical development.</w:t>
      </w:r>
    </w:p>
    <w:p>
      <w:pPr>
        <w:pStyle w:val="TextBody"/>
        <w:bidi w:val="0"/>
        <w:spacing w:before="120" w:after="283"/>
        <w:jc w:val="left"/>
        <w:rPr>
          <w:rFonts w:ascii="Arial" w:hAnsi="Arial"/>
          <w:color w:val="000000"/>
          <w:sz w:val="20"/>
        </w:rPr>
      </w:pPr>
      <w:r>
        <w:rPr>
          <w:rFonts w:ascii="Arial" w:hAnsi="Arial"/>
          <w:color w:val="000000"/>
          <w:sz w:val="20"/>
        </w:rPr>
        <w:t>We expect that our net cash used in operating activities will remain significant as we complete the clinical development of the regimen of BEM/RZR for the treatment of HCV, seek regulatory approval, manufacture such product at commercial scale and prepare for and, if approved, pursue commercialization activities; advance AT-587, our HEV product candidate through clinical development; acquire, discover, validate and develop additional product candidates; obtain, maintain, protect and enforce our intellectual property portfolio; and, if necessary, hire additional personnel. In addition, we may incur additional costs as we continue to operate as a public company. We believe that our available cash, cash equivalents and marketable securities will be sufficient to fund our planned operations through 2027. We have based this estimate on assumptions that may prove to be wrong and we could exhaust our available capital resources sooner than we expect.</w:t>
      </w:r>
    </w:p>
    <w:p>
      <w:pPr>
        <w:pStyle w:val="TextBody"/>
        <w:bidi w:val="0"/>
        <w:spacing w:before="120" w:after="283"/>
        <w:jc w:val="left"/>
        <w:rPr>
          <w:rFonts w:ascii="Arial" w:hAnsi="Arial"/>
          <w:color w:val="000000"/>
          <w:sz w:val="20"/>
        </w:rPr>
      </w:pPr>
      <w:r>
        <w:rPr>
          <w:rFonts w:ascii="Arial" w:hAnsi="Arial"/>
          <w:color w:val="000000"/>
          <w:sz w:val="20"/>
        </w:rPr>
        <w:t>We do not have any products approved for sale and have not generated any product revenue since inception. We do not anticipate generating any revenue from product sales for the foreseeable future. 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third parties,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pStyle w:val="TextBody"/>
        <w:bidi w:val="0"/>
        <w:spacing w:before="120" w:after="283"/>
        <w:jc w:val="left"/>
        <w:rPr>
          <w:rFonts w:ascii="Arial" w:hAnsi="Arial"/>
          <w:color w:val="000000"/>
          <w:sz w:val="20"/>
        </w:rPr>
      </w:pPr>
      <w:r>
        <w:rPr>
          <w:rFonts w:ascii="Arial" w:hAnsi="Arial"/>
          <w:color w:val="000000"/>
          <w:sz w:val="20"/>
        </w:rPr>
        <w:t>We plan to continue to use third-party service providers, including clinical research organizations (“CROs”) to carry out our preclinical and clinical development, and contract manufacturing organizations (“CMOs”) to manufacture and supply the materials used during the development of our product candidates. Additionally, we expect to rely on CMOs for the manufacture of commercial supply of any product candidate we may successfully develop.</w:t>
      </w:r>
    </w:p>
    <w:p>
      <w:pPr>
        <w:pStyle w:val="TextBody"/>
        <w:bidi w:val="0"/>
        <w:spacing w:before="120" w:after="283"/>
        <w:jc w:val="left"/>
        <w:rPr>
          <w:rFonts w:ascii="Arial" w:hAnsi="Arial"/>
          <w:color w:val="000000"/>
          <w:sz w:val="20"/>
        </w:rPr>
      </w:pPr>
      <w:r>
        <w:rPr>
          <w:rFonts w:ascii="Arial" w:hAnsi="Arial"/>
          <w:color w:val="000000"/>
          <w:sz w:val="20"/>
        </w:rPr>
        <w:t>As we continue to advance our programs, we expect to incur significant expenses over the next several years, as we: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complete the Phase 3 clinical development of the regimen of BEM/RZR for the treatment of HCV;</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complete non-clinical NDA enabling activities including those associated with the manufacture of the regimen of BEM/RZR at commercial scale;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seek marketing approval and prepare for potential commercialization of the regimen of BEM/RZR for the treatment of HCV;</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advance the clinical development of AT-587 for the treatment of chronic HEV;</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continue discovery and preclinical activities to identify other potential product candidates for the treatment of diseases caused by other single stranded RNA viruses;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acquire or in-license clinical stage drug candidates, form strategic alliances or establish collaborations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 expand, protect and enforce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hire additional personnel, if necessary, to support our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 commercialization capabilities if we are successful in developing our product candidates.</w:t>
      </w:r>
    </w:p>
    <w:p>
      <w:pPr>
        <w:pStyle w:val="TextBody"/>
        <w:bidi w:val="0"/>
        <w:spacing w:before="240" w:after="283"/>
        <w:jc w:val="left"/>
        <w:rPr>
          <w:rFonts w:ascii="Arial" w:hAnsi="Arial"/>
          <w:b/>
          <w:color w:val="000000"/>
          <w:sz w:val="20"/>
        </w:rPr>
      </w:pPr>
      <w:r>
        <w:rPr>
          <w:rFonts w:ascii="Arial" w:hAnsi="Arial"/>
          <w:b/>
          <w:color w:val="000000"/>
          <w:sz w:val="20"/>
        </w:rPr>
        <w:t>Components of Results of Operations</w:t>
      </w:r>
    </w:p>
    <w:p>
      <w:pPr>
        <w:pStyle w:val="TextBody"/>
        <w:bidi w:val="0"/>
        <w:spacing w:before="240" w:after="120"/>
        <w:jc w:val="left"/>
        <w:rPr>
          <w:rFonts w:ascii="Arial" w:hAnsi="Arial"/>
          <w:b/>
          <w:i/>
          <w:color w:val="000000"/>
          <w:sz w:val="20"/>
        </w:rPr>
      </w:pPr>
      <w:r>
        <w:rPr>
          <w:rFonts w:ascii="Arial" w:hAnsi="Arial"/>
          <w:b/>
          <w:i/>
          <w:color w:val="000000"/>
          <w:sz w:val="20"/>
        </w:rPr>
        <w:t>Revenue</w:t>
      </w:r>
    </w:p>
    <w:p>
      <w:pPr>
        <w:pStyle w:val="TextBody"/>
        <w:bidi w:val="0"/>
        <w:jc w:val="left"/>
        <w:rPr>
          <w:rFonts w:ascii="Arial" w:hAnsi="Arial"/>
          <w:color w:val="000000"/>
          <w:sz w:val="20"/>
        </w:rPr>
      </w:pPr>
      <w:r>
        <w:rPr>
          <w:rFonts w:ascii="Arial" w:hAnsi="Arial"/>
          <w:color w:val="000000"/>
          <w:sz w:val="20"/>
        </w:rPr>
        <w:t>We do not have any products approved for sale and we have not generated any revenue in the periods presented.</w:t>
      </w:r>
    </w:p>
    <w:p>
      <w:pPr>
        <w:pStyle w:val="TextBody"/>
        <w:bidi w:val="0"/>
        <w:spacing w:before="120" w:after="283"/>
        <w:jc w:val="left"/>
        <w:rPr>
          <w:rFonts w:ascii="Arial" w:hAnsi="Arial"/>
          <w:color w:val="000000"/>
          <w:sz w:val="20"/>
        </w:rPr>
      </w:pPr>
      <w:r>
        <w:rPr>
          <w:rFonts w:ascii="Arial" w:hAnsi="Arial"/>
          <w:color w:val="000000"/>
          <w:sz w:val="20"/>
        </w:rPr>
        <w:t>If our product candidate development efforts are successful and result in commercialization, we may generate revenue in the future from product sales. Additionally, we may generate revenue from collaboration or license agreements that we may enter into with third parties.</w:t>
      </w:r>
    </w:p>
    <w:p>
      <w:pPr>
        <w:pStyle w:val="TextBody"/>
        <w:bidi w:val="0"/>
        <w:spacing w:before="240" w:after="283"/>
        <w:jc w:val="left"/>
        <w:rPr>
          <w:rFonts w:ascii="Arial" w:hAnsi="Arial"/>
          <w:sz w:val="20"/>
        </w:rPr>
      </w:pPr>
      <w:r>
        <w:rPr>
          <w:rFonts w:ascii="Arial" w:hAnsi="Arial"/>
          <w:b/>
          <w:i/>
          <w:color w:val="000000"/>
          <w:sz w:val="20"/>
        </w:rPr>
        <w:t>Operating Expenses</w:t>
      </w:r>
      <w:r>
        <w:rPr>
          <w:rFonts w:ascii="Arial" w:hAnsi="Arial"/>
          <w:color w:val="000000"/>
          <w:sz w:val="20"/>
        </w:rPr>
        <w:t xml:space="preserve"> </w:t>
      </w:r>
    </w:p>
    <w:p>
      <w:pPr>
        <w:pStyle w:val="TextBody"/>
        <w:bidi w:val="0"/>
        <w:spacing w:before="120" w:after="283"/>
        <w:jc w:val="left"/>
        <w:rPr>
          <w:rFonts w:ascii="Arial" w:hAnsi="Arial"/>
          <w:i/>
          <w:color w:val="000000"/>
          <w:sz w:val="20"/>
        </w:rPr>
      </w:pPr>
      <w:r>
        <w:rPr>
          <w:rFonts w:ascii="Arial" w:hAnsi="Arial"/>
          <w:i/>
          <w:color w:val="000000"/>
          <w:sz w:val="20"/>
        </w:rPr>
        <w:t>Research and Development Expenses</w:t>
      </w:r>
    </w:p>
    <w:p>
      <w:pPr>
        <w:pStyle w:val="TextBody"/>
        <w:bidi w:val="0"/>
        <w:spacing w:before="120" w:after="283"/>
        <w:jc w:val="left"/>
        <w:rPr>
          <w:rFonts w:ascii="Arial" w:hAnsi="Arial"/>
          <w:color w:val="000000"/>
          <w:sz w:val="20"/>
        </w:rPr>
      </w:pPr>
      <w:r>
        <w:rPr>
          <w:rFonts w:ascii="Arial" w:hAnsi="Arial"/>
          <w:color w:val="000000"/>
          <w:sz w:val="20"/>
        </w:rPr>
        <w:t>Substantially all of our research and development expenses consist of expenses incurred in connection with the discovery and development of our product candidates. These expenses include external costs consisting of fees paid to third parties, including CROs and CMOs, to conduct certain research and development activities on our behalf and consulting costs, as well as internal costs consisting of payroll and personnel-related expenses, including salaries and bonuses, employee benefit costs and stock-based compensation expenses for our research and development employees and allocated overhead, including rent, equipment, depreciation, information technology costs and utilities attributable to our research and development personnel. We expense both internal and external research and development expenses as they are incurred. In circumstances where amounts have been paid in advance or in excess of costs incurred, we record a prepaid expense, which is expensed as services are performed or goods are delivered.</w:t>
      </w:r>
    </w:p>
    <w:p>
      <w:pPr>
        <w:pStyle w:val="TextBody"/>
        <w:bidi w:val="0"/>
        <w:spacing w:before="120" w:after="283"/>
        <w:jc w:val="left"/>
        <w:rPr>
          <w:rFonts w:ascii="Arial" w:hAnsi="Arial"/>
          <w:color w:val="000000"/>
          <w:sz w:val="20"/>
        </w:rPr>
      </w:pPr>
      <w:r>
        <w:rPr>
          <w:rFonts w:ascii="Arial" w:hAnsi="Arial"/>
          <w:color w:val="000000"/>
          <w:sz w:val="20"/>
        </w:rPr>
        <w:t xml:space="preserve">A significant portion of our research and development costs have been external costs, which we track by therapeutic area. We have not historically tracked our internal research and development expenses by therapeutic area as they are deployed across multiple programs. </w:t>
      </w:r>
    </w:p>
    <w:p>
      <w:pPr>
        <w:pStyle w:val="TextBody"/>
        <w:bidi w:val="0"/>
        <w:spacing w:before="120" w:after="283"/>
        <w:jc w:val="left"/>
        <w:rPr>
          <w:rFonts w:ascii="Arial" w:hAnsi="Arial"/>
          <w:color w:val="000000"/>
          <w:sz w:val="20"/>
        </w:rPr>
      </w:pPr>
      <w:r>
        <w:rPr>
          <w:rFonts w:ascii="Arial" w:hAnsi="Arial"/>
          <w:color w:val="000000"/>
          <w:sz w:val="20"/>
        </w:rPr>
        <w:t>The following table summarizes our external research and development expenses by indication and internal research and development expenses:</w:t>
      </w:r>
    </w:p>
    <w:p>
      <w:pPr>
        <w:pStyle w:val="TextBody"/>
        <w:bidi w:val="0"/>
        <w:jc w:val="left"/>
        <w:rPr/>
      </w:pPr>
      <w:r>
        <w:rPr/>
        <w:t> </w:t>
      </w:r>
    </w:p>
    <w:tbl>
      <w:tblPr>
        <w:tblW w:w="8502" w:type="dxa"/>
        <w:jc w:val="left"/>
        <w:tblInd w:w="0" w:type="dxa"/>
        <w:tblLayout w:type="fixed"/>
        <w:tblCellMar>
          <w:top w:w="28" w:type="dxa"/>
          <w:left w:w="28" w:type="dxa"/>
          <w:bottom w:w="28" w:type="dxa"/>
          <w:right w:w="28" w:type="dxa"/>
        </w:tblCellMar>
      </w:tblPr>
      <w:tblGrid>
        <w:gridCol w:w="3661"/>
        <w:gridCol w:w="146"/>
        <w:gridCol w:w="211"/>
        <w:gridCol w:w="691"/>
        <w:gridCol w:w="146"/>
        <w:gridCol w:w="146"/>
        <w:gridCol w:w="211"/>
        <w:gridCol w:w="691"/>
        <w:gridCol w:w="166"/>
        <w:gridCol w:w="146"/>
        <w:gridCol w:w="211"/>
        <w:gridCol w:w="691"/>
        <w:gridCol w:w="146"/>
        <w:gridCol w:w="146"/>
        <w:gridCol w:w="211"/>
        <w:gridCol w:w="691"/>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96"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Three Months Ended</w:t>
              <w:br/>
              <w:t>June 30,</w:t>
            </w:r>
          </w:p>
        </w:tc>
        <w:tc>
          <w:tcPr>
            <w:tcW w:w="16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096"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Six Months Ended</w:t>
              <w:br/>
              <w:t>June 30,</w:t>
            </w:r>
          </w:p>
        </w:tc>
        <w:tc>
          <w:tcPr>
            <w:tcW w:w="19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HCV 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HEV external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COVID-19 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Early stage discovery external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Internal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costs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28,150</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32,275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69,284</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61,859</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20"/>
        </w:rPr>
      </w:pPr>
      <w:r>
        <w:rPr>
          <w:rFonts w:ascii="Arial" w:hAnsi="Arial"/>
          <w:color w:val="000000"/>
          <w:sz w:val="20"/>
        </w:rPr>
        <w:t xml:space="preserve">Substantially all of our resources are focused on the development of our product candidates. We expect our research and development expenses to vary quarter over quarter particularly as we complete our Phase 3 HCV clinical program, complete NDA associated activities and advance the clinical development of AT-587 for the treatment of HEV. Predicting the timing or cost to complete our clinical programs, validate our commercial manufacturing and supply processes and manufacture product at commercial scale is difficult and delays may occur because of many factors, including factors outside of our control. For example, if the FDA or other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regulatory authorities were to require us to conduct clinical trials beyond those that we currently anticipate or the time to complete planned clinical trials is extended due to delays in enrollment or otherwise, we could be required to expend significant additional financial resources and time on the completion of clinical development. Furthermore, we are unable to predict with any certainty when our HCV and HEV product candidates or any other product candidate we may develop will, if ever, receive regulatory approval. </w:t>
      </w:r>
    </w:p>
    <w:p>
      <w:pPr>
        <w:pStyle w:val="TextBody"/>
        <w:bidi w:val="0"/>
        <w:spacing w:before="120" w:after="283"/>
        <w:jc w:val="left"/>
        <w:rPr>
          <w:rFonts w:ascii="Arial" w:hAnsi="Arial"/>
          <w:color w:val="000000"/>
          <w:sz w:val="20"/>
        </w:rPr>
      </w:pPr>
      <w:r>
        <w:rPr>
          <w:rFonts w:ascii="Arial" w:hAnsi="Arial"/>
          <w:color w:val="000000"/>
          <w:sz w:val="20"/>
        </w:rPr>
        <w:t>Early stage discovery activities include assessing the antiviral activity, pharmacokinetics, toxicity and other properties of select compounds derived from our nucleos(t)ide library in an effort to identify promising potential product candidates for the treatment of RNA viral infections for which there is no currently approved DAA or for which we believe the current SOC can be improved to address unmet medical needs.</w:t>
      </w:r>
    </w:p>
    <w:p>
      <w:pPr>
        <w:pStyle w:val="TextBody"/>
        <w:bidi w:val="0"/>
        <w:spacing w:before="240" w:after="283"/>
        <w:jc w:val="left"/>
        <w:rPr>
          <w:rFonts w:ascii="Arial" w:hAnsi="Arial"/>
          <w:i/>
          <w:color w:val="000000"/>
          <w:sz w:val="20"/>
        </w:rPr>
      </w:pPr>
      <w:r>
        <w:rPr>
          <w:rFonts w:ascii="Arial" w:hAnsi="Arial"/>
          <w:i/>
          <w:color w:val="000000"/>
          <w:sz w:val="20"/>
        </w:rPr>
        <w:t>General and Administrative Expenses</w:t>
      </w:r>
    </w:p>
    <w:p>
      <w:pPr>
        <w:pStyle w:val="TextBody"/>
        <w:bidi w:val="0"/>
        <w:spacing w:before="120" w:after="283"/>
        <w:jc w:val="left"/>
        <w:rPr>
          <w:rFonts w:ascii="Arial" w:hAnsi="Arial"/>
          <w:color w:val="000000"/>
          <w:sz w:val="20"/>
        </w:rPr>
      </w:pPr>
      <w:r>
        <w:rPr>
          <w:rFonts w:ascii="Arial" w:hAnsi="Arial"/>
          <w:color w:val="000000"/>
          <w:sz w:val="20"/>
        </w:rPr>
        <w:t>General and administrative expenses consist principally of payroll and personnel expenses, including salaries and bonuses, benefits and stock-based compensation expenses, professional fees for legal, consulting, accounting and tax services, business insurance, allocated overhead, including rent, equipment, depreciation, information technology costs and utilities, and other general operating expenses not otherwise classified as research and development expenses.</w:t>
      </w:r>
    </w:p>
    <w:p>
      <w:pPr>
        <w:pStyle w:val="TextBody"/>
        <w:bidi w:val="0"/>
        <w:spacing w:before="120" w:after="283"/>
        <w:jc w:val="left"/>
        <w:rPr>
          <w:rFonts w:ascii="Arial" w:hAnsi="Arial"/>
          <w:color w:val="000000"/>
          <w:sz w:val="20"/>
        </w:rPr>
      </w:pPr>
      <w:r>
        <w:rPr>
          <w:rFonts w:ascii="Arial" w:hAnsi="Arial"/>
          <w:color w:val="000000"/>
          <w:sz w:val="20"/>
        </w:rPr>
        <w:t>We anticipate that our general and administrative expenses may increase, including in connection with any future expansion of our organization for potential commercialization of our product candidates, as a result of increased personnel costs, expanded infrastructure, increased consulting, legal and accounting services, costs associated with complying with Nasdaq and SEC requirements and increased investor relations costs.</w:t>
      </w:r>
    </w:p>
    <w:p>
      <w:pPr>
        <w:pStyle w:val="TextBody"/>
        <w:bidi w:val="0"/>
        <w:spacing w:before="240" w:after="283"/>
        <w:jc w:val="left"/>
        <w:rPr>
          <w:rFonts w:ascii="Arial" w:hAnsi="Arial"/>
          <w:sz w:val="20"/>
        </w:rPr>
      </w:pPr>
      <w:r>
        <w:rPr>
          <w:rFonts w:ascii="Arial" w:hAnsi="Arial"/>
          <w:i/>
          <w:color w:val="000000"/>
          <w:sz w:val="20"/>
        </w:rPr>
        <w:t>Interest Income and Other, Net</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Interest income and other, net, consists primarily of interest income earned on our cash and investments.</w:t>
      </w:r>
    </w:p>
    <w:p>
      <w:pPr>
        <w:pStyle w:val="TextBody"/>
        <w:bidi w:val="0"/>
        <w:spacing w:before="240" w:after="283"/>
        <w:jc w:val="left"/>
        <w:rPr>
          <w:rFonts w:ascii="Arial" w:hAnsi="Arial"/>
          <w:i/>
          <w:color w:val="000000"/>
          <w:sz w:val="20"/>
        </w:rPr>
      </w:pPr>
      <w:r>
        <w:rPr>
          <w:rFonts w:ascii="Arial" w:hAnsi="Arial"/>
          <w:i/>
          <w:color w:val="000000"/>
          <w:sz w:val="20"/>
        </w:rPr>
        <w:t>Income Taxes</w:t>
      </w:r>
    </w:p>
    <w:p>
      <w:pPr>
        <w:pStyle w:val="TextBody"/>
        <w:bidi w:val="0"/>
        <w:spacing w:before="120" w:after="283"/>
        <w:jc w:val="left"/>
        <w:rPr>
          <w:rFonts w:ascii="Arial" w:hAnsi="Arial"/>
          <w:color w:val="000000"/>
          <w:sz w:val="20"/>
        </w:rPr>
      </w:pPr>
      <w:r>
        <w:rPr>
          <w:rFonts w:ascii="Arial" w:hAnsi="Arial"/>
          <w:color w:val="000000"/>
          <w:sz w:val="20"/>
        </w:rPr>
        <w:t>Income taxes consists primarily of federal and state current income taxes.</w:t>
      </w:r>
    </w:p>
    <w:p>
      <w:pPr>
        <w:pStyle w:val="TextBody"/>
        <w:bidi w:val="0"/>
        <w:spacing w:before="240" w:after="283"/>
        <w:jc w:val="left"/>
        <w:rPr>
          <w:rFonts w:ascii="Arial" w:hAnsi="Arial"/>
          <w:sz w:val="20"/>
        </w:rPr>
      </w:pPr>
      <w:r>
        <w:rPr>
          <w:rFonts w:ascii="Arial" w:hAnsi="Arial"/>
          <w:b/>
          <w:color w:val="000000"/>
          <w:sz w:val="20"/>
        </w:rPr>
        <w:t>Results of Operations</w:t>
      </w:r>
      <w:r>
        <w:rPr>
          <w:rFonts w:ascii="Arial" w:hAnsi="Arial"/>
          <w:color w:val="000000"/>
          <w:sz w:val="20"/>
        </w:rPr>
        <w:t xml:space="preserve"> </w:t>
      </w:r>
    </w:p>
    <w:p>
      <w:pPr>
        <w:pStyle w:val="TextBody"/>
        <w:bidi w:val="0"/>
        <w:spacing w:before="240" w:after="283"/>
        <w:jc w:val="left"/>
        <w:rPr>
          <w:rFonts w:ascii="Arial" w:hAnsi="Arial"/>
          <w:b/>
          <w:i/>
          <w:color w:val="000000"/>
          <w:sz w:val="20"/>
        </w:rPr>
      </w:pPr>
      <w:r>
        <w:rPr>
          <w:rFonts w:ascii="Arial" w:hAnsi="Arial"/>
          <w:b/>
          <w:i/>
          <w:color w:val="000000"/>
          <w:sz w:val="20"/>
        </w:rPr>
        <w:t>Comparison of the Three Months Ended June 30, 2026 and 2025</w:t>
      </w:r>
    </w:p>
    <w:p>
      <w:pPr>
        <w:pStyle w:val="TextBody"/>
        <w:bidi w:val="0"/>
        <w:spacing w:before="120" w:after="283"/>
        <w:jc w:val="left"/>
        <w:rPr>
          <w:rFonts w:ascii="Arial" w:hAnsi="Arial"/>
          <w:color w:val="000000"/>
          <w:sz w:val="20"/>
        </w:rPr>
      </w:pPr>
      <w:r>
        <w:rPr>
          <w:rFonts w:ascii="Arial" w:hAnsi="Arial"/>
          <w:color w:val="000000"/>
          <w:sz w:val="20"/>
        </w:rPr>
        <w:t xml:space="preserve">The following table summarizes our results of operations for the periods indicated: </w:t>
      </w:r>
    </w:p>
    <w:tbl>
      <w:tblPr>
        <w:tblW w:w="7053" w:type="dxa"/>
        <w:jc w:val="left"/>
        <w:tblInd w:w="0" w:type="dxa"/>
        <w:tblLayout w:type="fixed"/>
        <w:tblCellMar>
          <w:top w:w="28" w:type="dxa"/>
          <w:left w:w="28" w:type="dxa"/>
          <w:bottom w:w="28" w:type="dxa"/>
          <w:right w:w="28" w:type="dxa"/>
        </w:tblCellMar>
      </w:tblPr>
      <w:tblGrid>
        <w:gridCol w:w="3011"/>
        <w:gridCol w:w="146"/>
        <w:gridCol w:w="211"/>
        <w:gridCol w:w="751"/>
        <w:gridCol w:w="166"/>
        <w:gridCol w:w="146"/>
        <w:gridCol w:w="211"/>
        <w:gridCol w:w="751"/>
        <w:gridCol w:w="166"/>
        <w:gridCol w:w="146"/>
        <w:gridCol w:w="211"/>
        <w:gridCol w:w="646"/>
        <w:gridCol w:w="4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1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36"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Three Months Ended</w:t>
              <w:br/>
              <w:t>June 30,</w:t>
            </w:r>
          </w:p>
        </w:tc>
        <w:tc>
          <w:tcPr>
            <w:tcW w:w="16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7"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9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Change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(6,246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6,246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(32,933</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(37,161</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4,228</w:t>
            </w:r>
          </w:p>
        </w:tc>
        <w:tc>
          <w:tcPr>
            <w:tcW w:w="4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Research and Development Expenses</w:t>
      </w:r>
    </w:p>
    <w:p>
      <w:pPr>
        <w:pStyle w:val="TextBody"/>
        <w:bidi w:val="0"/>
        <w:spacing w:before="120" w:after="283"/>
        <w:jc w:val="left"/>
        <w:rPr>
          <w:rFonts w:ascii="Arial" w:hAnsi="Arial"/>
          <w:color w:val="000000"/>
          <w:sz w:val="20"/>
        </w:rPr>
      </w:pPr>
      <w:r>
        <w:rPr>
          <w:rFonts w:ascii="Arial" w:hAnsi="Arial"/>
          <w:color w:val="000000"/>
          <w:sz w:val="20"/>
        </w:rPr>
        <w:t xml:space="preserve">Research and development expenses decreased by $4.1 million from $32.3 million for the three months ended June 30, 2025 to $28.2 million for the three months ended June 30, 2026. The net decrease was primarily driven by a decrease in external spend for our HCV Phase 3 clinical development offset by an increase in external spend for HEV preclinical development and clinical development startup activities. The decrease in HCV Phase 3 clinical development external spend was principally the result of the completion of the Week 24 post treatment visits by patients in our C-BEYOND Phase 3 clinical trial. The decrease in internal research and development expenses was primarily related to lower stock-based compensation expense in the three months ended June 30, 2026. </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i/>
          <w:color w:val="000000"/>
          <w:sz w:val="20"/>
        </w:rPr>
      </w:pPr>
      <w:r>
        <w:rPr>
          <w:rFonts w:ascii="Arial" w:hAnsi="Arial"/>
          <w:i/>
          <w:color w:val="000000"/>
          <w:sz w:val="20"/>
        </w:rPr>
        <w:t>General and Administrative Expenses</w:t>
      </w:r>
    </w:p>
    <w:p>
      <w:pPr>
        <w:pStyle w:val="TextBody"/>
        <w:bidi w:val="0"/>
        <w:spacing w:before="120" w:after="283"/>
        <w:jc w:val="left"/>
        <w:rPr>
          <w:rFonts w:ascii="Arial" w:hAnsi="Arial"/>
          <w:color w:val="000000"/>
          <w:sz w:val="20"/>
        </w:rPr>
      </w:pPr>
      <w:r>
        <w:rPr>
          <w:rFonts w:ascii="Arial" w:hAnsi="Arial"/>
          <w:color w:val="000000"/>
          <w:sz w:val="20"/>
        </w:rPr>
        <w:t>General and administrative expenses decreased by $2.1 million from $9.1 million for the three months ended June 30, 2025 to $7.0 million for the three months ended June 30, 2026. The net decrease was primarily related to lower stock-based compensation expense and lower professional fees.</w:t>
      </w:r>
    </w:p>
    <w:p>
      <w:pPr>
        <w:pStyle w:val="TextBody"/>
        <w:bidi w:val="0"/>
        <w:spacing w:before="240" w:after="283"/>
        <w:jc w:val="left"/>
        <w:rPr>
          <w:rFonts w:ascii="Arial" w:hAnsi="Arial"/>
          <w:i/>
          <w:color w:val="000000"/>
          <w:sz w:val="20"/>
        </w:rPr>
      </w:pPr>
      <w:r>
        <w:rPr>
          <w:rFonts w:ascii="Arial" w:hAnsi="Arial"/>
          <w:i/>
          <w:color w:val="000000"/>
          <w:sz w:val="20"/>
        </w:rPr>
        <w:t>Interest Income and Other, Net</w:t>
      </w:r>
    </w:p>
    <w:p>
      <w:pPr>
        <w:pStyle w:val="TextBody"/>
        <w:bidi w:val="0"/>
        <w:spacing w:before="120" w:after="283"/>
        <w:jc w:val="left"/>
        <w:rPr>
          <w:rFonts w:ascii="Arial" w:hAnsi="Arial"/>
          <w:color w:val="000000"/>
          <w:sz w:val="20"/>
        </w:rPr>
      </w:pPr>
      <w:r>
        <w:rPr>
          <w:rFonts w:ascii="Arial" w:hAnsi="Arial"/>
          <w:color w:val="000000"/>
          <w:sz w:val="20"/>
        </w:rPr>
        <w:t>Interest income and other, net, decreased by $2.2 million for the three months ended June 30, 2026 compared to the three months ended June 30, 2025, primarily due to lower investment balances.</w:t>
      </w:r>
    </w:p>
    <w:p>
      <w:pPr>
        <w:pStyle w:val="TextBody"/>
        <w:bidi w:val="0"/>
        <w:spacing w:before="240" w:after="283"/>
        <w:jc w:val="left"/>
        <w:rPr>
          <w:rFonts w:ascii="Arial" w:hAnsi="Arial"/>
          <w:i/>
          <w:color w:val="000000"/>
          <w:sz w:val="20"/>
        </w:rPr>
      </w:pPr>
      <w:r>
        <w:rPr>
          <w:rFonts w:ascii="Arial" w:hAnsi="Arial"/>
          <w:i/>
          <w:color w:val="000000"/>
          <w:sz w:val="20"/>
        </w:rPr>
        <w:t>Income Taxes</w:t>
      </w:r>
    </w:p>
    <w:p>
      <w:pPr>
        <w:pStyle w:val="TextBody"/>
        <w:bidi w:val="0"/>
        <w:spacing w:before="120" w:after="283"/>
        <w:jc w:val="left"/>
        <w:rPr>
          <w:rFonts w:ascii="Arial" w:hAnsi="Arial"/>
          <w:color w:val="000000"/>
          <w:sz w:val="20"/>
        </w:rPr>
      </w:pPr>
      <w:r>
        <w:rPr>
          <w:rFonts w:ascii="Arial" w:hAnsi="Arial"/>
          <w:color w:val="000000"/>
          <w:sz w:val="20"/>
        </w:rPr>
        <w:t>Income tax expense was $0.1 and $0.2 million for the three months ended June 30, 2026 and 2025, respectively.</w:t>
      </w:r>
    </w:p>
    <w:p>
      <w:pPr>
        <w:pStyle w:val="TextBody"/>
        <w:bidi w:val="0"/>
        <w:spacing w:before="240" w:after="283"/>
        <w:jc w:val="left"/>
        <w:rPr>
          <w:rFonts w:ascii="Arial" w:hAnsi="Arial"/>
          <w:b/>
          <w:i/>
          <w:color w:val="000000"/>
          <w:sz w:val="20"/>
        </w:rPr>
      </w:pPr>
      <w:r>
        <w:rPr>
          <w:rFonts w:ascii="Arial" w:hAnsi="Arial"/>
          <w:b/>
          <w:i/>
          <w:color w:val="000000"/>
          <w:sz w:val="20"/>
        </w:rPr>
        <w:t>Comparison of the Six Months Ended June 30, 2026 and 2025</w:t>
      </w:r>
    </w:p>
    <w:p>
      <w:pPr>
        <w:pStyle w:val="TextBody"/>
        <w:bidi w:val="0"/>
        <w:spacing w:before="120" w:after="283"/>
        <w:jc w:val="left"/>
        <w:rPr>
          <w:rFonts w:ascii="Arial" w:hAnsi="Arial"/>
          <w:color w:val="000000"/>
          <w:sz w:val="20"/>
        </w:rPr>
      </w:pPr>
      <w:r>
        <w:rPr>
          <w:rFonts w:ascii="Arial" w:hAnsi="Arial"/>
          <w:color w:val="000000"/>
          <w:sz w:val="20"/>
        </w:rPr>
        <w:t xml:space="preserve">The following table summarizes our results of operations for the periods indicated: </w:t>
      </w:r>
    </w:p>
    <w:p>
      <w:pPr>
        <w:pStyle w:val="TextBody"/>
        <w:bidi w:val="0"/>
        <w:jc w:val="left"/>
        <w:rPr/>
      </w:pPr>
      <w:r>
        <w:rPr/>
        <w:t> </w:t>
      </w:r>
    </w:p>
    <w:tbl>
      <w:tblPr>
        <w:tblW w:w="7058" w:type="dxa"/>
        <w:jc w:val="left"/>
        <w:tblInd w:w="0" w:type="dxa"/>
        <w:tblLayout w:type="fixed"/>
        <w:tblCellMar>
          <w:top w:w="28" w:type="dxa"/>
          <w:left w:w="28" w:type="dxa"/>
          <w:bottom w:w="28" w:type="dxa"/>
          <w:right w:w="28" w:type="dxa"/>
        </w:tblCellMar>
      </w:tblPr>
      <w:tblGrid>
        <w:gridCol w:w="3016"/>
        <w:gridCol w:w="146"/>
        <w:gridCol w:w="211"/>
        <w:gridCol w:w="751"/>
        <w:gridCol w:w="166"/>
        <w:gridCol w:w="146"/>
        <w:gridCol w:w="211"/>
        <w:gridCol w:w="751"/>
        <w:gridCol w:w="166"/>
        <w:gridCol w:w="146"/>
        <w:gridCol w:w="211"/>
        <w:gridCol w:w="646"/>
        <w:gridCol w:w="4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1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36"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Six Months Ended</w:t>
              <w:br/>
              <w:t>June 30,</w:t>
            </w:r>
          </w:p>
        </w:tc>
        <w:tc>
          <w:tcPr>
            <w:tcW w:w="16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7"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9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Change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7,425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(4,555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(7,276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and comprehensive loss</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(78,373</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(71,433</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(6,940</w:t>
            </w:r>
          </w:p>
        </w:tc>
        <w:tc>
          <w:tcPr>
            <w:tcW w:w="4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Research and Development Expenses</w:t>
      </w:r>
    </w:p>
    <w:p>
      <w:pPr>
        <w:pStyle w:val="TextBody"/>
        <w:bidi w:val="0"/>
        <w:spacing w:before="120" w:after="283"/>
        <w:jc w:val="left"/>
        <w:rPr>
          <w:rFonts w:ascii="Arial" w:hAnsi="Arial"/>
          <w:color w:val="000000"/>
          <w:sz w:val="20"/>
        </w:rPr>
      </w:pPr>
      <w:r>
        <w:rPr>
          <w:rFonts w:ascii="Arial" w:hAnsi="Arial"/>
          <w:color w:val="000000"/>
          <w:sz w:val="20"/>
        </w:rPr>
        <w:t xml:space="preserve">Research and development expenses increased by $7.4 million from $61.9 million for the six months ended June 30, 2025 to $69.3 million for the six months ended June 30, 2026. The net increase was primarily driven by an increase in external spend for our HCV Phase 3 clinical development and an increase in HEV preclinical development activities and initiation of HEV clinical development startup activities. The increase in external HCV Phase 3 clinical development expense was principally the result of the conduct of both C-BEYOND and C-FORWARD Phase 3 clinical trials in the six months ended June 30, 2026. The increase in external spend was partially offset by lower internal research and development expenses primarily related to lower salaries and wages and lower stock-based compensation expense in the six months ended June 30, 2026. </w:t>
      </w:r>
    </w:p>
    <w:p>
      <w:pPr>
        <w:pStyle w:val="TextBody"/>
        <w:bidi w:val="0"/>
        <w:spacing w:before="240" w:after="283"/>
        <w:jc w:val="left"/>
        <w:rPr>
          <w:rFonts w:ascii="Arial" w:hAnsi="Arial"/>
          <w:i/>
          <w:color w:val="000000"/>
          <w:sz w:val="20"/>
        </w:rPr>
      </w:pPr>
      <w:r>
        <w:rPr>
          <w:rFonts w:ascii="Arial" w:hAnsi="Arial"/>
          <w:i/>
          <w:color w:val="000000"/>
          <w:sz w:val="20"/>
        </w:rPr>
        <w:t>General and Administrative Expenses</w:t>
      </w:r>
    </w:p>
    <w:p>
      <w:pPr>
        <w:pStyle w:val="TextBody"/>
        <w:bidi w:val="0"/>
        <w:spacing w:before="120" w:after="283"/>
        <w:jc w:val="left"/>
        <w:rPr>
          <w:rFonts w:ascii="Arial" w:hAnsi="Arial"/>
          <w:color w:val="000000"/>
          <w:sz w:val="20"/>
        </w:rPr>
      </w:pPr>
      <w:r>
        <w:rPr>
          <w:rFonts w:ascii="Arial" w:hAnsi="Arial"/>
          <w:color w:val="000000"/>
          <w:sz w:val="20"/>
        </w:rPr>
        <w:t>General and administrative expenses decreased by $4.7 million from $18.5 million for the six months ended June 30, 2025 to $13.8 million for the six months ended June 30, 2026. The net decrease was primarily related to lower salaries and wages, lower stock-based compensation expense and lower professional fees.</w:t>
      </w:r>
    </w:p>
    <w:p>
      <w:pPr>
        <w:pStyle w:val="TextBody"/>
        <w:bidi w:val="0"/>
        <w:spacing w:before="240" w:after="283"/>
        <w:jc w:val="left"/>
        <w:rPr>
          <w:rFonts w:ascii="Arial" w:hAnsi="Arial"/>
          <w:i/>
          <w:color w:val="000000"/>
          <w:sz w:val="20"/>
        </w:rPr>
      </w:pPr>
      <w:r>
        <w:rPr>
          <w:rFonts w:ascii="Arial" w:hAnsi="Arial"/>
          <w:i/>
          <w:color w:val="000000"/>
          <w:sz w:val="20"/>
        </w:rPr>
        <w:t>Interest Income and Other, Net</w:t>
      </w:r>
    </w:p>
    <w:p>
      <w:pPr>
        <w:pStyle w:val="TextBody"/>
        <w:bidi w:val="0"/>
        <w:spacing w:before="120" w:after="283"/>
        <w:jc w:val="left"/>
        <w:rPr>
          <w:rFonts w:ascii="Arial" w:hAnsi="Arial"/>
          <w:color w:val="000000"/>
          <w:sz w:val="20"/>
        </w:rPr>
      </w:pPr>
      <w:r>
        <w:rPr>
          <w:rFonts w:ascii="Arial" w:hAnsi="Arial"/>
          <w:color w:val="000000"/>
          <w:sz w:val="20"/>
        </w:rPr>
        <w:t>Interest income and other, net, decreased by $4.6 million for the six months ended June 30, 2026 compared to the six months ended June 30, 2025, primarily due to lower investment balances.</w:t>
      </w:r>
    </w:p>
    <w:p>
      <w:pPr>
        <w:pStyle w:val="TextBody"/>
        <w:bidi w:val="0"/>
        <w:spacing w:before="240" w:after="283"/>
        <w:jc w:val="left"/>
        <w:rPr>
          <w:rFonts w:ascii="Arial" w:hAnsi="Arial"/>
          <w:i/>
          <w:color w:val="000000"/>
          <w:sz w:val="20"/>
        </w:rPr>
      </w:pPr>
      <w:r>
        <w:rPr>
          <w:rFonts w:ascii="Arial" w:hAnsi="Arial"/>
          <w:i/>
          <w:color w:val="000000"/>
          <w:sz w:val="20"/>
        </w:rPr>
        <w:t>Income Taxes</w:t>
      </w:r>
    </w:p>
    <w:p>
      <w:pPr>
        <w:pStyle w:val="TextBody"/>
        <w:bidi w:val="0"/>
        <w:spacing w:before="120" w:after="283"/>
        <w:jc w:val="left"/>
        <w:rPr>
          <w:rFonts w:ascii="Arial" w:hAnsi="Arial"/>
          <w:color w:val="000000"/>
          <w:sz w:val="20"/>
        </w:rPr>
      </w:pPr>
      <w:r>
        <w:rPr>
          <w:rFonts w:ascii="Arial" w:hAnsi="Arial"/>
          <w:color w:val="000000"/>
          <w:sz w:val="20"/>
        </w:rPr>
        <w:t>Income tax expense was $0.1 and $0.4 million for the six months ended June 30, 2026 and 2025, respectively.</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0"/>
        </w:rPr>
      </w:pPr>
      <w:r>
        <w:rPr>
          <w:rFonts w:ascii="Arial" w:hAnsi="Arial"/>
          <w:b/>
          <w:color w:val="000000"/>
          <w:sz w:val="20"/>
        </w:rPr>
        <w:t>Liquidity and Capital Resources</w:t>
      </w:r>
      <w:r>
        <w:rPr>
          <w:rFonts w:ascii="Arial" w:hAnsi="Arial"/>
          <w:color w:val="000000"/>
          <w:sz w:val="20"/>
        </w:rPr>
        <w:t xml:space="preserve"> </w:t>
      </w:r>
    </w:p>
    <w:p>
      <w:pPr>
        <w:pStyle w:val="TextBody"/>
        <w:bidi w:val="0"/>
        <w:spacing w:before="240" w:after="283"/>
        <w:jc w:val="left"/>
        <w:rPr>
          <w:rFonts w:ascii="Arial" w:hAnsi="Arial"/>
          <w:b/>
          <w:i/>
          <w:color w:val="000000"/>
          <w:sz w:val="20"/>
        </w:rPr>
      </w:pPr>
      <w:r>
        <w:rPr>
          <w:rFonts w:ascii="Arial" w:hAnsi="Arial"/>
          <w:b/>
          <w:i/>
          <w:color w:val="000000"/>
          <w:sz w:val="20"/>
        </w:rPr>
        <w:t>Sources of Liquidity</w:t>
      </w:r>
    </w:p>
    <w:p>
      <w:pPr>
        <w:pStyle w:val="TextBody"/>
        <w:bidi w:val="0"/>
        <w:spacing w:before="120" w:after="283"/>
        <w:jc w:val="left"/>
        <w:rPr>
          <w:rFonts w:ascii="Arial" w:hAnsi="Arial"/>
          <w:color w:val="000000"/>
          <w:sz w:val="20"/>
        </w:rPr>
      </w:pPr>
      <w:r>
        <w:rPr>
          <w:rFonts w:ascii="Arial" w:hAnsi="Arial"/>
          <w:color w:val="000000"/>
          <w:sz w:val="20"/>
        </w:rPr>
        <w:t>As of June 30, 2026, we had cash, cash equivalents and marketable securities of $219.5 million. We believe that our available cash and investments will be sufficient to fund our planned operations through 2027 including the completion of the Phase 3 program evaluating the regimen of BEM/RZR for the treatment of HCV. We have based this estimate on assumptions that may prove to be wrong and we could exhaust our available capital resources sooner than we expect.</w:t>
      </w:r>
    </w:p>
    <w:p>
      <w:pPr>
        <w:pStyle w:val="TextBody"/>
        <w:bidi w:val="0"/>
        <w:spacing w:before="120" w:after="283"/>
        <w:jc w:val="left"/>
        <w:rPr>
          <w:rFonts w:ascii="Arial" w:hAnsi="Arial"/>
          <w:color w:val="000000"/>
          <w:sz w:val="20"/>
        </w:rPr>
      </w:pPr>
      <w:r>
        <w:rPr>
          <w:rFonts w:ascii="Arial" w:hAnsi="Arial"/>
          <w:color w:val="000000"/>
          <w:sz w:val="20"/>
        </w:rPr>
        <w:t>We are party to an amended and restated open market sales agreement ("Sales Agreement") with Jefferies LLC ("Jefferies"), pursuant to which we may from time to time offer and sell shares of our Common Stock for an aggregate offering price of up to $200.0 million, through or to Jefferies, acting as sales agent or principal. We have agreed to pay Jefferies a commission of up to 3.0% of the aggregate gross proceeds from each sale of shares, reimburse legal fees and disbursements and provide Jefferies with customary indemnification and contribution rights. As of June 30, 2026, no shares have been issued under the Sales Agreement. The shares will be offered and sold under the Company's shelf registration statement on Form S-3 declared effective by the SEC on November 19, 2024.</w:t>
      </w:r>
    </w:p>
    <w:p>
      <w:pPr>
        <w:pStyle w:val="TextBody"/>
        <w:bidi w:val="0"/>
        <w:spacing w:before="240" w:after="283"/>
        <w:jc w:val="left"/>
        <w:rPr>
          <w:rFonts w:ascii="Arial" w:hAnsi="Arial"/>
          <w:sz w:val="20"/>
        </w:rPr>
      </w:pPr>
      <w:r>
        <w:rPr>
          <w:rFonts w:ascii="Arial" w:hAnsi="Arial"/>
          <w:b/>
          <w:i/>
          <w:color w:val="000000"/>
          <w:sz w:val="20"/>
        </w:rPr>
        <w:t>Future Funding Requirements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To date, we have not generated any product revenue. We do not expect to generate any product revenue unless and until we obtain regulatory approval of and commercialize any of our product candidates and we do not know when, or if, this will occur. We expect to continue to incur significant expenditures for the foreseeable future as we continue the development of, and seek regulatory approvals for, our product candidates, and prepare for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 Moreover, we expect to incur additional general and administrative costs, including selling costs, as we continue to operate as a public company and potentially expand our organization to support and otherwise initiate additional activities in preparation for potential commercialization of the regimen of BEM/RZR. </w:t>
      </w:r>
    </w:p>
    <w:p>
      <w:pPr>
        <w:pStyle w:val="TextBody"/>
        <w:bidi w:val="0"/>
        <w:spacing w:before="120" w:after="283"/>
        <w:jc w:val="left"/>
        <w:rPr>
          <w:rFonts w:ascii="Arial" w:hAnsi="Arial"/>
          <w:color w:val="000000"/>
          <w:sz w:val="20"/>
        </w:rPr>
      </w:pPr>
      <w:r>
        <w:rPr>
          <w:rFonts w:ascii="Arial" w:hAnsi="Arial"/>
          <w:color w:val="000000"/>
          <w:sz w:val="20"/>
        </w:rPr>
        <w:t xml:space="preserve">We will continue to invest significant capital to develop our product candidates and fund operations for the foreseeable future. To fund such investment, we may seek to raise capital through public or private equity or debt financings, collaborative arrangements with third parties, or through other sources of financing. We anticipate that we may need to raise substantial additional capital, the requirements for which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timing, rate of progress and costs of our Phase 3 program, including in particular the completion of our Phase 3 clinical trial, C-FORWARD, evaluating BEM/RZR for the treatment of HCV and our other drug discovery efforts, preclinical development activities, laboratory testing and clinical trials for other product candidates including AT-587 for the treatment of HEV;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scope and terms of strategic collaborations we enter into to strengthen our capabilities to commercialize the regimen of BEM/RZR,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number and scope of additional clinical programs we decide to pursue;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timing and outcome of preparing for and undergoing regulatory review of our regimen of BEM/RZR for the treatment of HCV and any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and costs of development and commercial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and timing associated with commercializing regimen of BEM/RZR for the treatment of HCV and any other product candidates, if they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extent to which we 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establish and maintain collaborations on favorable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attract, hire and retain qualified personnel, including personnel to support the development of our product candidates and, if approved, the commercialization of our products; </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maintenance and enhancement of operational, financial and management systems;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associated with being a public company. </w:t>
      </w:r>
    </w:p>
    <w:p>
      <w:pPr>
        <w:pStyle w:val="TextBody"/>
        <w:bidi w:val="0"/>
        <w:spacing w:before="120" w:after="283"/>
        <w:jc w:val="left"/>
        <w:rPr>
          <w:rFonts w:ascii="Arial" w:hAnsi="Arial"/>
          <w:color w:val="000000"/>
          <w:sz w:val="20"/>
        </w:rPr>
      </w:pPr>
      <w:r>
        <w:rPr>
          <w:rFonts w:ascii="Arial" w:hAnsi="Arial"/>
          <w:color w:val="000000"/>
          <w:sz w:val="20"/>
        </w:rPr>
        <w:t>A change in the outcome of any of these or other variables with respect to any of our product candidates could significantly change the costs and timing associated with the development or potential commercialization of one or more of our product candidates.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that we enter into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pStyle w:val="TextBody"/>
        <w:bidi w:val="0"/>
        <w:spacing w:before="120" w:after="283"/>
        <w:jc w:val="left"/>
        <w:rPr>
          <w:rFonts w:ascii="Arial" w:hAnsi="Arial"/>
          <w:color w:val="000000"/>
          <w:sz w:val="20"/>
        </w:rPr>
      </w:pPr>
      <w:r>
        <w:rPr>
          <w:rFonts w:ascii="Arial" w:hAnsi="Arial"/>
          <w:color w:val="000000"/>
          <w:sz w:val="20"/>
        </w:rPr>
        <w:t xml:space="preserve">Adequate funding may not be available to us on acceptable terms or at all. Our failure to raise capital as and when needed could have a negative impact on our financial condition and our ability to pursue our business strategies. If we are unable to raise additional funds when needed, we may be required to delay, reduce, or terminate some or all of our development programs, clinical trials and commercialization activities or we may also be required to sell or license to others rights to our product candidates in certain territories or indications that we would prefer to develop and commercialize ourselves. If we are required to enter into collaborations and other arrangements to supplement our funds, we may have to give up certain rights that limit our ability to develop and commercialize our product candidates or may have other terms that are not favorable to us or our stockholders, which could materially affect our business and financial condition. </w:t>
      </w:r>
    </w:p>
    <w:p>
      <w:pPr>
        <w:pStyle w:val="TextBody"/>
        <w:bidi w:val="0"/>
        <w:spacing w:before="120" w:after="283"/>
        <w:jc w:val="left"/>
        <w:rPr>
          <w:rFonts w:ascii="Arial" w:hAnsi="Arial"/>
          <w:color w:val="000000"/>
          <w:sz w:val="20"/>
        </w:rPr>
      </w:pPr>
      <w:r>
        <w:rPr>
          <w:rFonts w:ascii="Arial" w:hAnsi="Arial"/>
          <w:color w:val="000000"/>
          <w:sz w:val="20"/>
        </w:rPr>
        <w:t>Market volatility, inflation, interest rate fluctuations and other macroeconomic trends and geopolitical events, including civil or political unrest and terrorism, may have a significant impact on the availability of funding sources and the terms on which any funding may be available.</w:t>
      </w:r>
    </w:p>
    <w:p>
      <w:pPr>
        <w:pStyle w:val="TextBody"/>
        <w:bidi w:val="0"/>
        <w:spacing w:before="120" w:after="283"/>
        <w:jc w:val="left"/>
        <w:rPr>
          <w:rFonts w:ascii="Arial" w:hAnsi="Arial"/>
          <w:sz w:val="20"/>
        </w:rPr>
      </w:pPr>
      <w:r>
        <w:rPr>
          <w:rFonts w:ascii="Arial" w:hAnsi="Arial"/>
          <w:color w:val="000000"/>
          <w:sz w:val="20"/>
        </w:rPr>
        <w:t xml:space="preserve">See </w:t>
      </w:r>
      <w:r>
        <w:rPr>
          <w:rFonts w:ascii="Arial" w:hAnsi="Arial"/>
          <w:i/>
          <w:color w:val="000000"/>
          <w:sz w:val="20"/>
        </w:rPr>
        <w:t>Part II, Item 1A,“Risk Factors”</w:t>
      </w:r>
      <w:r>
        <w:rPr>
          <w:rFonts w:ascii="Arial" w:hAnsi="Arial"/>
          <w:color w:val="000000"/>
          <w:sz w:val="20"/>
        </w:rPr>
        <w:t xml:space="preserve"> for additional risks associated with our substantial capital requirements. </w:t>
      </w:r>
    </w:p>
    <w:p>
      <w:pPr>
        <w:pStyle w:val="TextBody"/>
        <w:bidi w:val="0"/>
        <w:spacing w:before="240" w:after="283"/>
        <w:jc w:val="left"/>
        <w:rPr>
          <w:rFonts w:ascii="Arial" w:hAnsi="Arial"/>
          <w:sz w:val="20"/>
        </w:rPr>
      </w:pPr>
      <w:r>
        <w:rPr>
          <w:rFonts w:ascii="Arial" w:hAnsi="Arial"/>
          <w:b/>
          <w:i/>
          <w:color w:val="000000"/>
          <w:sz w:val="20"/>
        </w:rPr>
        <w:t>Summary Statements of Cash Flows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The following table sets forth the primary sources and uses of cash and cash equivalents for each of the periods presented below: </w:t>
      </w:r>
    </w:p>
    <w:tbl>
      <w:tblPr>
        <w:tblW w:w="7704" w:type="dxa"/>
        <w:jc w:val="left"/>
        <w:tblInd w:w="0" w:type="dxa"/>
        <w:tblLayout w:type="fixed"/>
        <w:tblCellMar>
          <w:top w:w="28" w:type="dxa"/>
          <w:left w:w="28" w:type="dxa"/>
          <w:bottom w:w="28" w:type="dxa"/>
          <w:right w:w="28" w:type="dxa"/>
        </w:tblCellMar>
      </w:tblPr>
      <w:tblGrid>
        <w:gridCol w:w="4786"/>
        <w:gridCol w:w="146"/>
        <w:gridCol w:w="211"/>
        <w:gridCol w:w="751"/>
        <w:gridCol w:w="166"/>
        <w:gridCol w:w="146"/>
        <w:gridCol w:w="211"/>
        <w:gridCol w:w="796"/>
        <w:gridCol w:w="49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78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81"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Six Months Ended</w:t>
              <w:br/>
              <w:t>June 30,</w:t>
            </w:r>
          </w:p>
        </w:tc>
        <w:tc>
          <w:tcPr>
            <w:tcW w:w="49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4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(63,433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100,898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(14,440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and cash equivalents</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(19,165</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23,025</w:t>
            </w:r>
          </w:p>
        </w:tc>
        <w:tc>
          <w:tcPr>
            <w:tcW w:w="4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Cash Flows from Operating Activities</w:t>
      </w:r>
    </w:p>
    <w:p>
      <w:pPr>
        <w:pStyle w:val="TextBody"/>
        <w:bidi w:val="0"/>
        <w:spacing w:before="120" w:after="283"/>
        <w:jc w:val="left"/>
        <w:rPr>
          <w:rFonts w:ascii="Arial" w:hAnsi="Arial"/>
          <w:color w:val="000000"/>
          <w:sz w:val="20"/>
        </w:rPr>
      </w:pPr>
      <w:r>
        <w:rPr>
          <w:rFonts w:ascii="Arial" w:hAnsi="Arial"/>
          <w:color w:val="000000"/>
          <w:sz w:val="20"/>
        </w:rPr>
        <w:t xml:space="preserve">Net cash used in operating activities for the six months ended June 30, 2026 was $83.5 million. Cash used in operating activities was primarily due to a net loss of $78.4 million, accretion of premium and discounts on marketable securities of $1.1 million, a decrease in accounts payable and accrued expenses and other liabilities of $11.3 million, partially offset by stock-based compensation expense of $7.1 million. </w:t>
      </w:r>
    </w:p>
    <w:p>
      <w:pPr>
        <w:pStyle w:val="TextBody"/>
        <w:bidi w:val="0"/>
        <w:spacing w:before="120" w:after="283"/>
        <w:jc w:val="left"/>
        <w:rPr>
          <w:rFonts w:ascii="Arial" w:hAnsi="Arial"/>
          <w:color w:val="000000"/>
          <w:sz w:val="20"/>
        </w:rPr>
      </w:pPr>
      <w:r>
        <w:rPr>
          <w:rFonts w:ascii="Arial" w:hAnsi="Arial"/>
          <w:color w:val="000000"/>
          <w:sz w:val="20"/>
        </w:rPr>
        <w:t>Net cash used in operating activities for the six months ended June 30, 2025 was $63.4 million. Cash used in operating activities was primarily due to a net loss of $71.4 million, accretion of premium and discounts on marketable securities of $3.1 million, and an increase in other assets of $4.2 million, partially offset by stock-based compensation of $11.6 million, an increase in accounts payable and accrued expenses of $1.8 million and a decrease in prepaid expenses and other current assets of $1.7 million.</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i/>
          <w:color w:val="000000"/>
          <w:sz w:val="20"/>
        </w:rPr>
      </w:pPr>
      <w:r>
        <w:rPr>
          <w:rFonts w:ascii="Arial" w:hAnsi="Arial"/>
          <w:i/>
          <w:color w:val="000000"/>
          <w:sz w:val="20"/>
        </w:rPr>
        <w:t>Cash Flows from Investing Activities</w:t>
      </w:r>
    </w:p>
    <w:p>
      <w:pPr>
        <w:pStyle w:val="TextBody"/>
        <w:bidi w:val="0"/>
        <w:spacing w:before="120" w:after="283"/>
        <w:jc w:val="left"/>
        <w:rPr>
          <w:rFonts w:ascii="Arial" w:hAnsi="Arial"/>
          <w:color w:val="000000"/>
          <w:sz w:val="20"/>
        </w:rPr>
      </w:pPr>
      <w:r>
        <w:rPr>
          <w:rFonts w:ascii="Arial" w:hAnsi="Arial"/>
          <w:color w:val="000000"/>
          <w:sz w:val="20"/>
        </w:rPr>
        <w:t xml:space="preserve">Net cash provided by investing activities for the six months ended June 30, 2026 was $64.1 million and consisted of sales and maturities of marketable securities of $172.4 million partially offset by purchases of marketable securities of $108.4 million. </w:t>
      </w:r>
    </w:p>
    <w:p>
      <w:pPr>
        <w:pStyle w:val="TextBody"/>
        <w:bidi w:val="0"/>
        <w:spacing w:before="120" w:after="283"/>
        <w:jc w:val="left"/>
        <w:rPr>
          <w:rFonts w:ascii="Arial" w:hAnsi="Arial"/>
          <w:color w:val="000000"/>
          <w:sz w:val="20"/>
        </w:rPr>
      </w:pPr>
      <w:r>
        <w:rPr>
          <w:rFonts w:ascii="Arial" w:hAnsi="Arial"/>
          <w:color w:val="000000"/>
          <w:sz w:val="20"/>
        </w:rPr>
        <w:t>Net cash provided by investing activities for the six months ended June 30, 2025 was $100.9 million and consisted of sales and maturities of marketable securities of $324.3 million partially offset by purchases of marketable securities of $223.4 million.</w:t>
      </w:r>
    </w:p>
    <w:p>
      <w:pPr>
        <w:pStyle w:val="TextBody"/>
        <w:bidi w:val="0"/>
        <w:spacing w:before="240" w:after="283"/>
        <w:jc w:val="left"/>
        <w:rPr>
          <w:rFonts w:ascii="Arial" w:hAnsi="Arial"/>
          <w:i/>
          <w:color w:val="000000"/>
          <w:sz w:val="20"/>
        </w:rPr>
      </w:pPr>
      <w:r>
        <w:rPr>
          <w:rFonts w:ascii="Arial" w:hAnsi="Arial"/>
          <w:i/>
          <w:color w:val="000000"/>
          <w:sz w:val="20"/>
        </w:rPr>
        <w:t>Cash Flows from Financing Activities</w:t>
      </w:r>
    </w:p>
    <w:p>
      <w:pPr>
        <w:pStyle w:val="TextBody"/>
        <w:bidi w:val="0"/>
        <w:spacing w:before="120" w:after="283"/>
        <w:jc w:val="left"/>
        <w:rPr>
          <w:rFonts w:ascii="Arial" w:hAnsi="Arial"/>
          <w:color w:val="000000"/>
          <w:sz w:val="20"/>
        </w:rPr>
      </w:pPr>
      <w:r>
        <w:rPr>
          <w:rFonts w:ascii="Arial" w:hAnsi="Arial"/>
          <w:color w:val="000000"/>
          <w:sz w:val="20"/>
        </w:rPr>
        <w:t xml:space="preserve">Net cash provided by financing activities for the six months ended June 30, 2026 was $0.3 million and consisted of $0.9 million in proceeds from the exercise of stock options and $0.1 million in proceeds from the issuance of our Common Stock under our employee stock purchase plan (“ESPP”) offset by $0.7 million used in connection with the net settlement of vested restricted stock units. </w:t>
      </w:r>
    </w:p>
    <w:p>
      <w:pPr>
        <w:pStyle w:val="TextBody"/>
        <w:bidi w:val="0"/>
        <w:spacing w:before="120" w:after="283"/>
        <w:jc w:val="left"/>
        <w:rPr>
          <w:rFonts w:ascii="Arial" w:hAnsi="Arial"/>
          <w:color w:val="000000"/>
          <w:sz w:val="20"/>
        </w:rPr>
      </w:pPr>
      <w:r>
        <w:rPr>
          <w:rFonts w:ascii="Arial" w:hAnsi="Arial"/>
          <w:color w:val="000000"/>
          <w:sz w:val="20"/>
        </w:rPr>
        <w:t>Net cash used in financing activities for the six months ended June 30, 2025 was $14.4 million and consisted of stock repurchases of $14.1 million and net issuance of restricted stock units of $0.5 million, partially offset by proceeds from the issuance of our common stock under our ESPP of $0.1 million.</w:t>
      </w:r>
    </w:p>
    <w:p>
      <w:pPr>
        <w:pStyle w:val="TextBody"/>
        <w:bidi w:val="0"/>
        <w:spacing w:before="240" w:after="283"/>
        <w:jc w:val="left"/>
        <w:rPr>
          <w:rFonts w:ascii="Arial" w:hAnsi="Arial"/>
          <w:b/>
          <w:color w:val="000000"/>
          <w:sz w:val="20"/>
        </w:rPr>
      </w:pPr>
      <w:r>
        <w:rPr>
          <w:rFonts w:ascii="Arial" w:hAnsi="Arial"/>
          <w:b/>
          <w:color w:val="000000"/>
          <w:sz w:val="20"/>
        </w:rPr>
        <w:t>Contractual Obligations and Commitments</w:t>
      </w:r>
    </w:p>
    <w:p>
      <w:pPr>
        <w:pStyle w:val="TextBody"/>
        <w:bidi w:val="0"/>
        <w:spacing w:before="120" w:after="283"/>
        <w:jc w:val="left"/>
        <w:rPr>
          <w:rFonts w:ascii="Arial" w:hAnsi="Arial"/>
          <w:color w:val="000000"/>
          <w:sz w:val="20"/>
        </w:rPr>
      </w:pPr>
      <w:r>
        <w:rPr>
          <w:rFonts w:ascii="Arial" w:hAnsi="Arial"/>
          <w:color w:val="000000"/>
          <w:sz w:val="20"/>
        </w:rPr>
        <w:t>There have been no material changes to our contractual obligations during the six months ended June 30, 2026 from those previously disclosed in our Annual Report on Form 10-K for the year ended December 31, 2025.</w:t>
      </w:r>
    </w:p>
    <w:p>
      <w:pPr>
        <w:pStyle w:val="TextBody"/>
        <w:bidi w:val="0"/>
        <w:spacing w:before="120" w:after="283"/>
        <w:jc w:val="left"/>
        <w:rPr>
          <w:rFonts w:ascii="Arial" w:hAnsi="Arial"/>
          <w:color w:val="000000"/>
          <w:sz w:val="20"/>
        </w:rPr>
      </w:pPr>
      <w:r>
        <w:rPr>
          <w:rFonts w:ascii="Arial" w:hAnsi="Arial"/>
          <w:color w:val="000000"/>
          <w:sz w:val="20"/>
        </w:rPr>
        <w:t>We enter into contracts in the normal course of business with CROs for preclinical and clinical studies and testing, CMOs for manufacture and supply of our clinical trial materials and other third parties for other services and products used for operating purposes. These contracts do not contain any minimum purchase commitments and generally provide for termination following a certain period after notice, and therefore we believe that our non-cancelable obligations under these agreements are not material. Payments due upon cancelation principally consist only of payments for services provided and expenses incurred up to the date of cancelation.</w:t>
      </w:r>
    </w:p>
    <w:p>
      <w:pPr>
        <w:pStyle w:val="TextBody"/>
        <w:bidi w:val="0"/>
        <w:spacing w:before="240" w:after="283"/>
        <w:jc w:val="left"/>
        <w:rPr>
          <w:rFonts w:ascii="Arial" w:hAnsi="Arial"/>
          <w:b/>
          <w:color w:val="000000"/>
          <w:sz w:val="20"/>
        </w:rPr>
      </w:pPr>
      <w:r>
        <w:rPr>
          <w:rFonts w:ascii="Arial" w:hAnsi="Arial"/>
          <w:b/>
          <w:color w:val="000000"/>
          <w:sz w:val="20"/>
        </w:rPr>
        <w:t>Critical Accounting Policies and Estimates</w:t>
      </w:r>
    </w:p>
    <w:p>
      <w:pPr>
        <w:pStyle w:val="TextBody"/>
        <w:bidi w:val="0"/>
        <w:spacing w:before="120" w:after="283"/>
        <w:jc w:val="left"/>
        <w:rPr>
          <w:rFonts w:ascii="Arial" w:hAnsi="Arial"/>
          <w:color w:val="000000"/>
          <w:sz w:val="20"/>
        </w:rPr>
      </w:pPr>
      <w:r>
        <w:rPr>
          <w:rFonts w:ascii="Arial" w:hAnsi="Arial"/>
          <w:color w:val="000000"/>
          <w:sz w:val="20"/>
        </w:rPr>
        <w:t>Our financial statements have been prepared in accordance with US generally accepted accounting principles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The effects of material revisions in estimates, if any, will be reflected in the consolidated financial statements prospectively from the date of change in estimates.</w:t>
      </w:r>
    </w:p>
    <w:p>
      <w:pPr>
        <w:pStyle w:val="TextBody"/>
        <w:bidi w:val="0"/>
        <w:spacing w:before="120" w:after="283"/>
        <w:jc w:val="left"/>
        <w:rPr>
          <w:rFonts w:ascii="Arial" w:hAnsi="Arial"/>
          <w:color w:val="000000"/>
          <w:sz w:val="20"/>
        </w:rPr>
      </w:pPr>
      <w:r>
        <w:rPr>
          <w:rFonts w:ascii="Arial" w:hAnsi="Arial"/>
          <w:color w:val="000000"/>
          <w:sz w:val="20"/>
        </w:rPr>
        <w:t>Our critical accounting policies are those policies that require the most significant judgments and estimates in the preparation of the financial statements. Management has determined that our most critical accounting policies are those relating to revenue recognition, accrued research and development expenses and stock-based compensation.</w:t>
      </w:r>
    </w:p>
    <w:p>
      <w:pPr>
        <w:pStyle w:val="TextBody"/>
        <w:bidi w:val="0"/>
        <w:spacing w:before="240" w:after="283"/>
        <w:jc w:val="left"/>
        <w:rPr>
          <w:rFonts w:ascii="Arial" w:hAnsi="Arial"/>
          <w:b/>
          <w:color w:val="000000"/>
          <w:sz w:val="20"/>
        </w:rPr>
      </w:pPr>
      <w:r>
        <w:rPr>
          <w:rFonts w:ascii="Arial" w:hAnsi="Arial"/>
          <w:b/>
          <w:color w:val="000000"/>
          <w:sz w:val="20"/>
        </w:rPr>
        <w:t>Indemnification Agreements</w:t>
      </w:r>
    </w:p>
    <w:p>
      <w:pPr>
        <w:pStyle w:val="TextBody"/>
        <w:bidi w:val="0"/>
        <w:spacing w:before="120" w:after="283"/>
        <w:jc w:val="left"/>
        <w:rPr>
          <w:rFonts w:ascii="Arial" w:hAnsi="Arial"/>
          <w:color w:val="000000"/>
          <w:sz w:val="20"/>
        </w:rPr>
      </w:pPr>
      <w:r>
        <w:rPr>
          <w:rFonts w:ascii="Arial" w:hAnsi="Arial"/>
          <w:color w:val="000000"/>
          <w:sz w:val="20"/>
        </w:rPr>
        <w:t>We enter into standard indemnification arrangements in the ordinary course of business. Pursuant to these arrangements, we indemnify, hold harmless and agree to reimburse the indemnified parties for losses suffered or incurred by the indemnified party, including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pStyle w:val="TextBody"/>
        <w:bidi w:val="0"/>
        <w:spacing w:before="120" w:after="283"/>
        <w:jc w:val="left"/>
        <w:rPr>
          <w:rFonts w:ascii="Arial" w:hAnsi="Arial"/>
          <w:color w:val="000000"/>
          <w:sz w:val="20"/>
        </w:rPr>
      </w:pPr>
      <w:r>
        <w:rPr>
          <w:rFonts w:ascii="Arial" w:hAnsi="Arial"/>
          <w:color w:val="000000"/>
          <w:sz w:val="20"/>
        </w:rPr>
        <w:t xml:space="preserve">We have also agreed to indemnify our directors and officers for certain events or occurrences while the director or officer is, or was serving, at our request in such capacity. The indemnification period covers all pertinent events and occurrences during the director’s or officer’s service. The maximum potential amount of future payments we </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could be required to make under these indemnification agreements is not specified in the agreements; however, we have director and officer insurance coverage that is intended to reduce our exposure and enable us to recover a portion of any future amounts paid. We believe the estimated fair value of these indemnification agreements in excess of applicable insurance coverage is minimal.</w:t>
      </w:r>
    </w:p>
    <w:p>
      <w:pPr>
        <w:pStyle w:val="TextBody"/>
        <w:bidi w:val="0"/>
        <w:jc w:val="left"/>
        <w:rPr/>
      </w:pPr>
      <w:r>
        <w:rPr/>
        <w:t> </w:t>
      </w:r>
    </w:p>
    <w:p>
      <w:pPr>
        <w:pStyle w:val="TextBody"/>
        <w:bidi w:val="0"/>
        <w:spacing w:before="240" w:after="283"/>
        <w:jc w:val="left"/>
        <w:rPr>
          <w:rFonts w:ascii="Arial" w:hAnsi="Arial"/>
          <w:b/>
          <w:color w:val="000000"/>
          <w:sz w:val="20"/>
        </w:rPr>
      </w:pPr>
      <w:bookmarkStart w:id="14" w:name="item_3_quantitative_qualitative_disclosu"/>
      <w:bookmarkEnd w:id="14"/>
      <w:r>
        <w:rPr>
          <w:rFonts w:ascii="Arial" w:hAnsi="Arial"/>
          <w:b/>
          <w:color w:val="000000"/>
          <w:sz w:val="20"/>
        </w:rPr>
        <w:t>Item 3. Quantitative and Qualitative Disclosures About Market Risk.</w:t>
      </w:r>
    </w:p>
    <w:p>
      <w:pPr>
        <w:pStyle w:val="TextBody"/>
        <w:bidi w:val="0"/>
        <w:spacing w:before="240" w:after="283"/>
        <w:jc w:val="left"/>
        <w:rPr>
          <w:rFonts w:ascii="Arial" w:hAnsi="Arial"/>
          <w:b/>
          <w:i/>
          <w:color w:val="000000"/>
          <w:sz w:val="20"/>
        </w:rPr>
      </w:pPr>
      <w:r>
        <w:rPr>
          <w:rFonts w:ascii="Arial" w:hAnsi="Arial"/>
          <w:b/>
          <w:i/>
          <w:color w:val="000000"/>
          <w:sz w:val="20"/>
        </w:rPr>
        <w:t>Interest Rate Sensitivity</w:t>
      </w:r>
    </w:p>
    <w:p>
      <w:pPr>
        <w:pStyle w:val="TextBody"/>
        <w:bidi w:val="0"/>
        <w:spacing w:before="120" w:after="283"/>
        <w:jc w:val="left"/>
        <w:rPr>
          <w:rFonts w:ascii="Arial" w:hAnsi="Arial"/>
          <w:color w:val="000000"/>
          <w:sz w:val="20"/>
        </w:rPr>
      </w:pPr>
      <w:r>
        <w:rPr>
          <w:rFonts w:ascii="Arial" w:hAnsi="Arial"/>
          <w:color w:val="000000"/>
          <w:sz w:val="20"/>
        </w:rPr>
        <w:t>The market risk inherent in our financial instruments and in our financial position represents the potential loss arising from adverse changes in interest rates or exchange rates. As of June 30, 2026, we had cash, cash equivalents and marketable securities of $219.5 million, consisting of interest-bearing money market funds, US Treasury obligations, asset-backed securities, commercial paper and corporate bonds for which the fair value would be affected by changes in the general level of US interest rates. However, due to the short-term maturities and the low-risk profile of our cash equivalents, an immediate 10% relative change in interest rates would not have a material effect on the fair value of our cash equivalents or on our future interest income.</w:t>
      </w:r>
    </w:p>
    <w:p>
      <w:pPr>
        <w:pStyle w:val="TextBody"/>
        <w:bidi w:val="0"/>
        <w:spacing w:before="120" w:after="283"/>
        <w:jc w:val="left"/>
        <w:rPr>
          <w:rFonts w:ascii="Arial" w:hAnsi="Arial"/>
          <w:color w:val="000000"/>
          <w:sz w:val="20"/>
        </w:rPr>
      </w:pPr>
      <w:r>
        <w:rPr>
          <w:rFonts w:ascii="Arial" w:hAnsi="Arial"/>
          <w:color w:val="000000"/>
          <w:sz w:val="20"/>
        </w:rPr>
        <w:t>We do not believe that inflation, interest rate changes or foreign currency exchange rate fluctuations have had a significant impact on our results of operations for any periods presented herein.</w:t>
      </w:r>
    </w:p>
    <w:p>
      <w:pPr>
        <w:pStyle w:val="TextBody"/>
        <w:bidi w:val="0"/>
        <w:spacing w:before="240" w:after="283"/>
        <w:jc w:val="left"/>
        <w:rPr>
          <w:rFonts w:ascii="Arial" w:hAnsi="Arial"/>
          <w:b/>
          <w:color w:val="000000"/>
          <w:sz w:val="20"/>
        </w:rPr>
      </w:pPr>
      <w:bookmarkStart w:id="15" w:name="item_4_controls_procedures"/>
      <w:bookmarkEnd w:id="15"/>
      <w:r>
        <w:rPr>
          <w:rFonts w:ascii="Arial" w:hAnsi="Arial"/>
          <w:b/>
          <w:color w:val="000000"/>
          <w:sz w:val="20"/>
        </w:rPr>
        <w:t>Item 4. Controls and Procedures.</w:t>
      </w:r>
    </w:p>
    <w:p>
      <w:pPr>
        <w:pStyle w:val="TextBody"/>
        <w:bidi w:val="0"/>
        <w:spacing w:before="240" w:after="283"/>
        <w:jc w:val="left"/>
        <w:rPr>
          <w:rFonts w:ascii="Arial" w:hAnsi="Arial"/>
          <w:b/>
          <w:color w:val="000000"/>
          <w:sz w:val="20"/>
        </w:rPr>
      </w:pPr>
      <w:r>
        <w:rPr>
          <w:rFonts w:ascii="Arial" w:hAnsi="Arial"/>
          <w:b/>
          <w:color w:val="000000"/>
          <w:sz w:val="20"/>
        </w:rPr>
        <w:t>Limitations on Effectiveness of Controls and Procedures</w:t>
      </w:r>
    </w:p>
    <w:p>
      <w:pPr>
        <w:pStyle w:val="TextBody"/>
        <w:bidi w:val="0"/>
        <w:spacing w:before="120" w:after="283"/>
        <w:jc w:val="left"/>
        <w:rPr>
          <w:rFonts w:ascii="Arial" w:hAnsi="Arial"/>
          <w:color w:val="000000"/>
          <w:sz w:val="20"/>
        </w:rPr>
      </w:pPr>
      <w:r>
        <w:rPr>
          <w:rFonts w:ascii="Arial" w:hAnsi="Arial"/>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240" w:after="283"/>
        <w:jc w:val="left"/>
        <w:rPr>
          <w:rFonts w:ascii="Arial" w:hAnsi="Arial"/>
          <w:b/>
          <w:color w:val="000000"/>
          <w:sz w:val="20"/>
        </w:rPr>
      </w:pPr>
      <w:r>
        <w:rPr>
          <w:rFonts w:ascii="Arial" w:hAnsi="Arial"/>
          <w:b/>
          <w:color w:val="000000"/>
          <w:sz w:val="20"/>
        </w:rPr>
        <w:t>Evaluation of Disclosure Controls and Procedures</w:t>
      </w:r>
    </w:p>
    <w:p>
      <w:pPr>
        <w:pStyle w:val="TextBody"/>
        <w:bidi w:val="0"/>
        <w:spacing w:before="120" w:after="283"/>
        <w:jc w:val="left"/>
        <w:rPr>
          <w:rFonts w:ascii="Arial" w:hAnsi="Arial"/>
          <w:color w:val="000000"/>
          <w:sz w:val="20"/>
        </w:rPr>
      </w:pPr>
      <w:r>
        <w:rPr>
          <w:rFonts w:ascii="Arial" w:hAnsi="Arial"/>
          <w:color w:val="000000"/>
          <w:sz w:val="20"/>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principal executive officer and principal financial officer concluded that, as of June 30, 2026, our disclosure controls and procedures were effective at the reasonable assurance level.</w:t>
      </w:r>
    </w:p>
    <w:p>
      <w:pPr>
        <w:pStyle w:val="TextBody"/>
        <w:bidi w:val="0"/>
        <w:spacing w:before="240" w:after="283"/>
        <w:jc w:val="left"/>
        <w:rPr>
          <w:rFonts w:ascii="Arial" w:hAnsi="Arial"/>
          <w:b/>
          <w:color w:val="000000"/>
          <w:sz w:val="20"/>
        </w:rPr>
      </w:pPr>
      <w:r>
        <w:rPr>
          <w:rFonts w:ascii="Arial" w:hAnsi="Arial"/>
          <w:b/>
          <w:color w:val="000000"/>
          <w:sz w:val="20"/>
        </w:rPr>
        <w:t>Changes in Internal Control over Financial Reporting</w:t>
      </w:r>
    </w:p>
    <w:p>
      <w:pPr>
        <w:pStyle w:val="TextBody"/>
        <w:bidi w:val="0"/>
        <w:spacing w:before="120" w:after="283"/>
        <w:jc w:val="left"/>
        <w:rPr>
          <w:rFonts w:ascii="Arial" w:hAnsi="Arial"/>
          <w:color w:val="000000"/>
          <w:sz w:val="20"/>
        </w:rPr>
      </w:pPr>
      <w:r>
        <w:rPr>
          <w:rFonts w:ascii="Arial" w:hAnsi="Arial"/>
          <w:color w:val="000000"/>
          <w:sz w:val="20"/>
        </w:rPr>
        <w:t>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sz w:val="20"/>
        </w:rPr>
      </w:pPr>
      <w:bookmarkStart w:id="16" w:name="part_iior_information"/>
      <w:bookmarkEnd w:id="16"/>
      <w:r>
        <w:rPr>
          <w:rFonts w:ascii="Arial" w:hAnsi="Arial"/>
          <w:b/>
          <w:color w:val="000000"/>
          <w:sz w:val="20"/>
        </w:rPr>
        <w:t>PART II—OTHER</w:t>
      </w:r>
      <w:r>
        <w:rPr>
          <w:rFonts w:ascii="Arial" w:hAnsi="Arial"/>
          <w:color w:val="000000"/>
          <w:sz w:val="20"/>
        </w:rPr>
        <w:t xml:space="preserve"> </w:t>
      </w:r>
      <w:r>
        <w:rPr>
          <w:rFonts w:ascii="Arial" w:hAnsi="Arial"/>
          <w:b/>
          <w:color w:val="000000"/>
          <w:sz w:val="20"/>
        </w:rPr>
        <w:t>INFORMATION</w:t>
      </w:r>
    </w:p>
    <w:p>
      <w:pPr>
        <w:pStyle w:val="TextBody"/>
        <w:bidi w:val="0"/>
        <w:spacing w:before="240" w:after="283"/>
        <w:jc w:val="left"/>
        <w:rPr>
          <w:rFonts w:ascii="Arial" w:hAnsi="Arial"/>
          <w:b/>
          <w:color w:val="000000"/>
          <w:sz w:val="20"/>
        </w:rPr>
      </w:pPr>
      <w:bookmarkStart w:id="17" w:name="item_1_legal_proceedings"/>
      <w:bookmarkEnd w:id="17"/>
      <w:r>
        <w:rPr>
          <w:rFonts w:ascii="Arial" w:hAnsi="Arial"/>
          <w:b/>
          <w:color w:val="000000"/>
          <w:sz w:val="20"/>
        </w:rPr>
        <w:t>Item 1. Legal Proceedings.</w:t>
      </w:r>
    </w:p>
    <w:p>
      <w:pPr>
        <w:pStyle w:val="TextBody"/>
        <w:bidi w:val="0"/>
        <w:spacing w:before="120" w:after="283"/>
        <w:jc w:val="left"/>
        <w:rPr>
          <w:rFonts w:ascii="Arial" w:hAnsi="Arial"/>
          <w:color w:val="000000"/>
          <w:sz w:val="20"/>
        </w:rPr>
      </w:pPr>
      <w:r>
        <w:rPr>
          <w:rFonts w:ascii="Arial" w:hAnsi="Arial"/>
          <w:color w:val="000000"/>
          <w:sz w:val="20"/>
        </w:rPr>
        <w:t>We are not subject to any material legal proceedings.</w:t>
      </w:r>
    </w:p>
    <w:p>
      <w:pPr>
        <w:pStyle w:val="TextBody"/>
        <w:bidi w:val="0"/>
        <w:spacing w:before="120" w:after="283"/>
        <w:jc w:val="left"/>
        <w:rPr>
          <w:rFonts w:ascii="Arial" w:hAnsi="Arial"/>
          <w:b/>
          <w:color w:val="000000"/>
          <w:sz w:val="20"/>
        </w:rPr>
      </w:pPr>
      <w:bookmarkStart w:id="18" w:name="item_1a_risk_factors"/>
      <w:bookmarkEnd w:id="18"/>
      <w:r>
        <w:rPr>
          <w:rFonts w:ascii="Arial" w:hAnsi="Arial"/>
          <w:b/>
          <w:color w:val="000000"/>
          <w:sz w:val="20"/>
        </w:rPr>
        <w:t>Item 1A. Risk Factors.</w:t>
      </w:r>
    </w:p>
    <w:p>
      <w:pPr>
        <w:pStyle w:val="TextBody"/>
        <w:bidi w:val="0"/>
        <w:spacing w:before="120" w:after="283"/>
        <w:jc w:val="left"/>
        <w:rPr>
          <w:rFonts w:ascii="Arial" w:hAnsi="Arial"/>
          <w:sz w:val="20"/>
        </w:rPr>
      </w:pPr>
      <w:r>
        <w:rPr>
          <w:rFonts w:ascii="Arial" w:hAnsi="Arial"/>
          <w:i/>
          <w:color w:val="000000"/>
          <w:sz w:val="20"/>
        </w:rPr>
        <w:t>You should carefully consider the risks and uncertainties described below, as well as the other information in this Quarterly Report on Form 10-Q, including our unaudited condensed consolidated financial statements and the related notes and “Management’s Discussion and Analysis of Results of Operations and Financial Condition.” Our business, financial condition, results of operations or prospects could be materially and adversely affected if any of these risks occurs, and as a result, the market price of our common stock could decline and you could lose all or part of your investment. Our actual results could differ materially and adversely from those anticipated in these forward-looking statements as a result of certain factors, including those set forth below.</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b/>
          <w:color w:val="000000"/>
          <w:sz w:val="20"/>
        </w:rPr>
        <w:t>Risks Related to Our Financial Condition and Capital Requirements</w:t>
      </w:r>
      <w:r>
        <w:rPr>
          <w:rFonts w:ascii="Arial" w:hAnsi="Arial"/>
          <w:color w:val="000000"/>
          <w:sz w:val="20"/>
        </w:rPr>
        <w:t xml:space="preserve"> </w:t>
      </w:r>
    </w:p>
    <w:p>
      <w:pPr>
        <w:pStyle w:val="TextBody"/>
        <w:bidi w:val="0"/>
        <w:spacing w:before="120" w:after="283"/>
        <w:jc w:val="left"/>
        <w:rPr>
          <w:rFonts w:ascii="Arial" w:hAnsi="Arial"/>
          <w:sz w:val="20"/>
        </w:rPr>
      </w:pPr>
      <w:r>
        <w:rPr>
          <w:rFonts w:ascii="Arial" w:hAnsi="Arial"/>
          <w:b/>
          <w:i/>
          <w:color w:val="000000"/>
          <w:sz w:val="20"/>
        </w:rPr>
        <w:t>We have a limited operating history and no history of successfully developing or commercializing any approved antiviral products, which may make it difficult to evaluate the success of our business to date and to assess the prospects for our future viability.</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are a late-stage clinical biopharmaceutical company. Our operations to date have been limited to financing and staffing our company, developing our technology, and identifying and developing our product candidates. Our prospects must be considered in light of the uncertainties, risks, expenses and difficulties frequently encountered by biopharmaceutical companies in their early stages of operations. We have not yet demonstrated an ability to successfully develop, obtain marketing approval, manufacture a product on a commercial-scale, or conduct sales and marketing activities necessary for successful product commercialization, or have third parties to do these activities on our behalf. Consequently, predictions about our future success or viability may not be as accurate as they could be if we had a longer operating history or a history of successfully developing, obtaining marketing approval for and commercializing antiviral therapies. </w:t>
      </w:r>
    </w:p>
    <w:p>
      <w:pPr>
        <w:pStyle w:val="TextBody"/>
        <w:bidi w:val="0"/>
        <w:spacing w:before="120" w:after="283"/>
        <w:jc w:val="left"/>
        <w:rPr>
          <w:rFonts w:ascii="Arial" w:hAnsi="Arial"/>
          <w:color w:val="000000"/>
          <w:sz w:val="20"/>
        </w:rPr>
      </w:pPr>
      <w:r>
        <w:rPr>
          <w:rFonts w:ascii="Arial" w:hAnsi="Arial"/>
          <w:color w:val="000000"/>
          <w:sz w:val="20"/>
        </w:rPr>
        <w:t>In addition, we may encounter unforeseen expenses, difficulties, complications, delays and other known and unknown obstacles in developing or commercializing our products. For example in September 2024, we announced that the SUNRISE-3 Phase 3 clinical trial we conducted to evaluate bemnifosbuvir versus placebo for the treatment of COVID-19 did not meet the primary endpoint of a statistically significant reduction in all cause hospitalization or death through Day 29 in the monotherapy cohort of 2,221 high risk patients with mild to moderate COVID-19. This led us to discontinue efforts to develop bemnifosbuvir for the treatment of COVID-19.</w:t>
      </w:r>
    </w:p>
    <w:p>
      <w:pPr>
        <w:pStyle w:val="TextBody"/>
        <w:bidi w:val="0"/>
        <w:spacing w:before="120" w:after="283"/>
        <w:jc w:val="left"/>
        <w:rPr>
          <w:rFonts w:ascii="Arial" w:hAnsi="Arial"/>
          <w:color w:val="000000"/>
          <w:sz w:val="20"/>
        </w:rPr>
      </w:pPr>
      <w:r>
        <w:rPr>
          <w:rFonts w:ascii="Arial" w:hAnsi="Arial"/>
          <w:color w:val="000000"/>
          <w:sz w:val="20"/>
        </w:rPr>
        <w:t xml:space="preserve">If we successfully develop and obtain approval of any product candidate, we will need to transition from a company with a research and development focus to a company capable of executing commercial activities. We may not be successful in this transition. </w:t>
      </w:r>
    </w:p>
    <w:p>
      <w:pPr>
        <w:pStyle w:val="TextBody"/>
        <w:bidi w:val="0"/>
        <w:spacing w:before="120" w:after="283"/>
        <w:jc w:val="left"/>
        <w:rPr>
          <w:rFonts w:ascii="Arial" w:hAnsi="Arial"/>
          <w:color w:val="000000"/>
          <w:sz w:val="20"/>
        </w:rPr>
      </w:pPr>
      <w:r>
        <w:rPr>
          <w:rFonts w:ascii="Arial" w:hAnsi="Arial"/>
          <w:color w:val="000000"/>
          <w:sz w:val="20"/>
        </w:rPr>
        <w:t>As we continue to build our business, including completing Phase 3 clinical trials and preparing and potentially submitting applications seeking marketing approval for our hepatitis C virus (“HCV”) product candidate, we expect our financial condition and operating results may fluctuate significantly from quarter to quarter and year to year due to a variety of factors, many of which are beyond our control. Accordingly, you should not rely upon the results included in this report or reports for any other particular prior quarterly or annual period as indications of future operating performance.</w:t>
      </w:r>
    </w:p>
    <w:p>
      <w:pPr>
        <w:pStyle w:val="TextBody"/>
        <w:bidi w:val="0"/>
        <w:spacing w:before="240" w:after="283"/>
        <w:jc w:val="left"/>
        <w:rPr>
          <w:rFonts w:ascii="Arial" w:hAnsi="Arial"/>
          <w:sz w:val="20"/>
        </w:rPr>
      </w:pPr>
      <w:r>
        <w:rPr>
          <w:rFonts w:ascii="Arial" w:hAnsi="Arial"/>
          <w:b/>
          <w:i/>
          <w:color w:val="000000"/>
          <w:sz w:val="20"/>
        </w:rPr>
        <w:t>We have incurred significant operating expenses since inception and expect to incur significant additional operating expenses for the foreseeable future. We have no products that have generated any commercial revenue. We expect to incur operating losses in 2026 and for the foreseeable future.</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have incurred significant operating expenses since our inception. For the six months ended June 30, 2026 and the year ended December 31, 2025, our operating expenses were $83.1 million and $180.9 million, respectively. As of June 30, 2026, we had an accumulated deficit of $600.9 million. </w:t>
      </w:r>
    </w:p>
    <w:p>
      <w:pPr>
        <w:pStyle w:val="TextBody"/>
        <w:bidi w:val="0"/>
        <w:spacing w:before="120" w:after="283"/>
        <w:jc w:val="left"/>
        <w:rPr>
          <w:rFonts w:ascii="Arial" w:hAnsi="Arial"/>
          <w:color w:val="000000"/>
          <w:sz w:val="20"/>
        </w:rPr>
      </w:pPr>
      <w:r>
        <w:rPr>
          <w:rFonts w:ascii="Arial" w:hAnsi="Arial"/>
          <w:color w:val="000000"/>
          <w:sz w:val="20"/>
        </w:rPr>
        <w:t xml:space="preserve">We have not commercialized any products and have never generated any revenue from product sales. We have devoted almost all of our financial resources to research and development, including our clinical trials and preclinical development and manufacturing activities. We expect to continue to incur significant additional operating expenses and to incur operating losses for the foreseeable future as we seek to advance product candidates through clinical development, continue preclinical development, pursue research and development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activities, discover or acquire and develop product candidates, complete preclinical studies and clinical trials, scale up and complete manufacturing and supply chain activities, seek regulatory approval and, if we receive regulatory approval, commercialize our products.</w:t>
      </w:r>
    </w:p>
    <w:p>
      <w:pPr>
        <w:pStyle w:val="TextBody"/>
        <w:bidi w:val="0"/>
        <w:spacing w:before="120" w:after="283"/>
        <w:jc w:val="left"/>
        <w:rPr>
          <w:rFonts w:ascii="Arial" w:hAnsi="Arial"/>
          <w:sz w:val="20"/>
        </w:rPr>
      </w:pPr>
      <w:r>
        <w:rPr>
          <w:rFonts w:ascii="Arial" w:hAnsi="Arial"/>
          <w:color w:val="000000"/>
          <w:sz w:val="20"/>
        </w:rPr>
        <w:t xml:space="preserve">In order to obtain the FDA’s or a foreign regulatory authority’s approval to market any product candidate in the US or abroad, respectively, we must submit to the FDA a New Drug Application (“NDA”) or similar application to the foreign regulatory authority demonstrating to the FDA’s or foreign regulatory authority’s satisfaction that the product candidate is safe and effective for its intended use(s). This demonstration requires significant research and extensive data from </w:t>
      </w:r>
      <w:r>
        <w:rPr>
          <w:rFonts w:ascii="Arial" w:hAnsi="Arial"/>
          <w:i/>
          <w:color w:val="000000"/>
          <w:sz w:val="20"/>
        </w:rPr>
        <w:t>in vitro</w:t>
      </w:r>
      <w:r>
        <w:rPr>
          <w:rFonts w:ascii="Arial" w:hAnsi="Arial"/>
          <w:color w:val="000000"/>
          <w:sz w:val="20"/>
        </w:rPr>
        <w:t xml:space="preserve"> and </w:t>
      </w:r>
      <w:r>
        <w:rPr>
          <w:rFonts w:ascii="Arial" w:hAnsi="Arial"/>
          <w:i/>
          <w:color w:val="000000"/>
          <w:sz w:val="20"/>
        </w:rPr>
        <w:t xml:space="preserve">in vivo </w:t>
      </w:r>
      <w:r>
        <w:rPr>
          <w:rFonts w:ascii="Arial" w:hAnsi="Arial"/>
          <w:color w:val="000000"/>
          <w:sz w:val="20"/>
        </w:rPr>
        <w:t>laboratory experiments and animal tests, which are referred to as nonclinical or preclinical studies, as well as human tests, which are referred to as clinical trials. Additionally, extensive data related to the chemistry and physical characteristics of the product candidate, the intended packaging of the commercial product, the processes to be used for consistently manufacturing the product candidate in commercial quantities in accordance with certified Good Manufacturing Practices (“GMP”) and the results of stability studies to establish shelf life of the product must also be included in the NDA and similar foreign regulatory applications.</w:t>
      </w:r>
    </w:p>
    <w:p>
      <w:pPr>
        <w:pStyle w:val="TextBody"/>
        <w:bidi w:val="0"/>
        <w:spacing w:before="120" w:after="283"/>
        <w:jc w:val="left"/>
        <w:rPr>
          <w:rFonts w:ascii="Arial" w:hAnsi="Arial"/>
          <w:color w:val="000000"/>
          <w:sz w:val="20"/>
        </w:rPr>
      </w:pPr>
      <w:r>
        <w:rPr>
          <w:rFonts w:ascii="Arial" w:hAnsi="Arial"/>
          <w:color w:val="000000"/>
          <w:sz w:val="20"/>
        </w:rPr>
        <w:t>Furthermore, the costs of advancing product candidates into each succeeding clinical development phase tend to increase substantially over time. For example, the costs of our HCV Phase 3 development program are substantially greater than the costs we incurred in our HCV Phase 2 development program. These increased Phase 3 costs are attributable to a number of factors including a significantly increased number of patients enrolled in the Phase 3 program and costs associated with the use of an active comparator in the Phase 3 program which was not a part of the Phase 2 program. Because of the numerous risks and uncertainties associated with the development of our product candidates, we are unable to accurately predict the timing or amount of increased expenses or when, or if, we will be able to begin generating revenue from the commercialization of products or again achieve profitability.</w:t>
      </w:r>
    </w:p>
    <w:p>
      <w:pPr>
        <w:pStyle w:val="TextBody"/>
        <w:bidi w:val="0"/>
        <w:spacing w:before="120" w:after="283"/>
        <w:jc w:val="left"/>
        <w:rPr>
          <w:rFonts w:ascii="Arial" w:hAnsi="Arial"/>
          <w:color w:val="000000"/>
          <w:sz w:val="20"/>
        </w:rPr>
      </w:pPr>
      <w:r>
        <w:rPr>
          <w:rFonts w:ascii="Arial" w:hAnsi="Arial"/>
          <w:color w:val="000000"/>
          <w:sz w:val="20"/>
        </w:rPr>
        <w:t>Further, we expect we will continue to incur substantial operating expenses if or as we: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continue to discover and develop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successfully complete clinical trials and seek regulatory approval for the regimen of bemnifosbuvir and ruzasvir for the treatment of HCV, AT-587 for the treatment of hepatitis E virus (“HEV”) or other product candidates,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long-term manufacturing and supply chain capacity, including US domestic manufacturing capacity, sufficient to provide long term commercial quantities of any product candidates for which we may obtain marketing approval, if any;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manufacture product in quantities sufficient to support product launch and commercialization,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 a sales, marketing and distribution infrastructure and internal systems to commercialize any products for which we may obtain regulatory approval, if any, in geographies in which we plan to commercialize our products ourselves or with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maintain, expand, protect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hire additional staff, including clinical, scientific, technical, regulatory, operational, financial, commercial and support personnel, to execute our business plan and support our product candidate discovery, development and potential future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more extensively utilize external vendors for support with respect to research, development, manufacturing, commercialization, regulatory, pharmacovigilance and other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acquire or in-license commercial products or additional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make milestone, royalty or other payments under the Merck License Agreement with respect to the development and commercialization of ruzasvir in combination with bemnifosbuvir for the treatment of HCV;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make upfront, milestone, royalty or other payments in connection with any future in-license agreements relating to other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incur continuing and increasing legal, accounting and other expenses in operating our business as a public company. </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Furthermore, our ability to successfully develop, commercialize and license any products and generate product revenue is subject to substantial additional risks and uncertainties. Our HCV and HEV product candidates and any future product candidates we may discover, license or otherwise acquire, will require regulatory approval in not less than one jurisdiction, the securing of manufacturing supply, capacity, distribution channels and expertise, the use of external vendors, the building of or other access to a commercial organization, substantial investment and significant marketing efforts before we generate any revenue from product sales. Additionally, our HCV and HEV product candidates and any future product candidates require additional preclinical and clinical development. As a result, we expect to continue to use cash for operating activities and incur operating expenses and operating losses for the foreseeable future. The use of cash and incurrence of operating expenses and operating losses has had, and we expect will continue to have, an adverse effect on our working capital. </w:t>
      </w:r>
    </w:p>
    <w:p>
      <w:pPr>
        <w:pStyle w:val="TextBody"/>
        <w:bidi w:val="0"/>
        <w:spacing w:before="120" w:after="283"/>
        <w:jc w:val="left"/>
        <w:rPr>
          <w:rFonts w:ascii="Arial" w:hAnsi="Arial"/>
          <w:color w:val="000000"/>
          <w:sz w:val="20"/>
        </w:rPr>
      </w:pPr>
      <w:r>
        <w:rPr>
          <w:rFonts w:ascii="Arial" w:hAnsi="Arial"/>
          <w:color w:val="000000"/>
          <w:sz w:val="20"/>
        </w:rPr>
        <w:t xml:space="preserve">The amount of future expenses or losses and our ability to achieve or maintain profitability in future years, if ever, are uncertain. We have no products that have generated any commercial revenue, do not expect to generate revenues from the commercial sale of products in the near term, and might never generate revenues from the sale of products. Our ability to generate product revenue and maintain profitability will depend on, among other things, successful completion of the development of our HCV and HEV product candidates and other product candidates, if any; obtaining necessary regulatory approvals from the FDA and foreign regulatory authorities; establishing manufacturing and sales capabilities; successfully manufacturing commercial scale quantities of products, market acceptance of our products, if approved, and establishing marketing infrastructure or otherwise arranging to commercialize our product candidates for which we obtain approval; and raising sufficient funds to finance our activities. We might not succeed at any of these undertakings. If we are unsuccessful at some or all of these undertakings in the future, our business, prospects, and results of operations may be materially adversely affected. </w:t>
      </w:r>
    </w:p>
    <w:p>
      <w:pPr>
        <w:pStyle w:val="TextBody"/>
        <w:bidi w:val="0"/>
        <w:spacing w:before="240" w:after="283"/>
        <w:jc w:val="left"/>
        <w:rPr>
          <w:rFonts w:ascii="Arial" w:hAnsi="Arial"/>
          <w:b/>
          <w:i/>
          <w:color w:val="000000"/>
          <w:sz w:val="20"/>
        </w:rPr>
      </w:pPr>
      <w:r>
        <w:rPr>
          <w:rFonts w:ascii="Arial" w:hAnsi="Arial"/>
          <w:b/>
          <w:i/>
          <w:color w:val="000000"/>
          <w:sz w:val="20"/>
        </w:rPr>
        <w:t>We may require substantial additional financing, which may not be available on acceptable terms, or at all. A failure to obtain this necessary capital when needed could force us to delay, limit, reduce or terminate our product development or commercialization efforts.</w:t>
      </w:r>
    </w:p>
    <w:p>
      <w:pPr>
        <w:pStyle w:val="TextBody"/>
        <w:bidi w:val="0"/>
        <w:spacing w:before="120" w:after="283"/>
        <w:jc w:val="left"/>
        <w:rPr>
          <w:rFonts w:ascii="Arial" w:hAnsi="Arial"/>
          <w:color w:val="000000"/>
          <w:sz w:val="20"/>
        </w:rPr>
      </w:pPr>
      <w:r>
        <w:rPr>
          <w:rFonts w:ascii="Arial" w:hAnsi="Arial"/>
          <w:color w:val="000000"/>
          <w:sz w:val="20"/>
        </w:rPr>
        <w:t>Since inception, we have incurred substantial operating expenses. We expect to incur substantial expenses in connection with our current and planned business activities, particularly completing the late stage development of the regimen of bemnifosbuvir and ruzasvir, the manufacture of drug supply, the preparation and submission of an NDA and other similar applications seeking marketing approval for our HCV product candidate. Also, we anticipate that we may incur substantial expenses in connection with the development of AT-587 for the treatment of HEV, and in connection with the discovery, license or other acquisition and potential development of other product candidates, if any. If we successfully develop and receive regulatory approval to market the regimen of bemnifosbuvir and ruzasvir for the treatment of HCV or any other product candidates, we expect we will also incur substantial expenses in connection with the establishment of sales, marketing, internal systems and distribution infrastructure to commercialize such products. Additionally, in 2025, our Board authorized and we completed a share repurchase program expending the total authorized amount of $25.0 million, net of transaction costs and excise taxes, in connection with the repurchase of 7,673,792 shares of our common stock.</w:t>
      </w:r>
    </w:p>
    <w:p>
      <w:pPr>
        <w:pStyle w:val="TextBody"/>
        <w:bidi w:val="0"/>
        <w:spacing w:before="120" w:after="283"/>
        <w:jc w:val="left"/>
        <w:rPr>
          <w:rFonts w:ascii="Arial" w:hAnsi="Arial"/>
          <w:color w:val="000000"/>
          <w:sz w:val="20"/>
        </w:rPr>
      </w:pPr>
      <w:r>
        <w:rPr>
          <w:rFonts w:ascii="Arial" w:hAnsi="Arial"/>
          <w:color w:val="000000"/>
          <w:sz w:val="20"/>
        </w:rPr>
        <w:t xml:space="preserve">If our cash, cash equivalents and marketable securities are not sufficient to fund our future operations, we will need additional capital to fund these activities, which we may raise through equity offerings, debt financings, marketing and distribution arrangements and other collaborations, strategic alliances and licensing arrangements or other sources. Additional sources of financing might not be available on favorable terms, if at all. If we do not succeed in raising additional funds on acceptable terms, we might be unable to initiate or complete planned clinical trials or seek regulatory approvals for our product candidates from the FDA, or any foreign regulatory authorities, and could be forced to discontinue product development. In addition, attempting to secure additional financing could divert the time and attention of our management from day-to-day activities and may harm our product candidate development efforts. </w:t>
      </w:r>
    </w:p>
    <w:p>
      <w:pPr>
        <w:pStyle w:val="TextBody"/>
        <w:bidi w:val="0"/>
        <w:spacing w:before="120" w:after="283"/>
        <w:jc w:val="left"/>
        <w:rPr>
          <w:rFonts w:ascii="Arial" w:hAnsi="Arial"/>
          <w:color w:val="000000"/>
          <w:sz w:val="20"/>
        </w:rPr>
      </w:pPr>
      <w:r>
        <w:rPr>
          <w:rFonts w:ascii="Arial" w:hAnsi="Arial"/>
          <w:color w:val="000000"/>
          <w:sz w:val="20"/>
        </w:rPr>
        <w:t xml:space="preserve">The timing and amount of our future capital requirements will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scope, progress, results and costs of our preclinical studies and clinical trials, in particular the completion of our Phase 3 development of the regimen of bemnifosbuvir and ruzasvir for the treatment of HCV;</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of and costs associated with the development of AT-587 for the treatment of HEV and the discovery, license or acquisition of a product candidate for the treatment of other diseases resulting from infection with single stranded RNA viruses;</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of, and the costs involved in, obtaining marketing approvals for our current and future product candidates in regions where we choose to commercialize any products including for example, our anticipated submission to the FDA of an NDA for marketing approval of our HCV product candidate the regimen of bemnifosbuvir and ruzasvir;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number of future product candidates and potential additional indications that we may pursue and their development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stability, scale, yield and cost of manufacturing our product candidates for clinical trials, in preparation for regulatory approval and in preparation for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of manufacturing and commercialization activities for any approved product candidate to the extent such costs are not the responsibility of any future collaborators, including the costs and timing of manufacturing commercial supply at a scale to meet demand and the costs and timing of establishing commercialization capabilities for and conducting product sales, marketing, distribution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revenue, if any, received from commercial sales of our product candidates, should any of our product candidates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timing and changes in pharmaceutical pricing and reimbursement infrastructure resulting from, among other things, the enactment of the Inflation Reduction Act (“IRA”) and other legislation, regulations, executive orders and other initiatives and policies that may be subsequently enacted;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compete with other therapies in the indications we target;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extent to which we in-license or acquire rights to products, product candidates or technologies in addition to ruzasvir;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growth of our headcount and associated costs if and as we establish a commercial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of preparing, filing and prosecuting patent applications and maintaining and protecting our intellectual property rights, including enforcing and defending intellectual property-related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continued costs of operating as a public company. </w:t>
      </w:r>
    </w:p>
    <w:p>
      <w:pPr>
        <w:pStyle w:val="TextBody"/>
        <w:bidi w:val="0"/>
        <w:spacing w:before="120" w:after="283"/>
        <w:jc w:val="left"/>
        <w:rPr>
          <w:rFonts w:ascii="Arial" w:hAnsi="Arial"/>
          <w:color w:val="000000"/>
          <w:sz w:val="20"/>
        </w:rPr>
      </w:pPr>
      <w:r>
        <w:rPr>
          <w:rFonts w:ascii="Arial" w:hAnsi="Arial"/>
          <w:color w:val="000000"/>
          <w:sz w:val="20"/>
        </w:rPr>
        <w:t>Currently, we do not have any committed external source of funds or other support and we cannot be certain that additional funding will be available on acceptable terms, if needed. Our ability to access potential sources of future liquidity and raise funds will depend upon financial, economic and geopolitical conditions and other factors, many of which are beyond our control. These external factors, including rates of interest and inflation, will also impact and may increase substantially costs we incur in connection with any potential fundraising. If we are unable to raise additional capital in sufficient amounts, on terms acceptable to us, or on a timely basis, we may have to significantly delay, scale back or discontinue the development or commercialization of our product candidates or other research and development initiatives.</w:t>
      </w:r>
    </w:p>
    <w:p>
      <w:pPr>
        <w:pStyle w:val="TextBody"/>
        <w:bidi w:val="0"/>
        <w:spacing w:before="240" w:after="283"/>
        <w:jc w:val="left"/>
        <w:rPr>
          <w:rFonts w:ascii="Arial" w:hAnsi="Arial"/>
          <w:sz w:val="20"/>
        </w:rPr>
      </w:pPr>
      <w:r>
        <w:rPr>
          <w:rFonts w:ascii="Arial" w:hAnsi="Arial"/>
          <w:b/>
          <w:i/>
          <w:color w:val="000000"/>
          <w:sz w:val="20"/>
        </w:rPr>
        <w:t>We may engage in strategic collaborations or other transactions that could disrupt our business, cause dilution to our stockholders, reduce our financial resources, and subject us to other risks.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In the future, we may enter into strategic collaborations or other transactions. While we remain open to consideration of a broad range of strategic alternatives, including strategic partnerships, acquisition, merger, or other business combination, sale of assets or other strategic transactions, we believe that it is most likely that actionable alternatives may be available after we receive the results from our currently ongoing HCV Phase 3 development program. In July 2026, we announced positive topline results from C-BEYOND, our Phase 3 clinical trial conducted in the US and Canada. In June 2026, we announced that we had completed enrollment of patients in C-FORWARD, our Phase 3 clinical trial being conducted outside the US and Canada. Currently, we anticipate to report topline results from C-FORWARD early in the first quarter of 2027. </w:t>
      </w:r>
    </w:p>
    <w:p>
      <w:pPr>
        <w:pStyle w:val="TextBody"/>
        <w:bidi w:val="0"/>
        <w:spacing w:before="120" w:after="283"/>
        <w:jc w:val="left"/>
        <w:rPr>
          <w:rFonts w:ascii="Arial" w:hAnsi="Arial"/>
          <w:color w:val="000000"/>
          <w:sz w:val="20"/>
        </w:rPr>
      </w:pPr>
      <w:r>
        <w:rPr>
          <w:rFonts w:ascii="Arial" w:hAnsi="Arial"/>
          <w:color w:val="000000"/>
          <w:sz w:val="20"/>
        </w:rPr>
        <w:t xml:space="preserve">There is no assurance we will conclude any specific transaction or outcome. If we do identify suitable collaboration candidates or strategic partners, we may not be able to complete such collaborations or other strategic transactions timely or on favorable terms, or at all. Any collaborations or other strategic transactions may not strengthen our competitive position, and these transactions may be viewed negatively by stock research analysts or investors, and we may never realize the anticipated benefits of such transactions. We may decide to issue our common stock or other equity securities to a strategic partner or collaborator which would reduce the percentage ownership of our existing stockholders. In addition, we may not be able to successfully integrate with any collaborator or strategic partner in an effective, timely and non-disruptive manner. Collaborations or other </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strategic transactions may also divert management attention from day-to-day responsibilities, lead to a loss of key personnel, increase our expenses and reduce our cash and investments available for operations and other uses. We cannot predict the number, timing or size of future collaborations or strategic partnerships or the effect that any such transactions might have on our operating results. </w:t>
      </w:r>
    </w:p>
    <w:p>
      <w:pPr>
        <w:pStyle w:val="TextBody"/>
        <w:bidi w:val="0"/>
        <w:spacing w:before="240" w:after="283"/>
        <w:jc w:val="left"/>
        <w:rPr>
          <w:rFonts w:ascii="Arial" w:hAnsi="Arial"/>
          <w:sz w:val="20"/>
        </w:rPr>
      </w:pPr>
      <w:r>
        <w:rPr>
          <w:rFonts w:ascii="Arial" w:hAnsi="Arial"/>
          <w:b/>
          <w:i/>
          <w:color w:val="000000"/>
          <w:sz w:val="20"/>
        </w:rPr>
        <w:t>We have not generated any revenue from product sales and may not be able to achieve profitability.</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incurred a net loss of $78.4 million for the six months ended June 30, 2026. Our ability to achieve and sustain future profitability depends upon our ability to generate revenue from product sales. We have not generated product revenue and we do not expect to generate product revenue unless or until we successfully complete clinical development and obtain regulatory approval of, and then successfully commercialize, at least one of our product candidates. Our HCV and HEV product candidates and future product candidates, if any, require additional preclinical and clinical development, regulatory review and approval, substantial investment in and access to sufficient commercial manufacturing capacity and significant marketing efforts before we can generate any revenue from product sales. Currently, we do not anticipate generating revenue from product sales for at least the next few years. Our ability to generate revenue depends on a number of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timely completion of our clinical trials, including C-FORWARD, our HCV Phase 3 clinical trial evaluating the regimen of bemnifosbuvir and ruzasvir for the treatment of HCV, and the clinical trials of AT-587 for the treatment of HEV, as well as our preclinical studies and other clinical trials, each of which may be significantly slower or more costly than we currently anticipate and will depend substantially upon the performance of third-party 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complete additional investigational drug application (“IND”) enabling studies and successfully submit INDs, clinical trial application (“CTAs”) or comparable applications to allow us to initiate clinical trials for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whether we are required by the FDA or similar foreign regulatory authorities to conduct additional clinical trials or other studies beyond those planned to support the approval and commercialization of our HCV and HEV product candidates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demonstrate to the satisfaction of the FDA or similar foreign regulatory authorities the safety and efficacy of our HCV and HEV product candidates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prevalence, duration and severity of potential side effects or other safety issues experienced with our HCV and HEV product candidates or future product candidates,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timely receipt of necessary marketing approvals from the FDA, European Medicines Agency ("EMA") and other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availability, actual and perceived advantages and relative cost, convenience, safety and efficacy of our HCV and HEV product candidates or other product candidates we may be able to commercialize, compared to other commercially available therapies for the targeted indications, or, in the case of HEV other interventions, as well as the accuracy and sufficiency of clinical evidence supporting any such advantages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willingness of physicians, operators of clinics and patients to conduct or participate in clinical trials evaluating our product candidates and, if successfully developed, to utilize or adopt our HCV and HEV product candidates or any future product candidates, if approved as antiviral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and the ability of third parties with whom we contract to manufacture adequate clinical and commercial supplies of our HCV and HEV product candidates or future product candidates, remain in good standing with regulatory authorities and develop, validate and maintain commercially viable manufacturing processes that are compliant with current good manufacturing practices (“cGMP”) or similar requirements outside the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successfully establish a commercial strategy and thereafter commercialize our HCV and HEV product candidates or any future product candidates, in the US and internationally, if approved for marketing, reimbursement, sale and distribution in such countries and territories, whether alone or in collaboration with others;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establish, maintain, protect and enforce intellectual property rights in and to our HCV and HEV product candidates or any future product candidates. </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Many of the factors listed above are beyond our control, and could cause us to experience significant delays, incur substantially greater expenses than anticipated or prevent us from obtaining regulatory approvals or commercializing our product candidates. Even if we are able to commercialize our product candidates, we may not be able to achieve and maintain profitability after generating product sales or meet outside expectations for our profitability. If we are unable to achieve or sustain profitability or to meet outside expectations for our profitability, the value of our common stock will be materially adversely affected. In addition, if we are unable to generate sufficient revenue through the sale of any products, we may be unable to continue operations. </w:t>
      </w:r>
    </w:p>
    <w:p>
      <w:pPr>
        <w:pStyle w:val="TextBody"/>
        <w:bidi w:val="0"/>
        <w:spacing w:before="240" w:after="283"/>
        <w:jc w:val="left"/>
        <w:rPr>
          <w:rFonts w:ascii="Arial" w:hAnsi="Arial"/>
          <w:b/>
          <w:i/>
          <w:color w:val="000000"/>
          <w:sz w:val="20"/>
        </w:rPr>
      </w:pPr>
      <w:r>
        <w:rPr>
          <w:rFonts w:ascii="Arial" w:hAnsi="Arial"/>
          <w:b/>
          <w:i/>
          <w:color w:val="000000"/>
          <w:sz w:val="20"/>
        </w:rPr>
        <w:t>We maintain our cash at financial institutions, often in balances that exceed federally insured limits.</w:t>
      </w:r>
    </w:p>
    <w:p>
      <w:pPr>
        <w:pStyle w:val="TextBody"/>
        <w:bidi w:val="0"/>
        <w:spacing w:before="120" w:after="283"/>
        <w:jc w:val="left"/>
        <w:rPr>
          <w:rFonts w:ascii="Arial" w:hAnsi="Arial"/>
          <w:color w:val="000000"/>
          <w:sz w:val="20"/>
        </w:rPr>
      </w:pPr>
      <w:r>
        <w:rPr>
          <w:rFonts w:ascii="Arial" w:hAnsi="Arial"/>
          <w:color w:val="000000"/>
          <w:sz w:val="20"/>
        </w:rPr>
        <w:t>The majority of our cash is held in accounts at US banking institutions. Cash held in depository accounts may exceed the Federal Deposit Insurance Corporation (“FDIC”) standard deposit insurance limit of $250,000. If such banking institutions were to fail, such as Silicon Valley Bank when the FDIC took control in March 2023, we could lose all or a portion of those amounts held in excess of such insured amounts. In the future, our access to our cash in amounts adequate to finance our operations could be significantly impaired if the financial institutions with which we have arrangements encounter liquidity constraints or failures. Any future limitation on timely access to our funds or any material loss that we may experience in the future could have a material adverse effect on our financial condition and could materially impact our ability to pay our operating expenses or make other payments.</w:t>
      </w:r>
    </w:p>
    <w:p>
      <w:pPr>
        <w:pStyle w:val="TextBody"/>
        <w:bidi w:val="0"/>
        <w:spacing w:before="240" w:after="283"/>
        <w:jc w:val="left"/>
        <w:rPr>
          <w:rFonts w:ascii="Arial" w:hAnsi="Arial"/>
          <w:b/>
          <w:i/>
          <w:color w:val="000000"/>
          <w:sz w:val="20"/>
        </w:rPr>
      </w:pPr>
      <w:r>
        <w:rPr>
          <w:rFonts w:ascii="Arial" w:hAnsi="Arial"/>
          <w:b/>
          <w:i/>
          <w:color w:val="000000"/>
          <w:sz w:val="20"/>
        </w:rPr>
        <w:t>Our ability to use our net operating loss carryforwards and other tax attributes to offset taxable income may be subject to certain limitations.</w:t>
      </w:r>
    </w:p>
    <w:p>
      <w:pPr>
        <w:pStyle w:val="TextBody"/>
        <w:bidi w:val="0"/>
        <w:spacing w:before="120" w:after="283"/>
        <w:jc w:val="left"/>
        <w:rPr>
          <w:rFonts w:ascii="Arial" w:hAnsi="Arial"/>
          <w:color w:val="000000"/>
          <w:sz w:val="20"/>
        </w:rPr>
      </w:pPr>
      <w:r>
        <w:rPr>
          <w:rFonts w:ascii="Arial" w:hAnsi="Arial"/>
          <w:color w:val="000000"/>
          <w:sz w:val="20"/>
        </w:rPr>
        <w:t xml:space="preserve">As of December 31, 2025, we had US federal and state net operating loss carryforwards (“NOLs”), of $202.8 million and $219.3 million, respectively. </w:t>
      </w:r>
    </w:p>
    <w:p>
      <w:pPr>
        <w:pStyle w:val="TextBody"/>
        <w:bidi w:val="0"/>
        <w:spacing w:before="120" w:after="283"/>
        <w:jc w:val="left"/>
        <w:rPr>
          <w:rFonts w:ascii="Arial" w:hAnsi="Arial"/>
          <w:color w:val="000000"/>
          <w:sz w:val="20"/>
        </w:rPr>
      </w:pPr>
      <w:r>
        <w:rPr>
          <w:rFonts w:ascii="Arial" w:hAnsi="Arial"/>
          <w:color w:val="000000"/>
          <w:sz w:val="20"/>
        </w:rPr>
        <w:t>In general, under Sections 382 and 383 of the Internal Revenue Code of 1986, as amended (“Code”), a corporation that undergoes an “ownership change,” which is generally defined as a greater than 50% change by value in its equity ownership over a three-year period, is subject to limitations on its ability to utilize its pre-change NOLs and its research and development credit carryforwards to offset future taxable income. Our NOLs and research and development credit carryforwards may be subject to limitations arising from previous ownership changes, and if we undergo an ownership change, our ability to utilize NOLs (to the extent not previously utilized) and research and development credit carryforwards could be further limited by Sections 382 and 383 of the Code.</w:t>
      </w:r>
    </w:p>
    <w:p>
      <w:pPr>
        <w:pStyle w:val="TextBody"/>
        <w:bidi w:val="0"/>
        <w:spacing w:before="120" w:after="283"/>
        <w:jc w:val="left"/>
        <w:rPr>
          <w:rFonts w:ascii="Arial" w:hAnsi="Arial"/>
          <w:color w:val="000000"/>
          <w:sz w:val="20"/>
        </w:rPr>
      </w:pPr>
      <w:r>
        <w:rPr>
          <w:rFonts w:ascii="Arial" w:hAnsi="Arial"/>
          <w:color w:val="000000"/>
          <w:sz w:val="20"/>
        </w:rPr>
        <w:t xml:space="preserve">For the years ended December 31, 2025 and 2024, we have completed a Section 382 study, the results of which indicated that no ownership shift occurred during such respective period. However, this conclusion could be challenged by tax authorities. In addition, future changes in our stock ownership, some of which might be beyond our control, could result in an ownership change under Sections 382 and 383 of the Code. For these reasons, we may not be able to utilize existing NOLs or research and development credit carryforwards or net operating losses and research and development credits that may be generated in the future. </w:t>
      </w:r>
    </w:p>
    <w:p>
      <w:pPr>
        <w:pStyle w:val="TextBody"/>
        <w:bidi w:val="0"/>
        <w:spacing w:before="240" w:after="283"/>
        <w:jc w:val="left"/>
        <w:rPr>
          <w:rFonts w:ascii="Arial" w:hAnsi="Arial"/>
          <w:sz w:val="20"/>
        </w:rPr>
      </w:pPr>
      <w:r>
        <w:rPr>
          <w:rFonts w:ascii="Arial" w:hAnsi="Arial"/>
          <w:b/>
          <w:i/>
          <w:color w:val="000000"/>
          <w:sz w:val="20"/>
        </w:rPr>
        <w:t>We may delay, suspend or terminate the development of a product candidate at any time if we believe the perceived market or commercial opportunity does not justify further investment or for other strategic business, financial or other reasons, which could materially harm our business and adversely affect our stock price.</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Even if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For example, in September 2024, after the SUNRISE-3 Phase 3 clinical trial failed to reach its primary endpoint, we discontinued the development of bemnifosbuvir for the treatment of COVID-19. Any similar delays, suspensions or terminations of other clinical programs or product candidates, particularly our HCV product candidate, could materially harm our business, results of operations or financial condition.</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Risks Related to the Discovery, Development, Preclinical and Clinical Testing, Manufacturing and Regulatory Approval of Our Product Candidates</w:t>
      </w:r>
    </w:p>
    <w:p>
      <w:pPr>
        <w:pStyle w:val="TextBody"/>
        <w:bidi w:val="0"/>
        <w:spacing w:before="240" w:after="283"/>
        <w:jc w:val="left"/>
        <w:rPr>
          <w:rFonts w:ascii="Arial" w:hAnsi="Arial"/>
          <w:sz w:val="20"/>
        </w:rPr>
      </w:pPr>
      <w:r>
        <w:rPr>
          <w:rFonts w:ascii="Arial" w:hAnsi="Arial"/>
          <w:b/>
          <w:i/>
          <w:color w:val="000000"/>
          <w:sz w:val="20"/>
        </w:rPr>
        <w:t>Our business is highly dependent on the success of our lead product candidate, the regimen of bemnifosbuvir and ruzasvir for the treatment of HCV, which requires significant additional clinical testing, principally including successful completion of the C-FORWARD Phase 3 clinical trial, before we can seek regulatory approval and potentially launch commercial sales. If this product candidate fails in clinical development, does not receive regulatory approval or is not successfully commercialized, or is significantly delayed in doing so, our business will be harmed.</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A substantial portion of our business and future success depends on our ability to develop, obtain regulatory approval for and successfully commercialize the regimen of bemnifosbuvir and ruzasvir for the treatment of HCV. We currently have no products that are approved for commercial sale and have not successfully completed the development of any of our product candidates, and we may never be able to develop marketable products. </w:t>
      </w:r>
    </w:p>
    <w:p>
      <w:pPr>
        <w:pStyle w:val="TextBody"/>
        <w:bidi w:val="0"/>
        <w:spacing w:before="120" w:after="283"/>
        <w:jc w:val="left"/>
        <w:rPr>
          <w:rFonts w:ascii="Arial" w:hAnsi="Arial"/>
          <w:color w:val="000000"/>
          <w:sz w:val="20"/>
        </w:rPr>
      </w:pPr>
      <w:r>
        <w:rPr>
          <w:rFonts w:ascii="Arial" w:hAnsi="Arial"/>
          <w:color w:val="000000"/>
          <w:sz w:val="20"/>
        </w:rPr>
        <w:t xml:space="preserve">During the near term, we expect to devote substantial efforts and financial resources to complete the Phase 3 clinical development of the regimen of bemnifosbuvir and ruzasvir for the treatment of HCV, manage clinical, medical affairs and manufacturing activities, seek and obtain regulatory approvals in multiple jurisdictions, secure additional sources of manufacturing supply and capacity, build or otherwise access a commercial organization, and engage in significant pre-launch efforts. </w:t>
      </w:r>
    </w:p>
    <w:p>
      <w:pPr>
        <w:pStyle w:val="TextBody"/>
        <w:bidi w:val="0"/>
        <w:spacing w:before="120" w:after="283"/>
        <w:jc w:val="left"/>
        <w:rPr>
          <w:rFonts w:ascii="Arial" w:hAnsi="Arial"/>
          <w:color w:val="000000"/>
          <w:sz w:val="20"/>
        </w:rPr>
      </w:pPr>
      <w:r>
        <w:rPr>
          <w:rFonts w:ascii="Arial" w:hAnsi="Arial"/>
          <w:color w:val="000000"/>
          <w:sz w:val="20"/>
        </w:rPr>
        <w:t>We cannot be certain that C-FORWARD, our Phase 3 clinical trial evaluating the regimen of bemnifosbuvir and ruzasvir for the treatment of HCV, or any clinical trial evaluating AT-587 for the treatment of HEV will be successful. Additionally, we cannot be certain that the regimen of bemnifosbuvir and ruzasvir for the treatment of HCV, AT-587 for the treatment of HEV or future product candidates, if any, we may subsequently develop will receive regulatory approval or be successfully commercialized even if we receive regulatory approval. Further, our development of any product candidate may be delayed or suspended, which may affect our ability to successfully commercialize such product candidate. Additionally, our ability to successfully commercialize a product will also be dependent upon our ability to timely manufacture at commercial scale the quantities of product that will satisfy market demand.</w:t>
      </w:r>
    </w:p>
    <w:p>
      <w:pPr>
        <w:pStyle w:val="TextBody"/>
        <w:bidi w:val="0"/>
        <w:spacing w:before="120" w:after="283"/>
        <w:jc w:val="left"/>
        <w:rPr>
          <w:rFonts w:ascii="Arial" w:hAnsi="Arial"/>
          <w:color w:val="000000"/>
          <w:sz w:val="20"/>
        </w:rPr>
      </w:pPr>
      <w:r>
        <w:rPr>
          <w:rFonts w:ascii="Arial" w:hAnsi="Arial"/>
          <w:color w:val="000000"/>
          <w:sz w:val="20"/>
        </w:rPr>
        <w:t>Even if we receive approval to market our HCV product candidate, our HEV product candidate or any other product candidate, we cannot be certain that such product candidate will be as or more effective than commercially available alternatives, successfully commercialized or widely accepted in the marketplace. There are currently approved and well established oral antiviral HCV products against which we would be required to compete if the regimen of bemnifosbuvir and ruzasvir is approved for the treatment of HCV.</w:t>
      </w:r>
    </w:p>
    <w:p>
      <w:pPr>
        <w:pStyle w:val="TextBody"/>
        <w:bidi w:val="0"/>
        <w:spacing w:before="120" w:after="283"/>
        <w:jc w:val="left"/>
        <w:rPr>
          <w:rFonts w:ascii="Arial" w:hAnsi="Arial"/>
          <w:color w:val="000000"/>
          <w:sz w:val="20"/>
        </w:rPr>
      </w:pPr>
      <w:r>
        <w:rPr>
          <w:rFonts w:ascii="Arial" w:hAnsi="Arial"/>
          <w:color w:val="000000"/>
          <w:sz w:val="20"/>
        </w:rPr>
        <w:t>We cannot be certain that, if approved, the safety and efficacy profile of the regimen of bemnifosbuvir and ruzasvir will be consistent with the results observed in clinical trials. If we are not able to successfully complete the clinical development of the regimen of bemnifosbuvir and ruzasvir for the treatment of HCV, if the required regulatory approvals for this product candidate are not obtained, if there are significant delays in completing the development or obtaining approval of this product candidate or in supplying commercial quantities of the regimen of bemnifosbuvir and ruzasvir or any other product, if approved, on an uninterrupted basis, or if we are otherwise not commercially successful, our business, financial condition and results of operations may be materially harmed.</w:t>
      </w:r>
    </w:p>
    <w:p>
      <w:pPr>
        <w:pStyle w:val="TextBody"/>
        <w:bidi w:val="0"/>
        <w:spacing w:before="240" w:after="283"/>
        <w:jc w:val="left"/>
        <w:rPr>
          <w:rFonts w:ascii="Arial" w:hAnsi="Arial"/>
          <w:sz w:val="20"/>
        </w:rPr>
      </w:pPr>
      <w:r>
        <w:rPr>
          <w:rFonts w:ascii="Arial" w:hAnsi="Arial"/>
          <w:b/>
          <w:i/>
          <w:color w:val="000000"/>
          <w:sz w:val="20"/>
        </w:rPr>
        <w:t>The regulatory approval processes of the FDA and comparable foreign regulatory authorities are lengthy, expensive, time-consuming, and inherently unpredictable. If we are ultimately unable to obtain regulatory approval for our product candidates, we will be unable to generate product revenue and our business will be seriously harmed.</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are not permitted to commercialize, market, promote or sell any product candidate in the US without obtaining marketing approval from the FDA. Foreign regulatory authorities impose similar requirements. 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and the disease or condition for which the product candidate is intended. </w:t>
      </w:r>
    </w:p>
    <w:p>
      <w:pPr>
        <w:pStyle w:val="TextBody"/>
        <w:bidi w:val="0"/>
        <w:spacing w:before="120" w:after="283"/>
        <w:jc w:val="left"/>
        <w:rPr>
          <w:rFonts w:ascii="Arial" w:hAnsi="Arial"/>
          <w:color w:val="000000"/>
          <w:sz w:val="20"/>
        </w:rPr>
      </w:pPr>
      <w:r>
        <w:rPr>
          <w:rFonts w:ascii="Arial" w:hAnsi="Arial"/>
          <w:color w:val="000000"/>
          <w:sz w:val="20"/>
        </w:rPr>
        <w:t xml:space="preserve">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Regulatory authorities have substantial discretion in the approval process and may refuse to accept any application or may decide that our data are insufficient for approval and require additional preclinical, clinical or other studies. Approval by any one regulatory authority does not ensure approval by any other regulatory authority.</w:t>
      </w:r>
    </w:p>
    <w:p>
      <w:pPr>
        <w:pStyle w:val="TextBody"/>
        <w:bidi w:val="0"/>
        <w:spacing w:before="120" w:after="283"/>
        <w:jc w:val="left"/>
        <w:rPr>
          <w:rFonts w:ascii="Arial" w:hAnsi="Arial"/>
          <w:color w:val="000000"/>
          <w:sz w:val="20"/>
        </w:rPr>
      </w:pPr>
      <w:r>
        <w:rPr>
          <w:rFonts w:ascii="Arial" w:hAnsi="Arial"/>
          <w:color w:val="000000"/>
          <w:sz w:val="20"/>
        </w:rPr>
        <w:t>We have not submitted an NDA for, or obtained regulatory approval of, any product candidate. We must complete additional clinical and preclinical studies to demonstrate the safety and efficacy of our product candidates in humans to the satisfaction of the regulatory authorities before we will be able to obtain these approvals, and it is possible that none of our product candidates will ever obtain regulatory approval. Applications for our product candidates could fail to receive regulatory approval for many reasons, including but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disagree with the design, implementation or interpretation of results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population studied in the clinical program may not be sufficiently broad or representative to assure efficacy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be unable to demonstrate to the FDA or comparable foreign regulatory authorities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data collected from clinical trials of our product candidates may not be sufficient to support the submission of an NDA or other submission or to obtain regulatory approval in the US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fail to approve the manufacturing processes, test procedures and specifications,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approval policies or regulations of the FDA or comparable foreign regulatory authorities may significantly change in a manner rendering our clinical data insufficient for approval. </w:t>
      </w:r>
    </w:p>
    <w:p>
      <w:pPr>
        <w:pStyle w:val="TextBody"/>
        <w:bidi w:val="0"/>
        <w:spacing w:before="120" w:after="283"/>
        <w:jc w:val="left"/>
        <w:rPr>
          <w:rFonts w:ascii="Arial" w:hAnsi="Arial"/>
          <w:color w:val="000000"/>
          <w:sz w:val="20"/>
        </w:rPr>
      </w:pPr>
      <w:r>
        <w:rPr>
          <w:rFonts w:ascii="Arial" w:hAnsi="Arial"/>
          <w:color w:val="000000"/>
          <w:sz w:val="20"/>
        </w:rPr>
        <w:t xml:space="preserve">If the results of C-FORWARD, our HCV Phase 3 clinical trial, are unfavorable or we are otherwise not able to successfully complete our HCV development program, we may fail to obtain regulatory approval to market our HCV product candidate, which may seriously harm our business. Unfavorable results from clinical trials evaluating AT-587 or other product candidates, if any, that we may clinically develop, may result in us being unable to obtain regulatory approval for such product candidate. Further, even if we were to obtain approval, regulatory authorities may approve any of our product candidates for fewer or more limited indications than we request, may impose significant limitations in the form of narrow indications, warnings, or a Risk Evaluation and Mitigation Strategy (“REMS”) or similar risk management measures.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 </w:t>
      </w:r>
    </w:p>
    <w:p>
      <w:pPr>
        <w:pStyle w:val="TextBody"/>
        <w:bidi w:val="0"/>
        <w:spacing w:before="240" w:after="283"/>
        <w:jc w:val="left"/>
        <w:rPr>
          <w:rFonts w:ascii="Arial" w:hAnsi="Arial"/>
          <w:sz w:val="20"/>
        </w:rPr>
      </w:pPr>
      <w:r>
        <w:rPr>
          <w:rFonts w:ascii="Arial" w:hAnsi="Arial"/>
          <w:b/>
          <w:i/>
          <w:color w:val="000000"/>
          <w:sz w:val="20"/>
        </w:rPr>
        <w:t>Clinical development, including enrollment and retention of patients in clinical trials, is an expensive, lengthy and uncertain process. We may encounter substantial delays and costs in our clinical trials or may not be able to conduct or complete our clinical trials on the timelines we expect, if at all.</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time-consuming and subject to uncertainty. A failure of one or more clinical trials can occur at any stage of the process, such as the failure in September 2024 of bemnifosbuvir to meet the primary endpoint in the COVID-19 Phase 3 SUNRISE-3 clinical trial. The outcome of preclinical studies and early-stage clinical trials may not be predictive of the success of later clinical trials. Moreover, preclinical and clinical data, particularly the analysis of exploratory endpoints and analysis of data derived from patient subgroups, including in the case of HCV, patients infected with varying viral genotypes, are often susceptible to varying interpretations, and many companies that have believed their product </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candidates performed satisfactorily in preclinical studies and varying stages of clinical trials have nonetheless failed to obtain marketing approval of their drugs. </w:t>
      </w:r>
    </w:p>
    <w:p>
      <w:pPr>
        <w:pStyle w:val="TextBody"/>
        <w:bidi w:val="0"/>
        <w:spacing w:before="120" w:after="283"/>
        <w:jc w:val="left"/>
        <w:rPr>
          <w:rFonts w:ascii="Arial" w:hAnsi="Arial"/>
          <w:color w:val="000000"/>
          <w:sz w:val="20"/>
        </w:rPr>
      </w:pPr>
      <w:r>
        <w:rPr>
          <w:rFonts w:ascii="Arial" w:hAnsi="Arial"/>
          <w:color w:val="000000"/>
          <w:sz w:val="20"/>
        </w:rPr>
        <w:t xml:space="preserve">To date, we have not successfully concluded any late-stage or pivotal clinical trials for any of our product candidates. We cannot guarantee that any of our planned or ongoing clinical trials will be initiated or conducted as planned or completed on schedule, if at all. We also cannot be sure that submission of any future IND or similar application for any future product candidate will result in the FDA or other regulatory authority, as applicable, allowing future clinical trials to begin in a timely manner, if at all. Moreover, even for trials that begin or have begun, issues may arise that could cause regulatory authorities to suspend or terminate such clinical trials. </w:t>
      </w:r>
    </w:p>
    <w:p>
      <w:pPr>
        <w:pStyle w:val="TextBody"/>
        <w:bidi w:val="0"/>
        <w:spacing w:before="120" w:after="283"/>
        <w:jc w:val="left"/>
        <w:rPr>
          <w:rFonts w:ascii="Arial" w:hAnsi="Arial"/>
          <w:color w:val="000000"/>
          <w:sz w:val="20"/>
        </w:rPr>
      </w:pPr>
      <w:r>
        <w:rPr>
          <w:rFonts w:ascii="Arial" w:hAnsi="Arial"/>
          <w:color w:val="000000"/>
          <w:sz w:val="20"/>
        </w:rPr>
        <w:t xml:space="preserve">Events that may prevent successful or timely initiation or completion of clinical trials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 xml:space="preserve">inability to generate sufficient preclinical, toxicology, or other </w:t>
      </w:r>
      <w:r>
        <w:rPr>
          <w:rFonts w:ascii="Arial" w:hAnsi="Arial"/>
          <w:i/>
          <w:color w:val="000000"/>
          <w:sz w:val="20"/>
        </w:rPr>
        <w:t xml:space="preserve">in vivo </w:t>
      </w:r>
      <w:r>
        <w:rPr>
          <w:rFonts w:ascii="Arial" w:hAnsi="Arial"/>
          <w:color w:val="000000"/>
          <w:sz w:val="20"/>
        </w:rPr>
        <w:t xml:space="preserve">or </w:t>
      </w:r>
      <w:r>
        <w:rPr>
          <w:rFonts w:ascii="Arial" w:hAnsi="Arial"/>
          <w:i/>
          <w:color w:val="000000"/>
          <w:sz w:val="20"/>
        </w:rPr>
        <w:t>in vitro</w:t>
      </w:r>
      <w:r>
        <w:rPr>
          <w:color w:val="000000"/>
        </w:rPr>
        <w:t xml:space="preserve"> </w:t>
      </w:r>
      <w:r>
        <w:rPr>
          <w:rFonts w:ascii="Arial" w:hAnsi="Arial"/>
          <w:color w:val="000000"/>
          <w:sz w:val="20"/>
        </w:rPr>
        <w:t xml:space="preserve">data to support the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reaching a consensus with regulatory authorities on study design or implementation of the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or failure in obtaining regulatory allowance to commence or amend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reaching agreement on acceptable terms with prospective contract research organizations (“CROs”) and clinical trial sites, the terms of which can be subject to extensive negotiation and may vary significantly among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identifying, recruiting and training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obtaining required institutional review board or ethics committee approval or positive opinion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recruiting, screening and enrolling a suitable number and diversity of patients to participate in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subjects enrolled in our clinical trials or clinical sites deviating from the clinical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manufacturing, testing, releasing, validating or importing/exporting sufficient stable quantities of our product candidates for use in clinical trials or the inability to do any of the foregoing;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insufficient or inadequate supply or quality of product candidates or other materials necessary for use in clinical trials, or delays in sufficiently developing, characterizing or controlling a manufacturing process suitable for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imposition of a temporary or permanent clinical hold by regulatory authorities for a number of reasons, including after review of an IND or amendment or equivalent foreign application or amendment; as a result of a new safety finding that presents unreasonable risk to clinical trial participants; or a negative finding from an inspection of our clinical trial operations or study sites;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developments on trials conducted by competitors for related technology that raises FDA or foreign regulatory authority concerns about risk to patients of the technology broadly;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developments during the course of a clinical trial that cause the FDA, a foreign regulatory authority or the clinical trial data safety monitoring board (“DSMB”) to find that the investigational protocol or plan is clearly deficient to meet its stated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difficulty collaborating with patient groups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failure by our CROs, other third parties or us to adhere to clinical trial protocols; failure to perform in accordance with the FDA’s or any other regulatory authority’s good clinical practices (“GCPs”), or applicable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occurrence of adverse events associated with the product candidate that are viewed to outweigh its potential benefits, or occurrence of adverse events in trial of the same class of agents conducted by other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to the clinical trial protocols;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delays caused by patients withdrawing from clinical trials or failing to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regulatory requirements and guidance that require amending or submitting new clinical protocols or otherwise impact the conduct of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the standard of care or rate of event occurrence upon which a clinical development plan was based, which may require discontinuation of current trials or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selection of clinical endpoints that require prolonged periods of observation or analyses of resulting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clinical trials of our product candidates being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clinical trials of our product candidates producing negative or inconclusive results, which may result in our deciding, or regulators requiring us to conduct additional clinical trials or abandon development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transfer of manufacturing processes to larger-scale facilities operated by a contract manufacturing organization (“CMO”) and delays or failure by our CMOs or us to make any necessary changes to such manufacturing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third parties being unwilling or unable to satisfy their contractual obligations to us. </w:t>
      </w:r>
    </w:p>
    <w:p>
      <w:pPr>
        <w:pStyle w:val="TextBody"/>
        <w:bidi w:val="0"/>
        <w:spacing w:before="120" w:after="283"/>
        <w:jc w:val="left"/>
        <w:rPr>
          <w:rFonts w:ascii="Arial" w:hAnsi="Arial"/>
          <w:color w:val="000000"/>
          <w:sz w:val="20"/>
        </w:rPr>
      </w:pPr>
      <w:r>
        <w:rPr>
          <w:rFonts w:ascii="Arial" w:hAnsi="Arial"/>
          <w:color w:val="000000"/>
          <w:sz w:val="20"/>
        </w:rPr>
        <w:t xml:space="preserve">Any inability to successfully complete C-FORWARD, our Phase 3 clinical trial evaluating the regimen of bemnifosbuvir and ruzasvir for the treatment of HCV or the completion of our first-in-human Phase 1 and additional planned clinical trials we may initiate for AT-587, our HEV product candidate, could result in additional costs to us or impair our ability to seek approval for our HCV and HEV product candidate and ultimately generate revenue from product sales. </w:t>
      </w:r>
    </w:p>
    <w:p>
      <w:pPr>
        <w:pStyle w:val="TextBody"/>
        <w:bidi w:val="0"/>
        <w:spacing w:before="120" w:after="283"/>
        <w:jc w:val="left"/>
        <w:rPr>
          <w:rFonts w:ascii="Arial" w:hAnsi="Arial"/>
          <w:color w:val="000000"/>
          <w:sz w:val="20"/>
        </w:rPr>
      </w:pPr>
      <w:r>
        <w:rPr>
          <w:rFonts w:ascii="Arial" w:hAnsi="Arial"/>
          <w:color w:val="000000"/>
          <w:sz w:val="20"/>
        </w:rPr>
        <w:t xml:space="preserve">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any approved products have patent protection and may allow our competitors to further strengthen the market position of their current products or bring new products to market before we do, which could impair our ability to successfully commercialize our product candidates and may seriously harm our business. </w:t>
      </w:r>
    </w:p>
    <w:p>
      <w:pPr>
        <w:pStyle w:val="TextBody"/>
        <w:bidi w:val="0"/>
        <w:spacing w:before="120" w:after="283"/>
        <w:jc w:val="left"/>
        <w:rPr>
          <w:rFonts w:ascii="Arial" w:hAnsi="Arial"/>
          <w:color w:val="000000"/>
          <w:sz w:val="20"/>
        </w:rPr>
      </w:pPr>
      <w:r>
        <w:rPr>
          <w:rFonts w:ascii="Arial" w:hAnsi="Arial"/>
          <w:color w:val="000000"/>
          <w:sz w:val="20"/>
        </w:rPr>
        <w:t xml:space="preserve">We could also encounter delays if a clinical trial is suspended or terminated by us, by the DSMB for such trial, or by the FDA or any other regulatory authority, or if the institutional review boards of the institutions at which such trials are being conducted suspend or terminate the participation of the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t>
      </w:r>
    </w:p>
    <w:p>
      <w:pPr>
        <w:pStyle w:val="TextBody"/>
        <w:bidi w:val="0"/>
        <w:spacing w:before="120" w:after="283"/>
        <w:jc w:val="left"/>
        <w:rPr>
          <w:rFonts w:ascii="Arial" w:hAnsi="Arial"/>
          <w:color w:val="000000"/>
          <w:sz w:val="20"/>
        </w:rPr>
      </w:pPr>
      <w:r>
        <w:rPr>
          <w:rFonts w:ascii="Arial" w:hAnsi="Arial"/>
          <w:color w:val="000000"/>
          <w:sz w:val="20"/>
        </w:rPr>
        <w:t>Further, conducting clinical trials in foreign countries for our HCV and HEV product candidates or other product candidates, if any,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For example, clinical trial sites in Ukraine are participating in and have enrolled patients in C-FORWARD, our HCV Phase 3 clinical trial. To the extent that these patients are not able to complete the study or there is a loss of data related to those patients as a result of the ongoing conflict in that area or otherwise, there may be a delay in completing the study or an adverse impact on the results from the study.</w:t>
      </w:r>
    </w:p>
    <w:p>
      <w:pPr>
        <w:pStyle w:val="TextBody"/>
        <w:bidi w:val="0"/>
        <w:spacing w:before="120" w:after="283"/>
        <w:jc w:val="left"/>
        <w:rPr>
          <w:rFonts w:ascii="Arial" w:hAnsi="Arial"/>
          <w:color w:val="000000"/>
          <w:sz w:val="20"/>
        </w:rPr>
      </w:pPr>
      <w:r>
        <w:rPr>
          <w:rFonts w:ascii="Arial" w:hAnsi="Arial"/>
          <w:color w:val="000000"/>
          <w:sz w:val="20"/>
        </w:rPr>
        <w:t xml:space="preserve">Delays in the completion of any clinical trial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clinical trials that occur as a result could shorten any period during which we may have the exclusive right to commercialize our product candidates and our competitors may be able to further strengthen the market position of their current products or bring new or additional products to market </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before we do, which could significantly reduce the commercial viability of our product candidates. Any of these occurrences may harm our business, financial condition and prospects significantly. </w:t>
      </w:r>
    </w:p>
    <w:p>
      <w:pPr>
        <w:pStyle w:val="TextBody"/>
        <w:bidi w:val="0"/>
        <w:spacing w:before="120" w:after="283"/>
        <w:jc w:val="left"/>
        <w:rPr>
          <w:rFonts w:ascii="Arial" w:hAnsi="Arial"/>
          <w:color w:val="000000"/>
          <w:sz w:val="20"/>
        </w:rPr>
      </w:pPr>
      <w:r>
        <w:rPr>
          <w:rFonts w:ascii="Arial" w:hAnsi="Arial"/>
          <w:color w:val="000000"/>
          <w:sz w:val="20"/>
        </w:rPr>
        <w:t>In addition, the FDA’s and other regulatory authorities’ policies with respect to clinical trials being conducted outside North America may change and additional government regulations may be enacted. For instance, with very limited exception for certain EU countries and certain clinical trials, the regulatory landscape related to clinical trials in the EU recently evolved. The EU CTR which was adopted in April 2014 and repeals the EU Clinical Trials Directive (“EU Clinical Trials Directive”), became applicable on January 31, 2022. While the EU Clinical Trials Directive required a separate CTA to be submitted in each member state in which the clinical trial takes place, to both the competent national health authority and an independent ethics committee, the CTR introduced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With very limited exception for certain EU countries and certain clinical trials including our first-in-human clinical trial of AT-587, all CTAs and clinical trials conducted in the EU (including those which are ongoing) are subject to the provisions of the CTR. As a result, the CTAs we have submitted in connection with the conduct of our HCV Phase 3 clinical trial in the EU were prepared in compliance with the CTR requirements. We have limited experience submitting applications under the CTR. If we or our third-party service providers, such as CROs, encounter difficulties or are unable to comply with the CTR requirements our developments plans would be adversely impacted.</w:t>
      </w:r>
    </w:p>
    <w:p>
      <w:pPr>
        <w:pStyle w:val="TextBody"/>
        <w:bidi w:val="0"/>
        <w:spacing w:before="120" w:after="283"/>
        <w:jc w:val="left"/>
        <w:rPr>
          <w:rFonts w:ascii="Arial" w:hAnsi="Arial"/>
          <w:color w:val="000000"/>
          <w:sz w:val="20"/>
        </w:rPr>
      </w:pPr>
      <w:r>
        <w:rPr>
          <w:rFonts w:ascii="Arial" w:hAnsi="Arial"/>
          <w:color w:val="000000"/>
          <w:sz w:val="20"/>
        </w:rPr>
        <w:t xml:space="preserve">In April 2025, the UK government adopted the Medicines for Human Use (Clinical Trials) Amendment Regulations. The amendment, which will take full effect from April 2026, aims to provide a more flexible regime to make it easier to conduct clinical trials in the UK, increase the transparency of clinical trials conducted in the UK and make clinical trials more patient centered. </w:t>
      </w:r>
    </w:p>
    <w:p>
      <w:pPr>
        <w:pStyle w:val="TextBody"/>
        <w:bidi w:val="0"/>
        <w:spacing w:before="120" w:after="283"/>
        <w:jc w:val="left"/>
        <w:rPr>
          <w:rFonts w:ascii="Arial" w:hAnsi="Arial"/>
          <w:color w:val="000000"/>
          <w:sz w:val="20"/>
        </w:rPr>
      </w:pPr>
      <w:r>
        <w:rPr>
          <w:rFonts w:ascii="Arial" w:hAnsi="Arial"/>
          <w:color w:val="000000"/>
          <w:sz w:val="20"/>
        </w:rPr>
        <w:t>If we are slow or unable to adapt to changes in existing requirements or the adoption of new requirements or policies governing clinical trials, our development plans may also be impacted.</w:t>
      </w:r>
    </w:p>
    <w:p>
      <w:pPr>
        <w:pStyle w:val="TextBody"/>
        <w:bidi w:val="0"/>
        <w:spacing w:before="240" w:after="283"/>
        <w:jc w:val="left"/>
        <w:rPr>
          <w:rFonts w:ascii="Arial" w:hAnsi="Arial"/>
          <w:b/>
          <w:i/>
          <w:color w:val="000000"/>
          <w:sz w:val="20"/>
        </w:rPr>
      </w:pPr>
      <w:r>
        <w:rPr>
          <w:rFonts w:ascii="Arial" w:hAnsi="Arial"/>
          <w:b/>
          <w:i/>
          <w:color w:val="000000"/>
          <w:sz w:val="20"/>
        </w:rPr>
        <w:t>We are developing certain of our product candidates in combination with other therapies, which exposes us to additional risks.</w:t>
      </w:r>
    </w:p>
    <w:p>
      <w:pPr>
        <w:pStyle w:val="TextBody"/>
        <w:bidi w:val="0"/>
        <w:spacing w:before="120" w:after="283"/>
        <w:jc w:val="left"/>
        <w:rPr>
          <w:rFonts w:ascii="Arial" w:hAnsi="Arial"/>
          <w:color w:val="000000"/>
          <w:sz w:val="20"/>
        </w:rPr>
      </w:pPr>
      <w:r>
        <w:rPr>
          <w:rFonts w:ascii="Arial" w:hAnsi="Arial"/>
          <w:color w:val="000000"/>
          <w:sz w:val="20"/>
        </w:rPr>
        <w:t>Combination therapies are commonly used for the treatment of viral infections. Developing combination therapies exposes us to additional clinical risks, such as the requirement that we demonstrate the safety and efficacy of each active component of any combination regimen we may develop.</w:t>
      </w:r>
    </w:p>
    <w:p>
      <w:pPr>
        <w:pStyle w:val="TextBody"/>
        <w:bidi w:val="0"/>
        <w:spacing w:before="120" w:after="283"/>
        <w:jc w:val="left"/>
        <w:rPr>
          <w:rFonts w:ascii="Arial" w:hAnsi="Arial"/>
          <w:color w:val="000000"/>
          <w:sz w:val="20"/>
        </w:rPr>
      </w:pPr>
      <w:r>
        <w:rPr>
          <w:rFonts w:ascii="Arial" w:hAnsi="Arial"/>
          <w:color w:val="000000"/>
          <w:sz w:val="20"/>
        </w:rPr>
        <w:t>For the treatment of HCV, we are currently developing bemnifosbuvir in combination with ruzasvir, a product candidate that has not yet been approved for marketing by the FDA or similar foreign regulatory authorities.</w:t>
      </w:r>
    </w:p>
    <w:p>
      <w:pPr>
        <w:pStyle w:val="TextBody"/>
        <w:bidi w:val="0"/>
        <w:spacing w:before="120" w:after="283"/>
        <w:jc w:val="left"/>
        <w:rPr>
          <w:rFonts w:ascii="Arial" w:hAnsi="Arial"/>
          <w:color w:val="000000"/>
          <w:sz w:val="20"/>
        </w:rPr>
      </w:pPr>
      <w:r>
        <w:rPr>
          <w:rFonts w:ascii="Arial" w:hAnsi="Arial"/>
          <w:color w:val="000000"/>
          <w:sz w:val="20"/>
        </w:rPr>
        <w:t>If the FDA or similar foreign regulatory authorities do not approve the combination agents or revoke the approval thereof, or if safety, efficacy, manufacturing, or supply issues arise with the drugs we choose to evaluate in combination with our product candidates, we may be unable to obtain approval of or market our product candidates for combination therapy regimens.</w:t>
      </w:r>
    </w:p>
    <w:p>
      <w:pPr>
        <w:pStyle w:val="TextBody"/>
        <w:bidi w:val="0"/>
        <w:spacing w:before="120" w:after="283"/>
        <w:jc w:val="left"/>
        <w:rPr>
          <w:rFonts w:ascii="Arial" w:hAnsi="Arial"/>
          <w:color w:val="000000"/>
          <w:sz w:val="20"/>
        </w:rPr>
      </w:pPr>
      <w:r>
        <w:rPr>
          <w:rFonts w:ascii="Arial" w:hAnsi="Arial"/>
          <w:color w:val="000000"/>
          <w:sz w:val="20"/>
        </w:rPr>
        <w:t>Additionally, if the third-party manufacturers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spacing w:before="240" w:after="283"/>
        <w:jc w:val="left"/>
        <w:rPr>
          <w:rFonts w:ascii="Arial" w:hAnsi="Arial"/>
          <w:sz w:val="20"/>
        </w:rPr>
      </w:pPr>
      <w:r>
        <w:rPr>
          <w:rFonts w:ascii="Arial" w:hAnsi="Arial"/>
          <w:b/>
          <w:i/>
          <w:color w:val="000000"/>
          <w:sz w:val="20"/>
        </w:rPr>
        <w:t>Our product candidates may be associated with serious adverse events (“SAEs”), undesirable side effects or have other properties that could halt their clinical development, prevent their regulatory approval, limit their commercial potential or result in significant negative consequences.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Adverse events or other undesirable side effects caused by our product candidates could cause us, our collaborators, any DSMB for a trial, or regulatory authorities to interrupt, delay or halt clinical trials and could result in a more restrictive label or the delay or denial of regulatory approval by the FDA or other comparable foreign regulatory authorities. </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 </w:t>
      </w:r>
    </w:p>
    <w:p>
      <w:pPr>
        <w:pStyle w:val="TextBody"/>
        <w:bidi w:val="0"/>
        <w:spacing w:before="120" w:after="283"/>
        <w:jc w:val="left"/>
        <w:rPr>
          <w:rFonts w:ascii="Arial" w:hAnsi="Arial"/>
          <w:color w:val="000000"/>
          <w:sz w:val="20"/>
        </w:rPr>
      </w:pPr>
      <w:r>
        <w:rPr>
          <w:rFonts w:ascii="Arial" w:hAnsi="Arial"/>
          <w:color w:val="000000"/>
          <w:sz w:val="20"/>
        </w:rPr>
        <w:t xml:space="preserve">If any SAEs occur, clinical trials or commercial distribution of any product we successfully develop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to cease further development of, deny approval of, or require us to cease selling any product candidate or product for any or all targeted indications. If we are required to delay, suspend or terminate any clinical trial or commercialization efforts, the commercial prospects of such product candidate or product may be harmed, and our ability to generate revenues from such product may be delayed or eliminated. 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regulatory authorities may suspend, limit or withdraw approvals of such product, or seek an injunction against its manufacture or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authorities may require additional warnings on the label, including “boxed” warnings, or issue safety alerts, Dear Healthcare Provider letters, press releases or other communications containing warnings or other safety information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be required to change the way the product is administered or conduct additional clinical trials or post-approval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be required to create a REMS or similar risk management measures which could include a medication guide outlining the risks of such side effects for distribution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be subject to fines, injunctions or the imposition of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reputation may suffer. </w:t>
      </w:r>
    </w:p>
    <w:p>
      <w:pPr>
        <w:pStyle w:val="TextBody"/>
        <w:bidi w:val="0"/>
        <w:spacing w:before="120" w:after="283"/>
        <w:jc w:val="left"/>
        <w:rPr>
          <w:rFonts w:ascii="Arial" w:hAnsi="Arial"/>
          <w:color w:val="000000"/>
          <w:sz w:val="20"/>
        </w:rPr>
      </w:pPr>
      <w:r>
        <w:rPr>
          <w:rFonts w:ascii="Arial" w:hAnsi="Arial"/>
          <w:color w:val="000000"/>
          <w:sz w:val="20"/>
        </w:rPr>
        <w:t xml:space="preserve">Any of these events could prevent us from achieving or maintaining market acceptance of the particular product candidate, if approved, and could seriously harm our business, financial condition and results of operations. </w:t>
      </w:r>
    </w:p>
    <w:p>
      <w:pPr>
        <w:pStyle w:val="TextBody"/>
        <w:bidi w:val="0"/>
        <w:spacing w:before="240" w:after="283"/>
        <w:jc w:val="left"/>
        <w:rPr>
          <w:rFonts w:ascii="Arial" w:hAnsi="Arial"/>
          <w:sz w:val="20"/>
        </w:rPr>
      </w:pPr>
      <w:r>
        <w:rPr>
          <w:rFonts w:ascii="Arial" w:hAnsi="Arial"/>
          <w:b/>
          <w:i/>
          <w:color w:val="000000"/>
          <w:sz w:val="20"/>
        </w:rPr>
        <w:t>If we encounter difficulties enrolling and retaining enrolled patients in our clinical trials and having patients comply with the clinical trial protocol, our clinical development activities could be delayed or otherwise adversely affected.</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may experience difficulties in patient enrollment in our clinical trials for a variety of reasons. The timely completion of clinical trials in accordance with their protocols depends, among other things, on our ability to enroll a sufficient number of patients who remain adherent to the protocol and in the trial until its conclusion. A delay in the completion of the study would also delay our ability to seek regulatory approval to commercialize the product candidate which is being evaluated in the clinical trial. </w:t>
      </w:r>
    </w:p>
    <w:p>
      <w:pPr>
        <w:pStyle w:val="TextBody"/>
        <w:bidi w:val="0"/>
        <w:spacing w:before="120" w:after="283"/>
        <w:jc w:val="left"/>
        <w:rPr>
          <w:rFonts w:ascii="Arial" w:hAnsi="Arial"/>
          <w:color w:val="000000"/>
          <w:sz w:val="20"/>
        </w:rPr>
      </w:pPr>
      <w:r>
        <w:rPr>
          <w:rFonts w:ascii="Arial" w:hAnsi="Arial"/>
          <w:color w:val="000000"/>
          <w:sz w:val="20"/>
        </w:rPr>
        <w:t xml:space="preserve">Enrollment of patients and timely completion of our clinical trials depends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patient eligibility criteria defined in the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size of the target disease population and rates of diagnostic testing among the target disease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size of the patient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proximity of patients to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design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recruit clinical trial investigators with the appropriate competencies and experience;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clinicians’ and patients’ perceptions as to the potential advantages of the product candidate being studied in relation to other available therapies, including any products that may be approved for the indications we are investigating;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obtain and maintain patient consents;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risk that patients enrolled in clinical trials will drop out of the trials before trial completion;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risk that patients enrolled in the clinical trial will fail to adhere to the protocol;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 factors outside of our control, such as political unrest, war, terrorism and the occurrence of a global health crisis such as COVID-19 which, among other things, created substantial burdens on healthcare providers who were required to prioritize immediate critical patient care over clinical research. </w:t>
      </w:r>
    </w:p>
    <w:p>
      <w:pPr>
        <w:pStyle w:val="TextBody"/>
        <w:bidi w:val="0"/>
        <w:spacing w:before="120" w:after="283"/>
        <w:jc w:val="left"/>
        <w:rPr>
          <w:rFonts w:ascii="Arial" w:hAnsi="Arial"/>
          <w:color w:val="000000"/>
          <w:sz w:val="20"/>
        </w:rPr>
      </w:pPr>
      <w:r>
        <w:rPr>
          <w:rFonts w:ascii="Arial" w:hAnsi="Arial"/>
          <w:color w:val="000000"/>
          <w:sz w:val="20"/>
        </w:rPr>
        <w:t xml:space="preserve">In addition, our clinical trials may compete with other clinical trials sponsored by third parties, including potential competitors, that are in the same or substantially similar therapeutic areas as our product candidates, and this competition may reduce the number and types of patients available to us because some patients who might have opted to enroll in our trials may instead opt to enroll in a trial being conducted by one of our competitors. Since the number of qualified clinical investigators is limited, it is possible that we will conduct some of our clinical trials at the same clinical trial sites that some of our competitors use, which will reduce the number of patients who are available for our clinical trials at such clinical trial sites. </w:t>
      </w:r>
    </w:p>
    <w:p>
      <w:pPr>
        <w:pStyle w:val="TextBody"/>
        <w:bidi w:val="0"/>
        <w:spacing w:before="120" w:after="283"/>
        <w:jc w:val="left"/>
        <w:rPr>
          <w:rFonts w:ascii="Arial" w:hAnsi="Arial"/>
          <w:color w:val="000000"/>
          <w:sz w:val="20"/>
        </w:rPr>
      </w:pPr>
      <w:r>
        <w:rPr>
          <w:rFonts w:ascii="Arial" w:hAnsi="Arial"/>
          <w:color w:val="000000"/>
          <w:sz w:val="20"/>
        </w:rPr>
        <w:t>Delays in patient enrollment may result in increased costs or may affect the timing or outcome of our ongoing and planned clinical trials, which could prevent completion or commencement of these trials and adversely affect our ability to advance the development of our product candidates.</w:t>
      </w:r>
    </w:p>
    <w:p>
      <w:pPr>
        <w:pStyle w:val="TextBody"/>
        <w:bidi w:val="0"/>
        <w:spacing w:before="120" w:after="283"/>
        <w:jc w:val="left"/>
        <w:rPr>
          <w:rFonts w:ascii="Arial" w:hAnsi="Arial"/>
          <w:color w:val="000000"/>
          <w:sz w:val="20"/>
        </w:rPr>
      </w:pPr>
      <w:r>
        <w:rPr>
          <w:rFonts w:ascii="Arial" w:hAnsi="Arial"/>
          <w:color w:val="000000"/>
          <w:sz w:val="20"/>
        </w:rPr>
        <w:t>Patients failing to adhere to the protocol, whether as a result of failing to take the drug as directed or otherwise, may adversely impact the clinical trial results if the lack of adherence or other failure to follow the protocol contributes to or results in the patient failing to meet the clinical trial primary endpoint.</w:t>
      </w:r>
    </w:p>
    <w:p>
      <w:pPr>
        <w:pStyle w:val="TextBody"/>
        <w:bidi w:val="0"/>
        <w:spacing w:before="240" w:after="283"/>
        <w:jc w:val="left"/>
        <w:rPr>
          <w:rFonts w:ascii="Arial" w:hAnsi="Arial"/>
          <w:sz w:val="20"/>
        </w:rPr>
      </w:pPr>
      <w:r>
        <w:rPr>
          <w:rFonts w:ascii="Arial" w:hAnsi="Arial"/>
          <w:b/>
          <w:i/>
          <w:color w:val="000000"/>
          <w:sz w:val="20"/>
        </w:rPr>
        <w:t>A Fast Track designation by the FDA may not lead to a faster development or regulatory review or approval process and does not increase the likelihood that our product candidates will receive marketing approval.</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If a product candidate is intended for the treatment of a serious or life-threatening condition and the product candidate demonstrates the potential to address unmet medical needs for such condition, the product candidate sponsor may apply for Fast Track designation. The sponsor of a product candidate that has received Fast Track designation may have opportunities for more frequent interactions with the FDA review team during product development and, once an NDA is submitted, the NDA may be eligible for priority review. An NDA for a Fast Track designated product candidate may also be eligible for rolling review, where the FDA may consider review of sections of the NDA on a rolling basis before the complete NDA is submitted. </w:t>
      </w:r>
    </w:p>
    <w:p>
      <w:pPr>
        <w:pStyle w:val="TextBody"/>
        <w:bidi w:val="0"/>
        <w:spacing w:before="120" w:after="283"/>
        <w:jc w:val="left"/>
        <w:rPr>
          <w:rFonts w:ascii="Arial" w:hAnsi="Arial"/>
          <w:color w:val="000000"/>
          <w:sz w:val="20"/>
        </w:rPr>
      </w:pPr>
      <w:r>
        <w:rPr>
          <w:rFonts w:ascii="Arial" w:hAnsi="Arial"/>
          <w:color w:val="000000"/>
          <w:sz w:val="20"/>
        </w:rPr>
        <w:t>The FDA has broad discretion whether or not to grant Fast Track designation to any particular product candidate. As a result, we may seek such Fast Track designation for our product candidates, but cannot assure you that the FDA would decide to grant it. Even if a Fast Track designation has been received, we may not experience a faster development process, review or approval compared to conventional FDA procedures. The FDA may withdraw Fast Track designation if it believes that the designation is no longer supported by data from our clinical development program. Many product candidates that have received Fast Track designation have nevertheless failed to obtain approval.</w:t>
      </w:r>
    </w:p>
    <w:p>
      <w:pPr>
        <w:pStyle w:val="TextBody"/>
        <w:bidi w:val="0"/>
        <w:spacing w:before="240" w:after="283"/>
        <w:jc w:val="left"/>
        <w:rPr>
          <w:rFonts w:ascii="Arial" w:hAnsi="Arial"/>
          <w:sz w:val="20"/>
        </w:rPr>
      </w:pPr>
      <w:r>
        <w:rPr>
          <w:rFonts w:ascii="Arial" w:hAnsi="Arial"/>
          <w:b/>
          <w:i/>
          <w:color w:val="000000"/>
          <w:sz w:val="20"/>
        </w:rPr>
        <w:t>We currently conduct clinical trials, and may in the future choose to conduct additional clinical trials, of our product candidates in sites outside the US, and the FDA may not accept data from trials conducted in foreign locations.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currently conduct, and expect in the future to conduct, clinical trials outside the US for our product candidates. The acceptance of study data from clinical trials conducted outside the US or another jurisdiction by the FDA or comparable foreign regulatory authorities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 (“GCP”) regulations; and (iii) the data may be considered valid without the need for an on-site inspection by the FDA, or if the FDA considers such inspection to </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be necessary, the FDA is able to validate the data through an on-site inspection or other appropriate means. In addition, even where the foreign study data are not intended to serve as the sole basis for approval, if the study was not otherwise subject to an IND, the FDA will not accept the data as support for an application for marketing approval unless the study was 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pStyle w:val="TextBody"/>
        <w:bidi w:val="0"/>
        <w:spacing w:before="120" w:after="283"/>
        <w:jc w:val="left"/>
        <w:rPr>
          <w:rFonts w:ascii="Arial" w:hAnsi="Arial"/>
          <w:color w:val="000000"/>
          <w:sz w:val="20"/>
        </w:rPr>
      </w:pPr>
      <w:r>
        <w:rPr>
          <w:rFonts w:ascii="Arial" w:hAnsi="Arial"/>
          <w:color w:val="000000"/>
          <w:sz w:val="20"/>
        </w:rPr>
        <w:t xml:space="preserve">In addition, there are risks inherent in conducting clinical trials in multiple jurisdictions, inside and outside of the US,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regulatory and administrative requirements of the jurisdiction where the trial is conducted that could burden or limit our ability to conduct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foreign exchange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manufacturing, customs, shipment and storage requirements for clinical trial materials and supplies as well as shipment and storage of biological samples;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cultural differences in medical practice and clinical research;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risk that the patient populations in such trials are not considered representative as compared to the patient population in the target markets where approval is being sought. </w:t>
      </w:r>
    </w:p>
    <w:p>
      <w:pPr>
        <w:pStyle w:val="TextBody"/>
        <w:bidi w:val="0"/>
        <w:spacing w:before="240" w:after="283"/>
        <w:jc w:val="left"/>
        <w:rPr>
          <w:rFonts w:ascii="Arial" w:hAnsi="Arial"/>
          <w:sz w:val="20"/>
        </w:rPr>
      </w:pPr>
      <w:r>
        <w:rPr>
          <w:rFonts w:ascii="Arial" w:hAnsi="Arial"/>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From time to time, we may publicly disclose preliminary or top-line data from our preclinical studies and clinical trials, which is based on a preliminary analysis of then-available data. Similar to all preliminary and then-available data, these results and related findings and conclusions are subject to change as additional data becomes available or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Consequently, the top-line or preliminary data that we report may differ from final results reported from the same studies, or different conclusions or considerations may qualify such preliminary or topline data, once additional data have been received and fully evaluated. Top-line and preliminary data also remain subject to audit and verification procedures that may result in the final results being materially different from the preliminary or topline data we previously published. As a result, top-line and preliminary data should be viewed with caution until the final data are available.</w:t>
      </w:r>
    </w:p>
    <w:p>
      <w:pPr>
        <w:pStyle w:val="TextBody"/>
        <w:bidi w:val="0"/>
        <w:spacing w:before="120" w:after="283"/>
        <w:jc w:val="left"/>
        <w:rPr>
          <w:rFonts w:ascii="Arial" w:hAnsi="Arial"/>
          <w:color w:val="000000"/>
          <w:sz w:val="20"/>
        </w:rPr>
      </w:pPr>
      <w:r>
        <w:rPr>
          <w:rFonts w:ascii="Arial" w:hAnsi="Arial"/>
          <w:color w:val="000000"/>
          <w:sz w:val="20"/>
        </w:rPr>
        <w:t xml:space="preserve">From time to time, we may also disclose interim data from our preclinical studies and clinical trials. Interim data from clinical trials that we may subsequently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results could significantly harm our business prospects. Further, disclosure of interim data by us or by our competitors could result in volatility in the price of our common stock. </w:t>
      </w:r>
    </w:p>
    <w:p>
      <w:pPr>
        <w:pStyle w:val="TextBody"/>
        <w:bidi w:val="0"/>
        <w:spacing w:before="120" w:after="283"/>
        <w:jc w:val="left"/>
        <w:rPr>
          <w:rFonts w:ascii="Arial" w:hAnsi="Arial"/>
          <w:color w:val="000000"/>
          <w:sz w:val="20"/>
        </w:rPr>
      </w:pPr>
      <w:r>
        <w:rPr>
          <w:rFonts w:ascii="Arial" w:hAnsi="Arial"/>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w:t>
      </w:r>
    </w:p>
    <w:p>
      <w:pPr>
        <w:pStyle w:val="TextBody"/>
        <w:bidi w:val="0"/>
        <w:spacing w:before="120" w:after="283"/>
        <w:jc w:val="left"/>
        <w:rPr>
          <w:rFonts w:ascii="Arial" w:hAnsi="Arial"/>
          <w:color w:val="000000"/>
          <w:sz w:val="20"/>
        </w:rPr>
      </w:pPr>
      <w:r>
        <w:rPr>
          <w:rFonts w:ascii="Arial" w:hAnsi="Arial"/>
          <w:color w:val="000000"/>
          <w:sz w:val="20"/>
        </w:rPr>
        <w:t xml:space="preserve">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reached, our ability to obtain approval for, and commercialize, our product candidates may be harmed, which could harm our business, operating results, prospects or financial condition. </w:t>
      </w:r>
    </w:p>
    <w:p>
      <w:pPr>
        <w:pStyle w:val="TextBody"/>
        <w:bidi w:val="0"/>
        <w:spacing w:before="240" w:after="283"/>
        <w:jc w:val="left"/>
        <w:rPr>
          <w:rFonts w:ascii="Arial" w:hAnsi="Arial"/>
          <w:sz w:val="20"/>
        </w:rPr>
      </w:pPr>
      <w:r>
        <w:rPr>
          <w:rFonts w:ascii="Arial" w:hAnsi="Arial"/>
          <w:b/>
          <w:i/>
          <w:color w:val="000000"/>
          <w:sz w:val="20"/>
        </w:rPr>
        <w:t>We may not be successful in our efforts to identify and successfully develop additional product candidates.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Part of our strategy involves identifying novel product candidates. </w:t>
      </w:r>
    </w:p>
    <w:p>
      <w:pPr>
        <w:pStyle w:val="TextBody"/>
        <w:bidi w:val="0"/>
        <w:spacing w:before="120" w:after="283"/>
        <w:jc w:val="left"/>
        <w:rPr>
          <w:rFonts w:ascii="Arial" w:hAnsi="Arial"/>
          <w:color w:val="000000"/>
          <w:sz w:val="20"/>
        </w:rPr>
      </w:pPr>
      <w:r>
        <w:rPr>
          <w:rFonts w:ascii="Arial" w:hAnsi="Arial"/>
          <w:color w:val="000000"/>
          <w:sz w:val="20"/>
        </w:rPr>
        <w:t xml:space="preserve">Our efforts to discover additional product candidates may fail to yield product candidates for clinical development for a number of reasons, including those discussed in these risk factors and also: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not be able to assemble sufficient resources to acquire or discover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competitors may develop alternatives that render our potential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potential product candidates we develop may nevertheless be covered by third-parties’ patent or other intellectual property or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potential product candidates may, in further study, be shown to have harmful side effects, toxicities or other characteristics that indicate that they are unlikely to be products that will receive marketing approval or achieve market acceptance,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potential product candidates may not be effective in treating their targeted diseases or symptoms;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market for a potential product candidate may change so that the continued development of that product candidate is no longer reasonable;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potential product candidate may not be capable of being produced in commercial quantities at an acceptable cost, or at all; 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regulatory pathway for a potential product candidate is highly complex and difficult to navigate successfully or economically. </w:t>
      </w:r>
    </w:p>
    <w:p>
      <w:pPr>
        <w:pStyle w:val="TextBody"/>
        <w:bidi w:val="0"/>
        <w:spacing w:before="120" w:after="283"/>
        <w:jc w:val="left"/>
        <w:rPr>
          <w:rFonts w:ascii="Arial" w:hAnsi="Arial"/>
          <w:color w:val="000000"/>
          <w:sz w:val="20"/>
        </w:rPr>
      </w:pPr>
      <w:r>
        <w:rPr>
          <w:rFonts w:ascii="Arial" w:hAnsi="Arial"/>
          <w:color w:val="000000"/>
          <w:sz w:val="20"/>
        </w:rPr>
        <w:t xml:space="preserve">If we are unable to identify and successfully develop and commercialize additional suitable product candidates, this would adversely impact our business strategy and our financial position. </w:t>
      </w:r>
    </w:p>
    <w:p>
      <w:pPr>
        <w:pStyle w:val="TextBody"/>
        <w:bidi w:val="0"/>
        <w:spacing w:before="240" w:after="283"/>
        <w:jc w:val="left"/>
        <w:rPr>
          <w:rFonts w:ascii="Arial" w:hAnsi="Arial"/>
          <w:sz w:val="20"/>
        </w:rPr>
      </w:pPr>
      <w:r>
        <w:rPr>
          <w:rFonts w:ascii="Arial" w:hAnsi="Arial"/>
          <w:b/>
          <w:i/>
          <w:color w:val="000000"/>
          <w:sz w:val="20"/>
        </w:rPr>
        <w:t>We may focus on potential product candidates that may prove to be unsuccessful and we may have to forego opportunities to develop other product candidates that may prove to be more successful.</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may choose to focus our efforts and resources on one or more potential product candidates that ultimately prove to be unsuccessful as was the case with the failure of bemnifosbuvir to meet the primary endpoint in the COVID-19 Phase 3 SUNRISE-3 clinical trial. Further, we may license or purchase a marketed product that does not meet our financial expectations. As a result, we may fail to capitalize on viable commercial products or profitable market opportunities, be required to forego or delay pursuit of opportunities with other product candidates or other diseases that may later prove to have greater commercial potential. </w:t>
      </w:r>
    </w:p>
    <w:p>
      <w:pPr>
        <w:pStyle w:val="TextBody"/>
        <w:bidi w:val="0"/>
        <w:spacing w:before="120" w:after="283"/>
        <w:jc w:val="left"/>
        <w:rPr>
          <w:rFonts w:ascii="Arial" w:hAnsi="Arial"/>
          <w:color w:val="000000"/>
          <w:sz w:val="20"/>
        </w:rPr>
      </w:pPr>
      <w:r>
        <w:rPr>
          <w:rFonts w:ascii="Arial" w:hAnsi="Arial"/>
          <w:color w:val="000000"/>
          <w:sz w:val="20"/>
        </w:rPr>
        <w:t xml:space="preserve">Furthermore, we have limited financial and personnel resources and are placing significant focus on the development of our lead product candidate, the regimen of bemnifosbuvir and ruzasvir for the treatment of HCV, and the development of AT-587 for the treatment of HEV and as such, we may forgo or delay pursuit of opportunities with other future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other future product candidates for specific indications may not yield any commercially viable future product candidates. If we do not accurately evaluate the commercial potential or target market for a particular product candidate, we may relinquish valuable rights to such product candidate through collaboration, licensing or other royalty arrangements in cases in which it would have been more advantageous for us to retain sole development and commercialization rights to such future product candidates.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0"/>
        </w:rPr>
      </w:pPr>
      <w:r>
        <w:rPr>
          <w:rFonts w:ascii="Arial" w:hAnsi="Arial"/>
          <w:b/>
          <w:i/>
          <w:color w:val="000000"/>
          <w:sz w:val="20"/>
        </w:rPr>
        <w:t>We may attempt to secure FDA approval of certain product candidates through the use of the accelerated approval pathway or similar expedited approval pathways outside the US.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or similar expedited approval by foreign regulatory authorities, if our confirmatory trials do not verify clinical benefit, or if we do not comply with rigorous post-marketing requirements, the FDA or foreign regulatory authorities may seek to withdraw accelerated approval or similar conditional approval.</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are developing our product candidates for the treatment of serious conditions and therefore may decide to seek approval of such product candidates under the FDA’s accelerated approval pathway. A product candidate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w:t>
      </w:r>
    </w:p>
    <w:p>
      <w:pPr>
        <w:pStyle w:val="TextBody"/>
        <w:bidi w:val="0"/>
        <w:spacing w:before="120" w:after="283"/>
        <w:jc w:val="left"/>
        <w:rPr>
          <w:rFonts w:ascii="Arial" w:hAnsi="Arial"/>
          <w:color w:val="000000"/>
          <w:sz w:val="20"/>
        </w:rPr>
      </w:pPr>
      <w:r>
        <w:rPr>
          <w:rFonts w:ascii="Arial" w:hAnsi="Arial"/>
          <w:color w:val="000000"/>
          <w:sz w:val="20"/>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confirmatory studies to verify and describe the drug’s clinical benefit. If the sponsor fails to conduct such studies in a timely manner, or if such confirmatory studies fail to verify the drug’s predicted clinical benefit, the FDA may withdraw its approval of the drug on an expedited basis. Additionally, as a part of the Food and Drug Omnibus Reform Act of 2022, the FDA obtained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pStyle w:val="TextBody"/>
        <w:bidi w:val="0"/>
        <w:spacing w:before="120" w:after="283"/>
        <w:jc w:val="left"/>
        <w:rPr>
          <w:rFonts w:ascii="Arial" w:hAnsi="Arial"/>
          <w:color w:val="000000"/>
          <w:sz w:val="20"/>
        </w:rPr>
      </w:pPr>
      <w:r>
        <w:rPr>
          <w:rFonts w:ascii="Arial" w:hAnsi="Arial"/>
          <w:color w:val="000000"/>
          <w:sz w:val="20"/>
        </w:rPr>
        <w:t>In the EU, a “conditional” MA may be granted in cases where all the required safety and efficacy data are not yet available. The conditional MA is subject to conditions to be fulfilled for generating the missing data or ensuring increased safety measures. It is valid for one year and has to be renewed annually until fulfillment of all the conditions. Once the pending studies are provided, it can become a “standard” MA. However, if the conditions are not fulfilled within the timeframe set by the EMA, the MA ceases to be renewed. Furthermore, MA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 is close to the conditional MA as it is reserved for medicinal products to be approved for severe diseases or unmet medical needs and the applicant does not hold the complete data set legally required for the grant of a MA. However, unlike the conditional MA, the applicant does not have to provide the missing data and will never have to. Although the MA “under exceptional circumstances” is granted definitively, the risk-benefit balance of the medicinal product is reviewed annually, and the MA is withdrawn in case the risk-benefit ratio is no longer favorable.</w:t>
      </w:r>
    </w:p>
    <w:p>
      <w:pPr>
        <w:pStyle w:val="TextBody"/>
        <w:bidi w:val="0"/>
        <w:spacing w:before="120" w:after="283"/>
        <w:jc w:val="left"/>
        <w:rPr>
          <w:rFonts w:ascii="Arial" w:hAnsi="Arial"/>
          <w:color w:val="000000"/>
          <w:sz w:val="20"/>
        </w:rPr>
      </w:pPr>
      <w:r>
        <w:rPr>
          <w:rFonts w:ascii="Arial" w:hAnsi="Arial"/>
          <w:color w:val="000000"/>
          <w:sz w:val="20"/>
        </w:rPr>
        <w:t>The competent regulatory authorities in the EU have broad discretion whether to grant such a conditional marketing authorization or marketing authorization under exceptional circumstances, and, even if such assessment or authorization is granted, we may not experience a faster development process, review or authorization compared to conventional procedures. Moreover, the removal or threat of removal of such marketing authorizations may create uncertainty or delay in the clinical development of our product candidates and threaten the commercialization prospects of our products and product candidates, if approved. Such an occurrence could materially impact our business, financial condition and results of operations.</w:t>
      </w:r>
    </w:p>
    <w:p>
      <w:pPr>
        <w:pStyle w:val="TextBody"/>
        <w:bidi w:val="0"/>
        <w:spacing w:before="120" w:after="283"/>
        <w:jc w:val="left"/>
        <w:rPr>
          <w:rFonts w:ascii="Arial" w:hAnsi="Arial"/>
          <w:color w:val="000000"/>
          <w:sz w:val="20"/>
        </w:rPr>
      </w:pPr>
      <w:r>
        <w:rPr>
          <w:rFonts w:ascii="Arial" w:hAnsi="Arial"/>
          <w:color w:val="000000"/>
          <w:sz w:val="20"/>
        </w:rPr>
        <w:t xml:space="preserve">If we decide to submit an NDA seeking accelerated approval or receive an expedited regulatory designation for our product candidates, there can be no assurance that such submission or application will be accepted or that any expedited development, review or approval will be granted on a timely basis, or at all. Failure to obtain </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accelerated approval or any other form of expedited development, review or approval for a product candidate would result in a longer time period prior to commercialization of such product candidate, if any, and could increase the cost of development of such product candidate, which could harm our competitive position in the marketplace. </w:t>
      </w:r>
    </w:p>
    <w:p>
      <w:pPr>
        <w:pStyle w:val="TextBody"/>
        <w:bidi w:val="0"/>
        <w:spacing w:before="240" w:after="283"/>
        <w:jc w:val="left"/>
        <w:rPr>
          <w:rFonts w:ascii="Arial" w:hAnsi="Arial"/>
          <w:sz w:val="20"/>
        </w:rPr>
      </w:pPr>
      <w:r>
        <w:rPr>
          <w:rFonts w:ascii="Arial" w:hAnsi="Arial"/>
          <w:b/>
          <w:i/>
          <w:color w:val="000000"/>
          <w:sz w:val="20"/>
        </w:rPr>
        <w:t>Even if we complete the necessary preclinical studies and clinical trials, the marketing approval process is expensive, time-consuming and uncertain and may prevent us or any future collaboration partners from obtaining approvals for the commercialization of any product candidate we develop.</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Any product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US and by comparable authorities in other countries. Any product candidates we develop may not be effective, may be only moderately effective, or may prove to have undesirable or unintended side effects, toxicities or other characteristics that may preclude our obtaining marketing approval or prevent or limit commercial use. Failure to obtain marketing approval for a product candidate will prevent us from commercializing the product candidate in a given jurisdiction. We have not received approval to market any product candidates from regulatory authorities in any jurisdiction. It is possible that neither the HCV product candidate or the HEV product candidate we are developing or other product candidates, if any, that we may seek to develop in the future, will ever obtain regulatory approval. We, as a company, have no experience in filing and supporting the applications necessary to gain marketing approvals and expect to rely on third-party CROs, suppliers, vendors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w:t>
      </w:r>
    </w:p>
    <w:p>
      <w:pPr>
        <w:pStyle w:val="TextBody"/>
        <w:bidi w:val="0"/>
        <w:spacing w:before="120" w:after="283"/>
        <w:jc w:val="left"/>
        <w:rPr>
          <w:rFonts w:ascii="Arial" w:hAnsi="Arial"/>
          <w:sz w:val="20"/>
        </w:rPr>
      </w:pPr>
      <w:r>
        <w:rPr>
          <w:rFonts w:ascii="Arial" w:hAnsi="Arial"/>
          <w:color w:val="000000"/>
          <w:sz w:val="20"/>
        </w:rPr>
        <w:t>The process of obtaining marketing approvals, both in the US and abroad, is expensive, may take many years if numerous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w:t>
      </w:r>
      <w:r>
        <w:rPr>
          <w:rFonts w:ascii="Arial" w:hAnsi="Arial"/>
          <w:b/>
          <w:color w:val="000000"/>
          <w:sz w:val="20"/>
        </w:rPr>
        <w:t xml:space="preserve">. </w:t>
      </w:r>
      <w:r>
        <w:rPr>
          <w:rFonts w:ascii="Arial" w:hAnsi="Arial"/>
          <w:color w:val="000000"/>
          <w:sz w:val="20"/>
        </w:rPr>
        <w:t>For instance, the EU pharmaceutical legislation has been undergoing a complete review process. The European Commission’s proposed changes would affect the duration of regulatory data protection and market protection, including for orphan medicinal products, revising the eligibility for expedited pathways, etc. The changes have not yet been formally adopted. The proposed changes are not expected to enter into application before 2028 and may have a significant impact on the pharmaceutical industry and our business in the long term.</w:t>
      </w:r>
    </w:p>
    <w:p>
      <w:pPr>
        <w:pStyle w:val="TextBody"/>
        <w:bidi w:val="0"/>
        <w:spacing w:before="120" w:after="283"/>
        <w:jc w:val="left"/>
        <w:rPr>
          <w:rFonts w:ascii="Arial" w:hAnsi="Arial"/>
          <w:color w:val="000000"/>
          <w:sz w:val="20"/>
        </w:rPr>
      </w:pPr>
      <w:r>
        <w:rPr>
          <w:rFonts w:ascii="Arial" w:hAnsi="Arial"/>
          <w:color w:val="000000"/>
          <w:sz w:val="20"/>
        </w:rPr>
        <w:t xml:space="preserve">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w:t>
      </w:r>
    </w:p>
    <w:p>
      <w:pPr>
        <w:pStyle w:val="TextBody"/>
        <w:bidi w:val="0"/>
        <w:spacing w:before="120" w:after="283"/>
        <w:jc w:val="left"/>
        <w:rPr>
          <w:rFonts w:ascii="Arial" w:hAnsi="Arial"/>
          <w:color w:val="000000"/>
          <w:sz w:val="20"/>
        </w:rPr>
      </w:pPr>
      <w:r>
        <w:rPr>
          <w:rFonts w:ascii="Arial" w:hAnsi="Arial"/>
          <w:color w:val="000000"/>
          <w:sz w:val="20"/>
        </w:rPr>
        <w:t xml:space="preserve">If we experience delays in obtaining approval or if we fail to obtain approval of any product candidates we may develop, the commercial prospects for those product candidates may be harmed, and our ability to generate product revenue will be materially impaired. </w:t>
      </w:r>
    </w:p>
    <w:p>
      <w:pPr>
        <w:pStyle w:val="TextBody"/>
        <w:bidi w:val="0"/>
        <w:spacing w:before="240" w:after="283"/>
        <w:jc w:val="left"/>
        <w:rPr>
          <w:rFonts w:ascii="Arial" w:hAnsi="Arial"/>
          <w:sz w:val="20"/>
        </w:rPr>
      </w:pPr>
      <w:r>
        <w:rPr>
          <w:rFonts w:ascii="Arial" w:hAnsi="Arial"/>
          <w:b/>
          <w:i/>
          <w:color w:val="000000"/>
          <w:sz w:val="20"/>
        </w:rPr>
        <w:t>Even if we obtain FDA approval of any of our product candidates, we may never obtain approval or commercialize such products outside of the US, which would limit our ability to realize their full market potential.</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In order to market any products outside of the US,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time-consuming. Regulatory requirements </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can vary widely from country to country and could delay or prevent the introduction of our products in those countries. Satisfying these and other regulatory requirements is costly, time-consuming,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as an organization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 </w:t>
      </w:r>
    </w:p>
    <w:p>
      <w:pPr>
        <w:pStyle w:val="TextBody"/>
        <w:bidi w:val="0"/>
        <w:spacing w:before="240" w:after="283"/>
        <w:jc w:val="left"/>
        <w:rPr>
          <w:rFonts w:ascii="Arial" w:hAnsi="Arial"/>
          <w:sz w:val="20"/>
        </w:rPr>
      </w:pPr>
      <w:r>
        <w:rPr>
          <w:rFonts w:ascii="Arial" w:hAnsi="Arial"/>
          <w:b/>
          <w:i/>
          <w:color w:val="000000"/>
          <w:sz w:val="20"/>
        </w:rPr>
        <w:t>Even if a current or future product candidate receives marketing approval, it may fail to achieve the degree of market acceptance by physicians, patients, third-party payors and others in the medical community necessary for commercial success.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oral antiviral products are well established in the medical community for the treatment of HCV and doctors and other prescribers may continue to rely on these therapies.</w:t>
      </w:r>
    </w:p>
    <w:p>
      <w:pPr>
        <w:pStyle w:val="TextBody"/>
        <w:bidi w:val="0"/>
        <w:spacing w:before="120" w:after="283"/>
        <w:jc w:val="left"/>
        <w:rPr>
          <w:rFonts w:ascii="Arial" w:hAnsi="Arial"/>
          <w:color w:val="000000"/>
          <w:sz w:val="20"/>
        </w:rPr>
      </w:pPr>
      <w:r>
        <w:rPr>
          <w:rFonts w:ascii="Arial" w:hAnsi="Arial"/>
          <w:color w:val="000000"/>
          <w:sz w:val="20"/>
        </w:rPr>
        <w:t xml:space="preserve">If the product candidates we develop do not achieve an adequate level of acceptance, we may not generate significant product revenues and we may not become profitable. The degree of market acceptance of any product candidate, if approved for commercial sale, will depend on a number of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continued longevity of any market for which we develop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efficacy and potential advantages, including convenience, duration of treatment and ease of administration, of our product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prevalence and severity of any side effects associated with our product relative to any alternative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willingness of the target patient population to try new therapies and of physicians and other healthcare providers to prescribe these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strength and effectiveness of sales,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 to patients of our treatment regimens in relation to alternative treatments;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ability to obtain sufficient adequate reimbursement from third-parties as well as the impact of any agreements among any competitor and any third party payor limiting access to our product.</w:t>
      </w:r>
    </w:p>
    <w:p>
      <w:pPr>
        <w:pStyle w:val="TextBody"/>
        <w:bidi w:val="0"/>
        <w:spacing w:before="240" w:after="283"/>
        <w:jc w:val="left"/>
        <w:rPr>
          <w:rFonts w:ascii="Arial" w:hAnsi="Arial"/>
          <w:b/>
          <w:i/>
          <w:color w:val="000000"/>
          <w:sz w:val="20"/>
        </w:rPr>
      </w:pPr>
      <w:r>
        <w:rPr>
          <w:rFonts w:ascii="Arial" w:hAnsi="Arial"/>
          <w:b/>
          <w:i/>
          <w:color w:val="000000"/>
          <w:sz w:val="20"/>
        </w:rPr>
        <w:t>If the market opportunities for our product candidates are smaller than we believe they are or any approval we obtain is based on a narrower definition of the patient population, our business may suffer.</w:t>
      </w:r>
    </w:p>
    <w:p>
      <w:pPr>
        <w:pStyle w:val="TextBody"/>
        <w:bidi w:val="0"/>
        <w:spacing w:before="120" w:after="283"/>
        <w:jc w:val="left"/>
        <w:rPr>
          <w:rFonts w:ascii="Arial" w:hAnsi="Arial"/>
          <w:color w:val="000000"/>
          <w:sz w:val="20"/>
        </w:rPr>
      </w:pPr>
      <w:r>
        <w:rPr>
          <w:rFonts w:ascii="Arial" w:hAnsi="Arial"/>
          <w:color w:val="000000"/>
          <w:sz w:val="20"/>
        </w:rPr>
        <w:t>We currently focus on the discovery and development of product candidates for the treatment of serious viral diseases. Our eligible patient population, pricing estimates and available coverage and reimbursement may differ significantly from the actual market addressable by our product candidates. Our estimates of the number of people who have these diseases, the subset of people with these diseases who have the potential to benefit from treatment with our product candidates, and the market demand for our product candidates are based on our beliefs and analyses. These estimates have been derived from a variety of sources, including the scientific literature, current third-party data regarding prescriptions dispensed, and market research, and may prove to be incorrect. The number of patients may turn out to be lower than expected. Likewise, the potentially addressable patient population for our product candidates may be limited or may not be receptive to treatment with our product candidates, and new patients may become increasingly difficult to identify or access. Additionally, the availability of superior or competitive therapies from our competitors could negatively impact or eliminate market demand for our product candidates. If the market opportunities for our product candidates are smaller than we estimate, it could have an adverse effect on our business, financial condition, results of operations and prospects.</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0"/>
        </w:rPr>
      </w:pPr>
      <w:r>
        <w:rPr>
          <w:rFonts w:ascii="Arial" w:hAnsi="Arial"/>
          <w:b/>
          <w:i/>
          <w:color w:val="000000"/>
          <w:sz w:val="20"/>
        </w:rPr>
        <w:t>Disruptions at the FDA and foreign regulatory authorities caused by funding shortages, staffing limitations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ability of the FDA and foreign regulatory authorities to review or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including a rapid substantial influx of applications from numerous sponsors as occurred with COVID-19.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in recent years, the US government has shut down and certain regulatory agencies, such as the FDA, have had to furlough critical FDA employees and stop critical activities. Additionally, government efficiency initiatives, including initiatives and programs recently undertaken in the US, have resulted in a number of employees leaving the FDA which may affect the ability of the agency to process our regulatory submissions which may adversely impact our ability to timely complete critical activities associated with the development of our HCV product candidate.</w:t>
      </w:r>
    </w:p>
    <w:p>
      <w:pPr>
        <w:pStyle w:val="TextBody"/>
        <w:bidi w:val="0"/>
        <w:spacing w:before="120" w:after="283"/>
        <w:jc w:val="left"/>
        <w:rPr>
          <w:rFonts w:ascii="Arial" w:hAnsi="Arial"/>
          <w:color w:val="000000"/>
          <w:sz w:val="20"/>
        </w:rPr>
      </w:pPr>
      <w:r>
        <w:rPr>
          <w:rFonts w:ascii="Arial" w:hAnsi="Arial"/>
          <w:color w:val="000000"/>
          <w:sz w:val="20"/>
        </w:rPr>
        <w:t xml:space="preserve">If a prolonged government shutdown occurs, or funding shortages, staffing limitations, or global health concerns similar to the COVID-19 pandemic prevent the FDA or other regulatory authorities from conducting their regular inspections, reviews, or other regulatory activities on a timely basis, it could significantly impact the ability of the FDA or other regulatory authorities to timely review and process our regulatory submissions, which could have a material adverse effect on our business. </w:t>
      </w:r>
    </w:p>
    <w:p>
      <w:pPr>
        <w:pStyle w:val="TextBody"/>
        <w:bidi w:val="0"/>
        <w:spacing w:before="240" w:after="283"/>
        <w:jc w:val="left"/>
        <w:rPr>
          <w:rFonts w:ascii="Arial" w:hAnsi="Arial"/>
          <w:sz w:val="20"/>
        </w:rPr>
      </w:pPr>
      <w:r>
        <w:rPr>
          <w:rFonts w:ascii="Arial" w:hAnsi="Arial"/>
          <w:b/>
          <w:i/>
          <w:color w:val="000000"/>
          <w:sz w:val="20"/>
        </w:rPr>
        <w:t>Our insurance policies are expensive and protect us only from some business risks, which leaves us exposed to significant uninsured liabilities.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Though we have insurance coverage for clinical trial product liability, we do not carry insurance for all categories of risk that our business may encounter. Some of the additional policies we currently maintain include general liability, property, auto, workers’ compensation, cybersecurity, umbrella, and directors’ and officers’ insurance. </w:t>
      </w:r>
    </w:p>
    <w:p>
      <w:pPr>
        <w:pStyle w:val="TextBody"/>
        <w:bidi w:val="0"/>
        <w:spacing w:before="120" w:after="283"/>
        <w:jc w:val="left"/>
        <w:rPr>
          <w:rFonts w:ascii="Arial" w:hAnsi="Arial"/>
          <w:color w:val="000000"/>
          <w:sz w:val="20"/>
        </w:rPr>
      </w:pPr>
      <w:r>
        <w:rPr>
          <w:rFonts w:ascii="Arial" w:hAnsi="Arial"/>
          <w:color w:val="000000"/>
          <w:sz w:val="20"/>
        </w:rPr>
        <w:t xml:space="preserve">As a part of the clinical trial regulatory submission process, in many countries, we are required to provide local insurance coverage covering claims that persons associated with the clinical trial may assert if they are or believe they are injured as a result of participation in the clinical trial or contact with the investigational product candidate being studied in the clinical trial. These local insurance policies can be time consuming to obtain which may delay the anticipated start of a clinical trial in a particular country. Additionally, these local insurance policies may not cover all the claims an injured party may assert and may be insufficient to cover the losses associated with our defense of the claim and any judgment against us that may result. </w:t>
      </w:r>
    </w:p>
    <w:p>
      <w:pPr>
        <w:pStyle w:val="TextBody"/>
        <w:bidi w:val="0"/>
        <w:spacing w:before="120" w:after="283"/>
        <w:jc w:val="left"/>
        <w:rPr>
          <w:rFonts w:ascii="Arial" w:hAnsi="Arial"/>
          <w:color w:val="000000"/>
          <w:sz w:val="20"/>
        </w:rPr>
      </w:pPr>
      <w:r>
        <w:rPr>
          <w:rFonts w:ascii="Arial" w:hAnsi="Arial"/>
          <w:color w:val="000000"/>
          <w:sz w:val="20"/>
        </w:rPr>
        <w:t xml:space="preserve">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we obtain marketing approval for any of our product candidates, we intend to acquire insurance coverage to include the sale of commercial products; however, we may be unable to obtain product liability insurance on commercially reasonable terms or in adequate amounts. A successful product liability claim or series of claims brought against us could cause our stock price to decline and, if judgments are for claims not covered by or are in amounts that exceed our insurance coverage, could adversely affect our results of operations and business, including preventing or limiting the development and commercialization of any product candidates we develop.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from biological or hazardous waste, we could be held liable for damages or be penalized with fines in an amount exceeding our resources, and our clinical trials or regulatory approvals could be suspended. </w:t>
      </w:r>
    </w:p>
    <w:p>
      <w:pPr>
        <w:pStyle w:val="TextBody"/>
        <w:bidi w:val="0"/>
        <w:spacing w:before="120" w:after="283"/>
        <w:jc w:val="left"/>
        <w:rPr>
          <w:rFonts w:ascii="Arial" w:hAnsi="Arial"/>
          <w:color w:val="000000"/>
          <w:sz w:val="20"/>
        </w:rPr>
      </w:pPr>
      <w:r>
        <w:rPr>
          <w:rFonts w:ascii="Arial" w:hAnsi="Arial"/>
          <w:color w:val="000000"/>
          <w:sz w:val="20"/>
        </w:rPr>
        <w:t xml:space="preserve">Operating as a public company has in the past and may in the future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executive officers. We do not know if we will be able to maintain existing insurance with adequate levels of coverage. Any significant uninsured liability may require us to pay substantial amounts, which would adversely affect our cash and cash equivalents position and results of operations. </w:t>
      </w:r>
    </w:p>
    <w:p>
      <w:pPr>
        <w:pStyle w:val="TextBody"/>
        <w:bidi w:val="0"/>
        <w:spacing w:before="240" w:after="283"/>
        <w:jc w:val="left"/>
        <w:rPr>
          <w:rFonts w:ascii="Arial" w:hAnsi="Arial"/>
          <w:sz w:val="20"/>
        </w:rPr>
      </w:pPr>
      <w:r>
        <w:rPr>
          <w:rFonts w:ascii="Arial" w:hAnsi="Arial"/>
          <w:b/>
          <w:i/>
          <w:color w:val="000000"/>
          <w:sz w:val="20"/>
        </w:rPr>
        <w:t>Our business and operations may suffer in the event of information technology system failures, cyberattacks, or deficiencies, which could materially affect our results.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Our information technology systems, as well as those of our CROs and other contractors and consultants, are vulnerable to attack, failure and damage from computer viruses and other malware (e.g., ransomware), unauthorized access or other cybersecurity attacks, malfeasance by external or internal parties, human error (e.g., social engineering, phishing), natural disasters (including hurricanes), terrorism, war, fire and telecommunication or electrical failures. In the ordinary course of our business, we directly or indirectly collect, store and transmit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 </w:t>
      </w:r>
    </w:p>
    <w:p>
      <w:pPr>
        <w:pStyle w:val="TextBody"/>
        <w:bidi w:val="0"/>
        <w:spacing w:before="120" w:after="283"/>
        <w:jc w:val="left"/>
        <w:rPr>
          <w:rFonts w:ascii="Arial" w:hAnsi="Arial"/>
          <w:color w:val="000000"/>
          <w:sz w:val="20"/>
        </w:rPr>
      </w:pPr>
      <w:r>
        <w:rPr>
          <w:rFonts w:ascii="Arial" w:hAnsi="Arial"/>
          <w:color w:val="000000"/>
          <w:sz w:val="20"/>
        </w:rPr>
        <w:t xml:space="preserve">Despite security measures that we and our critical third parties (e.g., service providers and collaborators) implement, our information technology systems may be vulnerable to attacks by hackers or internal bad actors, or breached due to human error, a technical vulnerability, malfeasance or other disruptions. The risk of a security breach or disruption, particularly through cyber-attacks or cyber intrusion, including by computer hackers, foreign governments, and cyber terrorists, has generally increased as the number, level of persistence, intensity and sophistication of attempted attacks and intrusions from around the world have increased. We also face increased cybersecurity risks due to our reliance on internet technology and the number of our employees who are working remotely, which may create additional opportunities for cybercriminals to exploit vulnerabilities. We may not be able to anticipate all types of security threats, nor may we be able to implement preventive measures effective against all such security threats.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Because of this, we may also experience security breaches that may remain undetected for an extended period. Even if identified, we may be unable to adequately investigate or remediate incidents or breaches due to attackers increasingly using tools and techniques, including artificial intelligence (“AI”), that are designed to circumvent controls, to avoid detection, and to remove or obfuscate forensic evidence. </w:t>
      </w:r>
    </w:p>
    <w:p>
      <w:pPr>
        <w:pStyle w:val="TextBody"/>
        <w:bidi w:val="0"/>
        <w:spacing w:before="120" w:after="283"/>
        <w:jc w:val="left"/>
        <w:rPr>
          <w:rFonts w:ascii="Arial" w:hAnsi="Arial"/>
          <w:color w:val="000000"/>
          <w:sz w:val="20"/>
        </w:rPr>
      </w:pPr>
      <w:r>
        <w:rPr>
          <w:rFonts w:ascii="Arial" w:hAnsi="Arial"/>
          <w:color w:val="000000"/>
          <w:sz w:val="20"/>
        </w:rPr>
        <w:t xml:space="preserve">Additionally, integration of AI in our or any third party’s operations, products or services is expected to pose new or unknown cybersecurity risks and challenges. We cannot assure you that our data protection efforts and our investment in information technology will prevent significant breakdowns, data leakages or breaches in our systems or those of our CROs and other contractors and consultants or that any such significant breakdowns, data leakages or breaches will be timely discovered, disclosed (if applicable) and remediated. </w:t>
      </w:r>
    </w:p>
    <w:p>
      <w:pPr>
        <w:pStyle w:val="TextBody"/>
        <w:bidi w:val="0"/>
        <w:spacing w:before="120" w:after="283"/>
        <w:jc w:val="left"/>
        <w:rPr>
          <w:rFonts w:ascii="Arial" w:hAnsi="Arial"/>
          <w:color w:val="000000"/>
          <w:sz w:val="20"/>
        </w:rPr>
      </w:pPr>
      <w:r>
        <w:rPr>
          <w:rFonts w:ascii="Arial" w:hAnsi="Arial"/>
          <w:color w:val="000000"/>
          <w:sz w:val="20"/>
        </w:rPr>
        <w:t>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product candidate development programs. For example, the loss of data from completed, ongoing or planned preclinical studies or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the further development of our product candidates could be delayed and the cost of such further product candidate development could be increased. There can be no assurance that our cybersecurity risk management program and processes, including our policies, controls or procedures, will be fully implemented, complied with or effective in protecting our information technology systems and confidential information.</w:t>
      </w:r>
    </w:p>
    <w:p>
      <w:pPr>
        <w:pStyle w:val="TextBody"/>
        <w:bidi w:val="0"/>
        <w:spacing w:before="120" w:after="283"/>
        <w:jc w:val="left"/>
        <w:rPr>
          <w:rFonts w:ascii="Arial" w:hAnsi="Arial"/>
          <w:color w:val="000000"/>
          <w:sz w:val="20"/>
        </w:rPr>
      </w:pPr>
      <w:r>
        <w:rPr>
          <w:rFonts w:ascii="Arial" w:hAnsi="Arial"/>
          <w:color w:val="000000"/>
          <w:sz w:val="20"/>
        </w:rPr>
        <w:t xml:space="preserve">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and increase the cost of our clinical development of </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our product candidates. Further, our insurance coverage may not be sufficient to cover the financial, legal, business or reputational losses that may result from an interruption or breach of our systems.</w:t>
      </w:r>
    </w:p>
    <w:p>
      <w:pPr>
        <w:pStyle w:val="TextBody"/>
        <w:bidi w:val="0"/>
        <w:spacing w:before="240" w:after="283"/>
        <w:jc w:val="left"/>
        <w:rPr>
          <w:rFonts w:ascii="Arial" w:hAnsi="Arial"/>
          <w:sz w:val="20"/>
        </w:rPr>
      </w:pPr>
      <w:r>
        <w:rPr>
          <w:rFonts w:ascii="Arial" w:hAnsi="Arial"/>
          <w:b/>
          <w:color w:val="000000"/>
          <w:sz w:val="20"/>
        </w:rPr>
        <w:t>Risks Related to Healthcare Laws and Other Legal Compliance Matters</w:t>
      </w:r>
      <w:r>
        <w:rPr>
          <w:rFonts w:ascii="Arial" w:hAnsi="Arial"/>
          <w:color w:val="000000"/>
          <w:sz w:val="20"/>
        </w:rPr>
        <w:t xml:space="preserve"> </w:t>
      </w:r>
    </w:p>
    <w:p>
      <w:pPr>
        <w:pStyle w:val="TextBody"/>
        <w:bidi w:val="0"/>
        <w:spacing w:before="120" w:after="283"/>
        <w:jc w:val="left"/>
        <w:rPr>
          <w:rFonts w:ascii="Arial" w:hAnsi="Arial"/>
          <w:sz w:val="20"/>
        </w:rPr>
      </w:pPr>
      <w:r>
        <w:rPr>
          <w:rFonts w:ascii="Arial" w:hAnsi="Arial"/>
          <w:b/>
          <w:i/>
          <w:color w:val="000000"/>
          <w:sz w:val="20"/>
        </w:rPr>
        <w:t>We are subject to extensive and costly government regulation.</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Our product candidates will be subject to extensive and rigorous domestic government regulation, including regulation and oversight by the FDA, the US Centers for Medicare &amp; Medicaid Services (“CMS”), other divisions of US Department of Health &amp; Human Services (“HHS”), the US Department of Justice, state and local governments, and their respective equivalents outside of the US. The FDA regulates the research, development, preclinical and clinical testing, manufacture, safety, effectiveness, record-keeping, reporting, labeling, packaging, storage, approval, advertising, promotion, sale, distribution, import and export of pharmaceutical products. If our products are marketed abroad, they will also be subject to extensive regulation by foreign governments, whether or not they have obtained FDA approval. Such foreign regulation may be equally or more demanding than corresponding US regulation. </w:t>
      </w:r>
    </w:p>
    <w:p>
      <w:pPr>
        <w:pStyle w:val="TextBody"/>
        <w:bidi w:val="0"/>
        <w:spacing w:before="120" w:after="283"/>
        <w:jc w:val="left"/>
        <w:rPr>
          <w:rFonts w:ascii="Arial" w:hAnsi="Arial"/>
          <w:color w:val="000000"/>
          <w:sz w:val="20"/>
        </w:rPr>
      </w:pPr>
      <w:r>
        <w:rPr>
          <w:rFonts w:ascii="Arial" w:hAnsi="Arial"/>
          <w:color w:val="000000"/>
          <w:sz w:val="20"/>
        </w:rPr>
        <w:t xml:space="preserve">Government regulation substantially increases the cost and risk of researching, developing, manufacturing and, if approved, selling our products. The regulatory review and approval process, which includes preclinical testing and clinical trials of each product candidate, is lengthy, expensive and uncertain. We must obtain and maintain regulatory authorization to conduct clinical trials. We must obtain regulatory approval for each product we intend to market, and the manufacturing facilities used for the products must be inspected and meet legal requirements. Securing regulatory approval requires the submission of extensive preclinical and clinical data and other supporting information for each proposed therapeutic indication in order to establish the product’s safety and efficacy, potency and purity, for each intended use. The development and approval process takes many years, requires substantial resources, and may never lead to the approval of a product. </w:t>
      </w:r>
    </w:p>
    <w:p>
      <w:pPr>
        <w:pStyle w:val="TextBody"/>
        <w:bidi w:val="0"/>
        <w:spacing w:before="120" w:after="283"/>
        <w:jc w:val="left"/>
        <w:rPr>
          <w:rFonts w:ascii="Arial" w:hAnsi="Arial"/>
          <w:color w:val="000000"/>
          <w:sz w:val="20"/>
        </w:rPr>
      </w:pPr>
      <w:r>
        <w:rPr>
          <w:rFonts w:ascii="Arial" w:hAnsi="Arial"/>
          <w:color w:val="000000"/>
          <w:sz w:val="20"/>
        </w:rPr>
        <w:t xml:space="preserve">Even if we are able to obtain regulatory approval for a particular product, the approval may limit the indicated medical uses for the product, may otherwise limit our ability to promote, sell and distribute the product, may require that we conduct costly post-marketing surveillance, and/or may require that we conduct ongoing post-marketing studies. Material changes to an approved product, such as, for example, manufacturing changes or revised labeling, may require further regulatory review and approval. Once obtained, any approvals may be withdrawn, including, for example, if there is a later discovery of previously unknown problems with the product, such as a previously unknown safety issue. </w:t>
      </w:r>
    </w:p>
    <w:p>
      <w:pPr>
        <w:pStyle w:val="TextBody"/>
        <w:bidi w:val="0"/>
        <w:spacing w:before="120" w:after="283"/>
        <w:jc w:val="left"/>
        <w:rPr>
          <w:rFonts w:ascii="Arial" w:hAnsi="Arial"/>
          <w:color w:val="000000"/>
          <w:sz w:val="20"/>
        </w:rPr>
      </w:pPr>
      <w:r>
        <w:rPr>
          <w:rFonts w:ascii="Arial" w:hAnsi="Arial"/>
          <w:color w:val="000000"/>
          <w:sz w:val="20"/>
        </w:rPr>
        <w:t xml:space="preserve">If we, our consultants, CMOs, CROs or other vendors, fail to comply with applicable regulatory requirements at any stage during the regulatory process, such noncompliance could result in, among other things, delays in the approval of applications or supplements to approved applications; refusal of a regulatory authority, including the FDA, to review pending market approval applications or supplements to approved applications; warning letters; fines; import and/or export restrictions; product recalls or seizures; injunctions; total or partial suspension of production; civil penalties; withdrawals of previously approved marketing applications or licenses; recommendations by the FDA or other regulatory authorities against governmental contracts; and/or criminal prosecutions. </w:t>
      </w:r>
    </w:p>
    <w:p>
      <w:pPr>
        <w:pStyle w:val="TextBody"/>
        <w:bidi w:val="0"/>
        <w:spacing w:before="120" w:after="200"/>
        <w:jc w:val="both"/>
        <w:rPr>
          <w:rFonts w:ascii="Arial" w:hAnsi="Arial"/>
          <w:color w:val="000000"/>
          <w:sz w:val="20"/>
        </w:rPr>
      </w:pPr>
      <w:r>
        <w:rPr>
          <w:rFonts w:ascii="Arial" w:hAnsi="Arial"/>
          <w:color w:val="000000"/>
          <w:sz w:val="20"/>
        </w:rPr>
        <w:t>Moreover, our operations are broadly subject to an evolving regulatory environment. New and changing laws, regulations, executive orders and enforcement priorities can also create uncertainty about how such laws and regulations will be interpreted and applied, which may increase our costs or otherwise adversely impact our business and results of operations.</w:t>
      </w:r>
    </w:p>
    <w:p>
      <w:pPr>
        <w:pStyle w:val="TextBody"/>
        <w:bidi w:val="0"/>
        <w:spacing w:before="40" w:after="283"/>
        <w:jc w:val="left"/>
        <w:rPr>
          <w:rFonts w:ascii="Arial" w:hAnsi="Arial"/>
          <w:sz w:val="20"/>
        </w:rPr>
      </w:pPr>
      <w:r>
        <w:rPr>
          <w:rFonts w:ascii="Arial" w:hAnsi="Arial"/>
          <w:b/>
          <w:i/>
          <w:color w:val="000000"/>
          <w:sz w:val="20"/>
        </w:rPr>
        <w:t>Enacted and future legislation and policies may increase the difficulty and cost for us to commercialize our product candidates and could adversely affect our business.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In the US, the EU and other jurisdictions, there have been, and we expect there will continue to be, a number of legislative and regulatory changes and proposed changes to the healthcare system that could prevent or delay marketing approval of our product candidates, restrict or regulate post-approval activities involving any product candidates for which we obtain marketing approval, impact pricing and reimbursement and impact our ability to sell any such products profitably. In particular, there have been and continue to be a number of initiatives at the US federal and state levels that seek to reduce healthcare costs and improve the quality of healthcare, including initiatives with the express purpose of eradicating HCV in the US. In addition, new regulations and interpretations of existing healthcare statutes and regulations are frequently adopted. We expect that current laws, as well as other healthcare reform measures that may be adopted in the future, may result in more rigorous coverage criteria and in additional downward pressure on the price that we may receive for our product. New and changing laws </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and regulations may also create uncertainty about how such laws and regulations will be interpreted and applied. If we are found to have violated laws and regulations, it could materially adversely affect our business, results of operations and financial condition.</w:t>
      </w:r>
    </w:p>
    <w:p>
      <w:pPr>
        <w:pStyle w:val="TextBody"/>
        <w:bidi w:val="0"/>
        <w:spacing w:before="120" w:after="283"/>
        <w:jc w:val="left"/>
        <w:rPr>
          <w:rFonts w:ascii="Arial" w:hAnsi="Arial"/>
          <w:color w:val="000000"/>
          <w:sz w:val="20"/>
        </w:rPr>
      </w:pPr>
      <w:r>
        <w:rPr>
          <w:rFonts w:ascii="Arial" w:hAnsi="Arial"/>
          <w:color w:val="000000"/>
          <w:sz w:val="20"/>
        </w:rPr>
        <w:t xml:space="preserve">In March 2010, the Patient Protection and Affordable Care Act ("ACA"), was enacted, which substantially changed the way healthcare is financed in the US by both governmental and private insurers. Among the provisions of the ACA, those of greatest importance to the pharmaceutical and biotechnology industries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increases and changes in the statutory minimum rebates a manufacturer must pay under the Medicaid Drug Rebate Program;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extension of a manufacturer’s Medicaid rebate liability to covered outpatient drugs dispensed to individuals who are enrolled in Medicaid managed care organizations;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expansion of eligibility criteria for Medicaid programs by, among other things, allowing states to offer Medicaid coverage to certain individuals with income at or below 133% of the federal poverty level, thereby potentially increasing a manufacturer’s Medicaid rebate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Patient-Centered Outcomes Research Institute to oversee, identify priorities in, and conduct comparative clinical effectiveness research, along with funding for such research;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establishment of the Center for Medicare and Medicaid Innovation at CMS to test innovative payment and service delivery models to lower Medicare and Medicaid spending, potentially including prescription drug spending. </w:t>
      </w:r>
    </w:p>
    <w:p>
      <w:pPr>
        <w:pStyle w:val="TextBody"/>
        <w:bidi w:val="0"/>
        <w:spacing w:before="120" w:after="283"/>
        <w:jc w:val="left"/>
        <w:rPr>
          <w:rFonts w:ascii="Arial" w:hAnsi="Arial"/>
          <w:color w:val="000000"/>
          <w:sz w:val="20"/>
        </w:rPr>
      </w:pPr>
      <w:r>
        <w:rPr>
          <w:rFonts w:ascii="Arial" w:hAnsi="Arial"/>
          <w:color w:val="000000"/>
          <w:sz w:val="20"/>
        </w:rPr>
        <w:t xml:space="preserve">Since its enactment, there have been judicial, Congressional and executive challenges to certain aspects of the ACA. On June 17, 2021, the US Supreme Court dismissed the most recent judicial challenge to the ACA brought by several states without specifically ruling on the constitutionality of the ACA. </w:t>
      </w:r>
    </w:p>
    <w:p>
      <w:pPr>
        <w:pStyle w:val="TextBody"/>
        <w:bidi w:val="0"/>
        <w:spacing w:before="120" w:after="283"/>
        <w:jc w:val="left"/>
        <w:rPr>
          <w:rFonts w:ascii="Arial" w:hAnsi="Arial"/>
          <w:sz w:val="20"/>
        </w:rPr>
      </w:pPr>
      <w:r>
        <w:rPr>
          <w:rFonts w:ascii="Arial" w:hAnsi="Arial"/>
          <w:color w:val="000000"/>
          <w:sz w:val="20"/>
        </w:rPr>
        <w:t>In addition, other legislative changes have been proposed and adopted in the US since the ACA was enacted. Most recently, t</w:t>
      </w:r>
      <w:r>
        <w:rPr>
          <w:rFonts w:ascii="Arial" w:hAnsi="Arial"/>
          <w:color w:val="231F20"/>
          <w:sz w:val="20"/>
        </w:rPr>
        <w:t xml:space="preserve">he One Big Beautiful Bill Act (the “OBBBA”), which was enacted in July 2025, imposes significant reductions in the funding of the Medicaid program. Such reductions in Medicaid funding are expected to decrease the number of persons enrolled in Medicaid and reduce the services covered by Medicaid, which could adversely affect demand for any products for which we receive approval. </w:t>
      </w:r>
      <w:r>
        <w:rPr>
          <w:rFonts w:ascii="Arial" w:hAnsi="Arial"/>
          <w:color w:val="000000"/>
          <w:sz w:val="20"/>
        </w:rPr>
        <w:t xml:space="preserve">The OBBBA </w:t>
      </w:r>
      <w:r>
        <w:rPr>
          <w:rFonts w:ascii="Arial" w:hAnsi="Arial"/>
          <w:color w:val="231F20"/>
          <w:sz w:val="20"/>
        </w:rPr>
        <w:t xml:space="preserve">also </w:t>
      </w:r>
      <w:r>
        <w:rPr>
          <w:rFonts w:ascii="Arial" w:hAnsi="Arial"/>
          <w:color w:val="000000"/>
          <w:sz w:val="20"/>
        </w:rPr>
        <w:t xml:space="preserve">modified federal income tax rules relating to the expensing of research and development costs, certain other capital expenditures and certain business interest expense. There can be no assurance that the OBBBA and any resulting administrative guidance would not adversely affect us and the tax consequences to an investor. </w:t>
      </w:r>
    </w:p>
    <w:p>
      <w:pPr>
        <w:pStyle w:val="TextBody"/>
        <w:bidi w:val="0"/>
        <w:spacing w:before="120" w:after="283"/>
        <w:jc w:val="left"/>
        <w:rPr>
          <w:rFonts w:ascii="Arial" w:hAnsi="Arial"/>
          <w:color w:val="000000"/>
          <w:sz w:val="20"/>
        </w:rPr>
      </w:pPr>
      <w:r>
        <w:rPr>
          <w:rFonts w:ascii="Arial" w:hAnsi="Arial"/>
          <w:color w:val="000000"/>
          <w:sz w:val="20"/>
        </w:rPr>
        <w:t xml:space="preserve">In August 2011, the Budget Control Act of 2011 imposed aggregate reductions of Medicare payments to providers, effective April 1, 2013, which, due to subsequent legislative amendments, will stay in effect through 2032. Further, on March 11, 2021, the American Rescue Plan Act of 2021 was signed into law, which eliminated the statutory Medicaid drug rebate cap, beginning January 1, 2024. The rebate was previously capped at 100% of a drug’s average manufacturer price. </w:t>
      </w:r>
    </w:p>
    <w:p>
      <w:pPr>
        <w:pStyle w:val="TextBody"/>
        <w:bidi w:val="0"/>
        <w:spacing w:before="120" w:after="283"/>
        <w:jc w:val="left"/>
        <w:rPr>
          <w:rFonts w:ascii="Arial" w:hAnsi="Arial"/>
          <w:color w:val="000000"/>
          <w:sz w:val="20"/>
        </w:rPr>
      </w:pPr>
      <w:r>
        <w:rPr>
          <w:rFonts w:ascii="Arial" w:hAnsi="Arial"/>
          <w:color w:val="000000"/>
          <w:sz w:val="20"/>
        </w:rPr>
        <w:t xml:space="preserve">Moreover, payment methodologies may be subject to other changes in healthcare legislation and regulatory initiatives. For example, CMS may develop new payment and delivery models, such as outcomes-based reimbursement. In addition, recently there has been heightened governmental scrutiny over the manner in which manufacturers set prices for their marketed products, which has resulted in several US executive orders and other executive branch initiatives, Congressional inquiries and proposed and enacted federal legislation designed to, among other things, bring more transparency to drug pricing, reduce the cost of prescription drugs under Medicare, and review the relationship between pricing and manufacturer patient programs. </w:t>
      </w:r>
    </w:p>
    <w:p>
      <w:pPr>
        <w:pStyle w:val="TextBody"/>
        <w:bidi w:val="0"/>
        <w:spacing w:before="120" w:after="283"/>
        <w:jc w:val="left"/>
        <w:rPr>
          <w:rFonts w:ascii="Arial" w:hAnsi="Arial"/>
          <w:color w:val="000000"/>
          <w:sz w:val="20"/>
        </w:rPr>
      </w:pPr>
      <w:r>
        <w:rPr>
          <w:rFonts w:ascii="Arial" w:hAnsi="Arial"/>
          <w:color w:val="000000"/>
          <w:sz w:val="20"/>
        </w:rPr>
        <w:t xml:space="preserve">Additionally, on August 16,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and replaces the Part D coverage gap discount program with a new discounting program (which began in 2025). The IRA permits the HHS Secretary to implement many of these provisions through guidance, as opposed to regulation, for the initial years. HHS has and will continue to issue and update guidance as these programs are implemented. CMS has published the negotiated prices for the initial </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ten drugs, which went into effect in 2026, and the subsequent 15 drugs, which will first be effective in 2027. Each year thereafter, more Part B and Part D products will become subject to the HHS price negotiation program, although the program is currently subject to legal challenges. HHS has issued and will continue to issue guidance implementing the IRA. While the impact of the IRA on us and the pharmaceutical industry cannot yet be fully determined, it is likely to be significant. </w:t>
      </w:r>
    </w:p>
    <w:p>
      <w:pPr>
        <w:pStyle w:val="TextBody"/>
        <w:bidi w:val="0"/>
        <w:spacing w:before="120" w:after="283"/>
        <w:jc w:val="left"/>
        <w:rPr>
          <w:rFonts w:ascii="Arial" w:hAnsi="Arial"/>
          <w:color w:val="000000"/>
          <w:sz w:val="20"/>
        </w:rPr>
      </w:pPr>
      <w:r>
        <w:rPr>
          <w:rFonts w:ascii="Arial" w:hAnsi="Arial"/>
          <w:color w:val="000000"/>
          <w:sz w:val="20"/>
        </w:rPr>
        <w:t xml:space="preserve">The Trump administration is pursuing a two-fold strategy to reduce drug costs in the US. While it is unclear whether and how the Trump administration proposals will be implemented, the Trump administration policies are likely to have a negative impact on the pharmaceutical industry and on our ability to receive adequate revenues for our product candidates, if approved.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final regulations have not yet been published. Pharmaceutical pricing and marketing has long been the subject of considerable discussion in Congress and among policymakers, and it is possible that Congress could enact additional laws that negatively affect the pharmaceutical industry. </w:t>
      </w:r>
    </w:p>
    <w:p>
      <w:pPr>
        <w:pStyle w:val="TextBody"/>
        <w:bidi w:val="0"/>
        <w:spacing w:before="120" w:after="283"/>
        <w:jc w:val="left"/>
        <w:rPr>
          <w:rFonts w:ascii="Arial" w:hAnsi="Arial"/>
          <w:color w:val="000000"/>
          <w:sz w:val="20"/>
        </w:rPr>
      </w:pPr>
      <w:r>
        <w:rPr>
          <w:rFonts w:ascii="Arial" w:hAnsi="Arial"/>
          <w:color w:val="000000"/>
          <w:sz w:val="20"/>
        </w:rPr>
        <w:t xml:space="preserve">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w:t>
      </w:r>
    </w:p>
    <w:p>
      <w:pPr>
        <w:pStyle w:val="TextBody"/>
        <w:bidi w:val="0"/>
        <w:spacing w:before="120" w:after="283"/>
        <w:jc w:val="left"/>
        <w:rPr>
          <w:rFonts w:ascii="Arial" w:hAnsi="Arial"/>
          <w:color w:val="000000"/>
          <w:sz w:val="20"/>
        </w:rPr>
      </w:pPr>
      <w:r>
        <w:rPr>
          <w:rFonts w:ascii="Arial" w:hAnsi="Arial"/>
          <w:color w:val="000000"/>
          <w:sz w:val="20"/>
        </w:rPr>
        <w:t xml:space="preserve">Individual states in the US have also increasingly passed legislation and implemented regulations designed to control pharmaceutical and biological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Legally mandated price controls on payment amounts by third-party payors or other restrictions could harm our business, results of operations, financial condition and prospects. In addition, states and other regional healthcare authorities and individual hospitals are increasingly using bidding procedures to determine what pharmaceutical products and which suppliers will be included in their prescription drug and other healthcare programs. The states of Louisiana and Washington used bidding procedures in 2019 and more recently Minnesota did so in 2021 to secure contracts with suppliers of HCV antiviral therapeutics for certain populations including those covered by Medicare and those in correctional institutions. Other states are currently engaged in similar discussions, and similar programs are being proposed by US federal government legislators. The existing and future state, regional and individual hospital programs, and if enacted, any future federal program, could reduce the ultimate demand for our product candidates or put pressure on our product pricing. </w:t>
      </w:r>
    </w:p>
    <w:p>
      <w:pPr>
        <w:pStyle w:val="TextBody"/>
        <w:bidi w:val="0"/>
        <w:spacing w:before="120" w:after="283"/>
        <w:jc w:val="left"/>
        <w:rPr>
          <w:rFonts w:ascii="Arial" w:hAnsi="Arial"/>
          <w:color w:val="000000"/>
          <w:sz w:val="20"/>
        </w:rPr>
      </w:pPr>
      <w:r>
        <w:rPr>
          <w:rFonts w:ascii="Arial" w:hAnsi="Arial"/>
          <w:color w:val="000000"/>
          <w:sz w:val="20"/>
        </w:rPr>
        <w:t xml:space="preserve">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w:t>
      </w:r>
    </w:p>
    <w:p>
      <w:pPr>
        <w:pStyle w:val="TextBody"/>
        <w:bidi w:val="0"/>
        <w:spacing w:before="120" w:after="283"/>
        <w:jc w:val="left"/>
        <w:rPr>
          <w:rFonts w:ascii="Arial" w:hAnsi="Arial"/>
          <w:color w:val="000000"/>
          <w:sz w:val="20"/>
        </w:rPr>
      </w:pPr>
      <w:r>
        <w:rPr>
          <w:rFonts w:ascii="Arial" w:hAnsi="Arial"/>
          <w:color w:val="000000"/>
          <w:sz w:val="20"/>
        </w:rPr>
        <w:t xml:space="preserve">In markets outside of the US and the EU, reimbursement and healthcare payment systems vary significantly by country, and many countries have instituted price ceilings on specific products and therapies. </w:t>
      </w:r>
    </w:p>
    <w:p>
      <w:pPr>
        <w:pStyle w:val="TextBody"/>
        <w:bidi w:val="0"/>
        <w:spacing w:before="240" w:after="283"/>
        <w:jc w:val="left"/>
        <w:rPr>
          <w:rFonts w:ascii="Arial" w:hAnsi="Arial"/>
          <w:sz w:val="20"/>
        </w:rPr>
      </w:pPr>
      <w:r>
        <w:rPr>
          <w:rFonts w:ascii="Arial" w:hAnsi="Arial"/>
          <w:b/>
          <w:i/>
          <w:color w:val="000000"/>
          <w:sz w:val="20"/>
        </w:rPr>
        <w:t>Enacted and future legislation and policies may increase the difficulty and cost for us to obtain marketing approval of our product candidates and could adversely affect our business.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In the US, legislative and regulatory proposals have been made to expand post-approval requirements and restrict sales and promotional activities for pharmaceutical products. We cannot be sure whether additional legislative changes will be enacted, or whether the FDA’s regulations, guidance or interpretations will be changed, </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 </w:t>
      </w:r>
    </w:p>
    <w:p>
      <w:pPr>
        <w:pStyle w:val="TextBody"/>
        <w:bidi w:val="0"/>
        <w:spacing w:before="120" w:after="283"/>
        <w:jc w:val="left"/>
        <w:rPr>
          <w:rFonts w:ascii="Arial" w:hAnsi="Arial"/>
          <w:color w:val="000000"/>
          <w:sz w:val="20"/>
        </w:rPr>
      </w:pPr>
      <w:r>
        <w:rPr>
          <w:rFonts w:ascii="Arial" w:hAnsi="Arial"/>
          <w:color w:val="000000"/>
          <w:sz w:val="20"/>
        </w:rPr>
        <w:t xml:space="preserve">We cannot predict the likelihood, nature or extent of government regulation that may arise from future legislation or administrative action in the US, the EU or any other jurisdiction. If we or any third parties we may engage are slow or unable to adapt to changes in existing requirements or the adoption of new requirements or policies, or if we or such third parties are not able to maintain regulatory compliance, we may be subject to enforcement action and we may not achieve or sustain profitability. </w:t>
      </w:r>
    </w:p>
    <w:p>
      <w:pPr>
        <w:pStyle w:val="TextBody"/>
        <w:bidi w:val="0"/>
        <w:spacing w:before="240" w:after="283"/>
        <w:jc w:val="left"/>
        <w:rPr>
          <w:rFonts w:ascii="Arial" w:hAnsi="Arial"/>
          <w:sz w:val="20"/>
        </w:rPr>
      </w:pPr>
      <w:r>
        <w:rPr>
          <w:rFonts w:ascii="Arial" w:hAnsi="Arial"/>
          <w:b/>
          <w:i/>
          <w:color w:val="000000"/>
          <w:sz w:val="20"/>
        </w:rPr>
        <w:t>Even if we obtain regulatory approval for a product candidate, our products will remain subject to regulatory scrutiny and post-marketing requirements.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groups specified by, among other things, age or medical condition,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any of our product candidates is approved, it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US and requirements of comparable foreign regulatory authorities. Manufacturers and manufacturers’ facilities are required to comply with extensive FDA and comparable foreign regulatory authority requirements, including ensuring that quality control and manufacturing procedures conform to cGMP and similar regulations. As such, we and our CMOs will be subject to continual review and inspections to assess compliance with cGMP and similar requirements and adherence to commitments made in any approved marketing application. Accordingly, we and others with whom we work must continue to expend time, money and effort in all areas of regulatory compliance, including manufacturing, production and quality control. </w:t>
      </w:r>
    </w:p>
    <w:p>
      <w:pPr>
        <w:pStyle w:val="TextBody"/>
        <w:bidi w:val="0"/>
        <w:spacing w:before="120" w:after="283"/>
        <w:jc w:val="left"/>
        <w:rPr>
          <w:rFonts w:ascii="Arial" w:hAnsi="Arial"/>
          <w:color w:val="000000"/>
          <w:sz w:val="20"/>
        </w:rPr>
      </w:pPr>
      <w:r>
        <w:rPr>
          <w:rFonts w:ascii="Arial" w:hAnsi="Arial"/>
          <w:color w:val="000000"/>
          <w:sz w:val="20"/>
        </w:rPr>
        <w:t xml:space="preserve">If the FDA or another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issue warning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impose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suspend or withdraw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suspend any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refuse to approve pending applications or supplements to approved applications submitted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impose restrictions on our operations, including closing our CMO’s facilities; 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seize or detain products, or require a product recall. </w:t>
      </w:r>
    </w:p>
    <w:p>
      <w:pPr>
        <w:pStyle w:val="TextBody"/>
        <w:bidi w:val="0"/>
        <w:spacing w:before="120" w:after="283"/>
        <w:jc w:val="left"/>
        <w:rPr>
          <w:rFonts w:ascii="Arial" w:hAnsi="Arial"/>
          <w:color w:val="000000"/>
          <w:sz w:val="20"/>
        </w:rPr>
      </w:pPr>
      <w:r>
        <w:rPr>
          <w:rFonts w:ascii="Arial" w:hAnsi="Arial"/>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adversely affect our ability to commercialize and generate revenue from our products. If regulatory sanctions are applied or if any regulatory approval is withdrawn, our business will be seriously harmed. </w:t>
      </w:r>
    </w:p>
    <w:p>
      <w:pPr>
        <w:pStyle w:val="TextBody"/>
        <w:bidi w:val="0"/>
        <w:spacing w:before="120" w:after="283"/>
        <w:jc w:val="left"/>
        <w:rPr>
          <w:rFonts w:ascii="Arial" w:hAnsi="Arial"/>
          <w:color w:val="000000"/>
          <w:sz w:val="20"/>
        </w:rPr>
      </w:pPr>
      <w:r>
        <w:rPr>
          <w:rFonts w:ascii="Arial" w:hAnsi="Arial"/>
          <w:color w:val="000000"/>
          <w:sz w:val="20"/>
        </w:rPr>
        <w:t>Moreover,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0"/>
        </w:rPr>
      </w:pPr>
      <w:r>
        <w:rPr>
          <w:rFonts w:ascii="Arial" w:hAnsi="Arial"/>
          <w:b/>
          <w:i/>
          <w:color w:val="000000"/>
          <w:sz w:val="20"/>
        </w:rPr>
        <w:t>The FDA and other regulatory agencies actively enforce the laws and regulations prohibiting the promotion of off-label uses.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 </w:t>
      </w:r>
    </w:p>
    <w:p>
      <w:pPr>
        <w:pStyle w:val="TextBody"/>
        <w:bidi w:val="0"/>
        <w:spacing w:before="240" w:after="283"/>
        <w:jc w:val="left"/>
        <w:rPr>
          <w:rFonts w:ascii="Arial" w:hAnsi="Arial"/>
          <w:sz w:val="20"/>
        </w:rPr>
      </w:pPr>
      <w:r>
        <w:rPr>
          <w:rFonts w:ascii="Arial" w:hAnsi="Arial"/>
          <w:b/>
          <w:i/>
          <w:color w:val="000000"/>
          <w:sz w:val="20"/>
        </w:rPr>
        <w:t>Our business operations and current and future relationships with clinical trial investigators, healthcare professionals, consultants, third-party payors, patient organizations and customers will be subject to applicable healthcare regulatory laws, which could expose us to penalties.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Our business operations and current and future arrangements with clinical trial investigators, other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and if approved, market, sell and distribute our product candidates. Such laws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US federal Anti-Kickback Statute, which makes it illegal for any person to knowingly and willfully solicit, offer, receive, pay or provide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US federal civil and criminal false claims laws, including the civil False Claims Act (“FCA”), which prohibit individuals or entities from, among other things, knowingly presenting, or causing to be presented, to the US federal government, claims for payment or approval that are false, fictitious or fraudulent, knowingly making, using or causing to be made or used, a false record or statement material to a false or fraudulent claim, or from knowingly making a false statement to avoid, decrease or conceal an obligation to pay money to the US federal government. Manufacturers can be held liable under the FCA even when they do not submit claims directly to government payors if they are deemed to “cause” the submission of false or fraudulent claims. The government may deem manufacturers to have “caused” the submission of false or fraudulent claims by, for example, providing inaccurate billing or coding information to customers or promoting a product off-label. Companies that submit claims directly to payors may also be liable under the FCA for the direct submission of such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FCA, the government may impose civil fines and penalties for each false claim, plus treble damages, and exclude the entity from participation in Medicare, Medicaid and other federal healthcare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US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US federal Health Insurance Portability and Accountability Act of 1996 (“HIPAA”) and its implementing regulations,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US federal Anti-Kickback Statute,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FDCA, which prohibits, among other things, the adulteration or misbranding of drugs, biologics and medical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US federal Physician Payments Sunshine Act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as well as ownership and investment interests held by the physicians described above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US federal price reporting laws, which require manufacturers to calculate and report complex pricing metrics to government programs, where reported prices may be used in the calculation of reimbursement and/or discounts on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US federal consumer protection and unfair competition laws, which broadly regulate marketplace activities and activities that potentially harm consumers;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that require the registration of pharmaceutical sales representatives;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similar healthcare laws and regulations in the EU and other jurisdictions, including reporting requirements detailing interactions with and payments to healthcare providers. </w:t>
      </w:r>
    </w:p>
    <w:p>
      <w:pPr>
        <w:pStyle w:val="TextBody"/>
        <w:bidi w:val="0"/>
        <w:spacing w:before="120" w:after="283"/>
        <w:jc w:val="left"/>
        <w:rPr>
          <w:rFonts w:ascii="Arial" w:hAnsi="Arial"/>
          <w:color w:val="000000"/>
          <w:sz w:val="20"/>
        </w:rPr>
      </w:pPr>
      <w:r>
        <w:rPr>
          <w:rFonts w:ascii="Arial" w:hAnsi="Arial"/>
          <w:color w:val="000000"/>
          <w:sz w:val="20"/>
        </w:rPr>
        <w:t xml:space="preserve">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time-consuming and may require significant personnel resources. Therefore, even if we are successful in defending against any such actions that may be brought against us, our business may be impaired. </w:t>
      </w:r>
    </w:p>
    <w:p>
      <w:pPr>
        <w:pStyle w:val="TextBody"/>
        <w:bidi w:val="0"/>
        <w:spacing w:before="240" w:after="283"/>
        <w:jc w:val="left"/>
        <w:rPr>
          <w:rFonts w:ascii="Arial" w:hAnsi="Arial"/>
          <w:sz w:val="20"/>
        </w:rPr>
      </w:pPr>
      <w:r>
        <w:rPr>
          <w:rFonts w:ascii="Arial" w:hAnsi="Arial"/>
          <w:b/>
          <w:i/>
          <w:color w:val="000000"/>
          <w:sz w:val="20"/>
        </w:rPr>
        <w:t>We are subject to governmental regulation and other legal obligations, particularly related to privacy, data protection and information security, and we are subject to consumer protection laws that regulate our marketing practices and prohibit unfair or deceptive acts or practices. Our actual or perceived failure to comply with such obligations could harm our business.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are subject to diverse laws and regulations relating to data privacy and security. New privacy rules are being enacted in the US and globally, and existing ones are being updated and strengthened.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passed in other states, and are continuing to be proposed at the state and federal level, reflecting a trend toward more stringent privacy legislation in the US. The enactment of such laws could have potentially conflicting requirements that would make compliance challenging. Any liability from failure to comply with the requirements of applicable data privacy and data protection laws could adversely affect our financial condition. </w:t>
      </w:r>
    </w:p>
    <w:p>
      <w:pPr>
        <w:pStyle w:val="TextBody"/>
        <w:bidi w:val="0"/>
        <w:spacing w:before="120" w:after="283"/>
        <w:jc w:val="left"/>
        <w:rPr>
          <w:rFonts w:ascii="Arial" w:hAnsi="Arial"/>
          <w:color w:val="000000"/>
          <w:sz w:val="20"/>
        </w:rPr>
      </w:pPr>
      <w:r>
        <w:rPr>
          <w:rFonts w:ascii="Arial" w:hAnsi="Arial"/>
          <w:color w:val="000000"/>
          <w:sz w:val="20"/>
        </w:rPr>
        <w:t xml:space="preserve">Complying with these numerous, complex and often changing regulations is expensive and difficult, and failure to comply with any privacy laws or data security laws or any security incident or breach involving the misappropriation, loss or other unauthorized processing, use or disclosure of sensitive or confidential patient, consumer or other personal information, whether by us, one of our CROs or business associates or another third-party, could adversely affect our business, our operations abroad, financial condition and results of operations. Such adverse effects may include, but are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w:t>
      </w:r>
    </w:p>
    <w:p>
      <w:pPr>
        <w:pStyle w:val="TextBody"/>
        <w:bidi w:val="0"/>
        <w:spacing w:before="120" w:after="283"/>
        <w:jc w:val="left"/>
        <w:rPr>
          <w:rFonts w:ascii="Arial" w:hAnsi="Arial"/>
          <w:color w:val="000000"/>
          <w:sz w:val="20"/>
        </w:rPr>
      </w:pPr>
      <w:r>
        <w:rPr>
          <w:rFonts w:ascii="Arial" w:hAnsi="Arial"/>
          <w:color w:val="000000"/>
          <w:sz w:val="20"/>
        </w:rPr>
        <w:t>Our operations abroad, including the clinical trials we conduct outside the US, may also be subject to scrutiny or attention from data protection authorities. For example, the EU General Data Protection Regulation ("GDPR") went into effect in May 2018, and imposes strict requirements for processing the personal data of individuals within the EEA or in the context of our activities in the EEA. The GDPR and related implementing laws in individual EU member states govern the collection and use of health data and other personal data in the EU including the personal data processed by companies outside the EU in connection with the offering of goods or services to individuals in the EU or the monitoring of their behavior (including in the context of clinical trials). We and other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to the foregoing, a breach of the GDPR could result in regulatory investigations, reputational damage, orders to cease / change our processing of our data, enforcement notices, and/ or assessment notices (for a compulsory audit). We and other companies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pStyle w:val="TextBody"/>
        <w:bidi w:val="0"/>
        <w:spacing w:before="120" w:after="283"/>
        <w:jc w:val="left"/>
        <w:rPr>
          <w:rFonts w:ascii="Arial" w:hAnsi="Arial"/>
          <w:color w:val="000000"/>
          <w:sz w:val="20"/>
        </w:rPr>
      </w:pPr>
      <w:r>
        <w:rPr>
          <w:rFonts w:ascii="Arial" w:hAnsi="Arial"/>
          <w:color w:val="000000"/>
          <w:sz w:val="20"/>
        </w:rPr>
        <w:t xml:space="preserve">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US remains uncertain. On July 10, 2023, the European Commission adopted its Adequacy Decision in relation to the new EU-US Data Privacy Framework (“DPF”), rendering the DPF effective as a GDPR transfer mechanism to US entities self-certified under the DPF. As supervisory authorities issue further guidance on personal data export mechanisms, including circumstances where the standard contractual clauses cannot be used, and/or start taking enforcement action, we could incur additional costs, and may be subject to complaints and/or regulatory investigations or fines, and/or if we are otherwise unable to transfer personal data between and among countries and regions in which we operate, it </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could affect the manner in which we conduct our business, the geographical location or segregation of our relevant systems and operations, and could adversely affect our financial results.</w:t>
      </w:r>
    </w:p>
    <w:p>
      <w:pPr>
        <w:pStyle w:val="TextBody"/>
        <w:bidi w:val="0"/>
        <w:spacing w:before="120" w:after="283"/>
        <w:jc w:val="left"/>
        <w:rPr>
          <w:rFonts w:ascii="Arial" w:hAnsi="Arial"/>
          <w:color w:val="000000"/>
          <w:sz w:val="20"/>
        </w:rPr>
      </w:pPr>
      <w:r>
        <w:rPr>
          <w:rFonts w:ascii="Arial" w:hAnsi="Arial"/>
          <w:color w:val="000000"/>
          <w:sz w:val="20"/>
        </w:rPr>
        <w:t>In addition, since January 1, 2021, after the end of the transition period following the UK’s departure from the EU, we are also subject to the UK data protection regime (the UK GDPR and UK Data Protection Act 2018), which imposes separate but similar obligations to those under the GDPR and comparable penalties, including fines of up to £17.5 million or 4% of a noncompliant company’s global annual revenue for the preceding financial year, whichever is greater.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pStyle w:val="TextBody"/>
        <w:bidi w:val="0"/>
        <w:spacing w:before="120" w:after="283"/>
        <w:jc w:val="left"/>
        <w:rPr>
          <w:rFonts w:ascii="Arial" w:hAnsi="Arial"/>
          <w:color w:val="000000"/>
          <w:sz w:val="20"/>
        </w:rPr>
      </w:pPr>
      <w:r>
        <w:rPr>
          <w:rFonts w:ascii="Arial" w:hAnsi="Arial"/>
          <w:color w:val="000000"/>
          <w:sz w:val="20"/>
        </w:rPr>
        <w:t xml:space="preserve">We cannot assure you that our CROs or other third-party service providers with access to our or our suppliers’, trial patients’, investigators and clinical site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 </w:t>
      </w:r>
    </w:p>
    <w:p>
      <w:pPr>
        <w:pStyle w:val="TextBody"/>
        <w:bidi w:val="0"/>
        <w:spacing w:before="240" w:after="283"/>
        <w:jc w:val="left"/>
        <w:rPr>
          <w:rFonts w:ascii="Arial" w:hAnsi="Arial"/>
          <w:sz w:val="20"/>
        </w:rPr>
      </w:pPr>
      <w:r>
        <w:rPr>
          <w:rFonts w:ascii="Arial" w:hAnsi="Arial"/>
          <w:b/>
          <w:i/>
          <w:color w:val="000000"/>
          <w:sz w:val="20"/>
        </w:rPr>
        <w:t>We face potential liability related to the privacy of health information we obtain from clinical trials sponsored by us.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Most healthcare providers in the US, including research institutions from which we obtain patient health information, are subject to privacy and security regulations promulgated under HIPAA, as amended by the Health Information Technology for Economic and Clinical Health Act. We do not believe that we are currently acting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Even when HIPAA does not apply, according to the Federal Trade Commission (“FTC”), failing to take appropriate steps to keep consumers’ personal information secure constitutes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t>
      </w:r>
    </w:p>
    <w:p>
      <w:pPr>
        <w:pStyle w:val="TextBody"/>
        <w:bidi w:val="0"/>
        <w:spacing w:before="120" w:after="283"/>
        <w:jc w:val="left"/>
        <w:rPr>
          <w:rFonts w:ascii="Arial" w:hAnsi="Arial"/>
          <w:color w:val="000000"/>
          <w:sz w:val="20"/>
        </w:rPr>
      </w:pPr>
      <w:r>
        <w:rPr>
          <w:rFonts w:ascii="Arial" w:hAnsi="Arial"/>
          <w:color w:val="000000"/>
          <w:sz w:val="20"/>
        </w:rPr>
        <w:t>We, our CROs and third-party service providers receive and maintain sensitive information, including health-related information, that we receive throughout the clinical trial process and in the course of our research collaborations. As such, we may also be subject to state laws, requiring notification of affected individuals and state regulators in the event of a breach of personal information, which is a broader class of information than the health information protected by HIPAA. Our clinical trial programs and other activities outside the US may implicate international data protection laws, including the UK GDPR, GDPR and legislation of the EU member states implementing it. In addition, the EU imposes obligations on the use of data generated from clinical trials and enables European patients to have the opportunity to access their personal data processed in the context of clinical trials.</w:t>
      </w:r>
    </w:p>
    <w:p>
      <w:pPr>
        <w:pStyle w:val="TextBody"/>
        <w:bidi w:val="0"/>
        <w:spacing w:before="120" w:after="283"/>
        <w:jc w:val="left"/>
        <w:rPr>
          <w:rFonts w:ascii="Arial" w:hAnsi="Arial"/>
          <w:color w:val="000000"/>
          <w:sz w:val="20"/>
        </w:rPr>
      </w:pPr>
      <w:r>
        <w:rPr>
          <w:rFonts w:ascii="Arial" w:hAnsi="Arial"/>
          <w:color w:val="000000"/>
          <w:sz w:val="20"/>
        </w:rPr>
        <w:t xml:space="preserve">Our activities outside the US impose additional compliance requirements and generate additional risks of enforcement for noncompliance. Failure by our CROs and other third-party contractors to comply with the strict rules on the transfer of personal data outside of the EU into the US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Moreover, patients from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 </w:t>
      </w:r>
    </w:p>
    <w:p>
      <w:pPr>
        <w:pStyle w:val="TextBody"/>
        <w:bidi w:val="0"/>
        <w:spacing w:before="120" w:after="283"/>
        <w:jc w:val="left"/>
        <w:rPr>
          <w:rFonts w:ascii="Arial" w:hAnsi="Arial"/>
          <w:color w:val="000000"/>
          <w:sz w:val="20"/>
        </w:rPr>
      </w:pPr>
      <w:r>
        <w:rPr>
          <w:rFonts w:ascii="Arial" w:hAnsi="Arial"/>
          <w:color w:val="000000"/>
          <w:sz w:val="20"/>
        </w:rPr>
        <w:t xml:space="preserve">If we or third-party CMOs, CROs or other contractors or consultants fail to comply with applicable federal, state or foreign regulatory privacy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 Any of the foregoing could have a material adverse effect on our business, financial condition, results of operations and prospects. </w:t>
      </w:r>
    </w:p>
    <w:p>
      <w:pPr>
        <w:pStyle w:val="TextBody"/>
        <w:bidi w:val="0"/>
        <w:spacing w:before="240" w:after="283"/>
        <w:jc w:val="left"/>
        <w:rPr>
          <w:rFonts w:ascii="Arial" w:hAnsi="Arial"/>
          <w:b/>
          <w:i/>
          <w:color w:val="000000"/>
          <w:sz w:val="20"/>
        </w:rPr>
      </w:pPr>
      <w:r>
        <w:rPr>
          <w:rFonts w:ascii="Arial" w:hAnsi="Arial"/>
          <w:b/>
          <w:i/>
          <w:color w:val="000000"/>
          <w:sz w:val="20"/>
        </w:rPr>
        <w:t>Our business may be affected by the evolving regulatory framework relating to the use of AI.</w:t>
      </w:r>
    </w:p>
    <w:p>
      <w:pPr>
        <w:pStyle w:val="TextBody"/>
        <w:bidi w:val="0"/>
        <w:spacing w:before="120" w:after="283"/>
        <w:jc w:val="left"/>
        <w:rPr>
          <w:rFonts w:ascii="Arial" w:hAnsi="Arial"/>
          <w:color w:val="000000"/>
          <w:sz w:val="20"/>
        </w:rPr>
      </w:pPr>
      <w:r>
        <w:rPr>
          <w:rFonts w:ascii="Arial" w:hAnsi="Arial"/>
          <w:color w:val="000000"/>
          <w:sz w:val="20"/>
        </w:rPr>
        <w:t xml:space="preserve">We are increasing our use of AI tools and technology throughout our business. The regulatory framework for AI is rapidly evolving as many federal, state, and foreign government bodies and agencies have introduced or are currently considering additional laws and regulations. Additionally, existing laws and regulations may be interpreted in ways that would affect our use of AI. </w:t>
      </w:r>
    </w:p>
    <w:p>
      <w:pPr>
        <w:pStyle w:val="TextBody"/>
        <w:bidi w:val="0"/>
        <w:spacing w:before="120" w:after="283"/>
        <w:jc w:val="left"/>
        <w:rPr>
          <w:rFonts w:ascii="Arial" w:hAnsi="Arial"/>
          <w:color w:val="000000"/>
          <w:sz w:val="20"/>
        </w:rPr>
      </w:pPr>
      <w:r>
        <w:rPr>
          <w:rFonts w:ascii="Arial" w:hAnsi="Arial"/>
          <w:color w:val="000000"/>
          <w:sz w:val="20"/>
        </w:rPr>
        <w:t xml:space="preserve">It is possible that new laws and regulations will be adopted in the US and in other non-US jurisdictions, or that existing laws and regulations, including competition and antitrust laws, may be interpreted in ways that would limit our ability to use AI for our business. The cost of compliance with such laws, regulations, or decisions and/or guidance interpreting existing laws could be significant and would increase our operating expenses (such as by imposing additional reporting obligations regarding our use of AI. Such an increase in operating expenses, as well as any actual or perceived failure to comply with such laws and regulations, could adversely affect our business, financial condition and results of operations. </w:t>
      </w:r>
    </w:p>
    <w:p>
      <w:pPr>
        <w:pStyle w:val="TextBody"/>
        <w:bidi w:val="0"/>
        <w:spacing w:before="240" w:after="283"/>
        <w:jc w:val="left"/>
        <w:rPr>
          <w:rFonts w:ascii="Arial" w:hAnsi="Arial"/>
          <w:sz w:val="20"/>
        </w:rPr>
      </w:pPr>
      <w:r>
        <w:rPr>
          <w:rFonts w:ascii="Arial" w:hAnsi="Arial"/>
          <w:b/>
          <w:i/>
          <w:color w:val="000000"/>
          <w:sz w:val="20"/>
        </w:rPr>
        <w:t>We are subject to environmental, health and safety laws and regulations, and we may become exposed to liability and substantial expenses in connection with environmental compliance or remediation activities.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Our operations, including our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 Moreover, certain environmental laws may impose liability without regard to fault or legality of the action at the time of its occurrence.</w:t>
      </w:r>
    </w:p>
    <w:p>
      <w:pPr>
        <w:pStyle w:val="TextBody"/>
        <w:bidi w:val="0"/>
        <w:spacing w:before="120" w:after="283"/>
        <w:jc w:val="left"/>
        <w:rPr>
          <w:rFonts w:ascii="Arial" w:hAnsi="Arial"/>
          <w:color w:val="000000"/>
          <w:sz w:val="20"/>
        </w:rPr>
      </w:pPr>
      <w:r>
        <w:rPr>
          <w:rFonts w:ascii="Arial" w:hAnsi="Arial"/>
          <w:color w:val="000000"/>
          <w:sz w:val="20"/>
        </w:rPr>
        <w:t xml:space="preserve">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the production efforts of our third-party manufacturers or our development efforts may be interrupted or delayed. </w:t>
      </w:r>
    </w:p>
    <w:p>
      <w:pPr>
        <w:pStyle w:val="TextBody"/>
        <w:bidi w:val="0"/>
        <w:spacing w:before="240" w:after="283"/>
        <w:jc w:val="left"/>
        <w:rPr>
          <w:rFonts w:ascii="Arial" w:hAnsi="Arial"/>
          <w:sz w:val="20"/>
        </w:rPr>
      </w:pPr>
      <w:r>
        <w:rPr>
          <w:rFonts w:ascii="Arial" w:hAnsi="Arial"/>
          <w:b/>
          <w:i/>
          <w:color w:val="000000"/>
          <w:sz w:val="20"/>
        </w:rPr>
        <w:t>We and our employees are increasingly utilizing social media tools as a means of communication both internally and externally.</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Despite our efforts to monitor evolving social media communication guidelines and comply with applicable rules, there is risk that the use of social media by us or our employees to communicate about our product candidates or business may cause us to be found in violation of applicable requirements. In addition, our employees may knowingly or inadvertently make use of social media in ways that may not comply with applicable laws and regulations, our policies and other legal or contractual requirements, which may give rise to regulatory enforcement action, liability, lead to the loss of trade secrets or other intellectual property or result in public exposure of personal information of our employees, clinical trial patients, customers and others. Furthermore, </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negative posts or comments about us or our product candidates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pStyle w:val="TextBody"/>
        <w:bidi w:val="0"/>
        <w:spacing w:before="240" w:after="283"/>
        <w:jc w:val="left"/>
        <w:rPr>
          <w:rFonts w:ascii="Arial" w:hAnsi="Arial"/>
          <w:sz w:val="20"/>
        </w:rPr>
      </w:pPr>
      <w:r>
        <w:rPr>
          <w:rFonts w:ascii="Arial" w:hAnsi="Arial"/>
          <w:b/>
          <w:color w:val="000000"/>
          <w:sz w:val="20"/>
        </w:rPr>
        <w:t>Risks Related to Commercialization</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b/>
          <w:i/>
          <w:color w:val="000000"/>
          <w:sz w:val="20"/>
        </w:rPr>
        <w:t>Developments by competitors may render our products or technologies obsolete or non-competitive or may reduce the size of our markets.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Our industry is characterized by extensive research and development efforts, rapid developments in technologies, intense competition and a strong emphasis on proprietary products. We expect our product candidates to face intense competition with existing products and increasing competition as new products enter the relevant markets and advanced technologies become available. </w:t>
      </w:r>
    </w:p>
    <w:p>
      <w:pPr>
        <w:pStyle w:val="TextBody"/>
        <w:bidi w:val="0"/>
        <w:spacing w:before="120" w:after="283"/>
        <w:jc w:val="left"/>
        <w:rPr>
          <w:rFonts w:ascii="Arial" w:hAnsi="Arial"/>
          <w:color w:val="000000"/>
          <w:sz w:val="20"/>
        </w:rPr>
      </w:pPr>
      <w:r>
        <w:rPr>
          <w:rFonts w:ascii="Arial" w:hAnsi="Arial"/>
          <w:color w:val="000000"/>
          <w:sz w:val="20"/>
        </w:rPr>
        <w:t xml:space="preserve">We face potential competition from many different sources, including pharmaceutical, biotechnology and specialty pharmaceutical companies. Academic research institutions, governmental agencies and public and private institutions are also potential sources of competitive products and technologies. Our competitors may have or may develop superior technologies or approaches, which may provide them with competitive advantages. Many of these competitors have products already approved or in development in the therapeutic categories that we are targeting with our product candidates. Either alone or together with their collaborative partners, many of these competitors operate larger research and development programs and have substantially greater financial resources and access to larger pools of capital, including in some cases US government funding, than we do. </w:t>
      </w:r>
    </w:p>
    <w:p>
      <w:pPr>
        <w:pStyle w:val="TextBody"/>
        <w:bidi w:val="0"/>
        <w:spacing w:before="120" w:after="283"/>
        <w:jc w:val="left"/>
        <w:rPr>
          <w:rFonts w:ascii="Arial" w:hAnsi="Arial"/>
          <w:color w:val="000000"/>
          <w:sz w:val="20"/>
        </w:rPr>
      </w:pPr>
      <w:r>
        <w:rPr>
          <w:rFonts w:ascii="Arial" w:hAnsi="Arial"/>
          <w:color w:val="000000"/>
          <w:sz w:val="20"/>
        </w:rPr>
        <w:t xml:space="preserve">Additionally, many of these competitors have greater experience in: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developing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undertaking preclinical testing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obtaining NDA approval by the FDA and comparable approvals of product candidates from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formulating and manufacturing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launching, marketing and selling products. </w:t>
      </w:r>
    </w:p>
    <w:p>
      <w:pPr>
        <w:pStyle w:val="TextBody"/>
        <w:bidi w:val="0"/>
        <w:spacing w:before="120" w:after="283"/>
        <w:jc w:val="left"/>
        <w:rPr>
          <w:rFonts w:ascii="Arial" w:hAnsi="Arial"/>
          <w:color w:val="000000"/>
          <w:sz w:val="20"/>
        </w:rPr>
      </w:pPr>
      <w:r>
        <w:rPr>
          <w:rFonts w:ascii="Arial" w:hAnsi="Arial"/>
          <w:color w:val="000000"/>
          <w:sz w:val="20"/>
        </w:rPr>
        <w:t xml:space="preserve">If these competitors access the marketplace before we do with effective vaccines or safer, more effective, or less expensive therapeutics, our product candidates, if approved for commercialization, may not be profitable to sell or worthwhile to continue to develop. Technology in the pharmaceutical industry has undergone rapid and significant change, and we expect that it will continue to do so. </w:t>
      </w:r>
    </w:p>
    <w:p>
      <w:pPr>
        <w:pStyle w:val="TextBody"/>
        <w:bidi w:val="0"/>
        <w:spacing w:before="120" w:after="283"/>
        <w:jc w:val="left"/>
        <w:rPr>
          <w:rFonts w:ascii="Arial" w:hAnsi="Arial"/>
          <w:color w:val="000000"/>
          <w:sz w:val="20"/>
        </w:rPr>
      </w:pPr>
      <w:r>
        <w:rPr>
          <w:rFonts w:ascii="Arial" w:hAnsi="Arial"/>
          <w:color w:val="000000"/>
          <w:sz w:val="20"/>
        </w:rPr>
        <w:t xml:space="preserve">In the biopharmaceutical industry, AI is being increasingly used by companies and entities with which we compete. We are increasing our use of AI but other entities may be more advanced in their deployment and use of AI which may enhance such other entities’ business operations particularly their discovery efforts and the integration of operational efficiencies in the preclinical and clinical development of product candidates. If we are unable to use AI as effectively as our competitors, we could experience competitive disadvantages. </w:t>
      </w:r>
    </w:p>
    <w:p>
      <w:pPr>
        <w:pStyle w:val="TextBody"/>
        <w:bidi w:val="0"/>
        <w:spacing w:before="120" w:after="283"/>
        <w:jc w:val="left"/>
        <w:rPr>
          <w:rFonts w:ascii="Arial" w:hAnsi="Arial"/>
          <w:color w:val="000000"/>
          <w:sz w:val="20"/>
        </w:rPr>
      </w:pPr>
      <w:r>
        <w:rPr>
          <w:rFonts w:ascii="Arial" w:hAnsi="Arial"/>
          <w:color w:val="000000"/>
          <w:sz w:val="20"/>
        </w:rPr>
        <w:t xml:space="preserve">Any compounds, products or processes that we develop may become obsolete or uneconomical before we recover any expenses incurred in connection with their development. The success of our product candidates will depend upon factors such as product efficacy, safety, reliability, availability, timing, scope of regulatory approval, acceptance and price, among other things. Other important factors to our success include speed in developing product candidates, completing clinical development and laboratory testing, obtaining regulatory approvals and manufacturing and selling commercial quantities of potential products. </w:t>
      </w:r>
    </w:p>
    <w:p>
      <w:pPr>
        <w:pStyle w:val="TextBody"/>
        <w:bidi w:val="0"/>
        <w:spacing w:before="240" w:after="283"/>
        <w:jc w:val="left"/>
        <w:rPr>
          <w:rFonts w:ascii="Arial" w:hAnsi="Arial"/>
          <w:b/>
          <w:i/>
          <w:color w:val="000000"/>
          <w:sz w:val="20"/>
        </w:rPr>
      </w:pPr>
      <w:r>
        <w:rPr>
          <w:rFonts w:ascii="Arial" w:hAnsi="Arial"/>
          <w:b/>
          <w:i/>
          <w:color w:val="000000"/>
          <w:sz w:val="20"/>
        </w:rPr>
        <w:t>For the treatment of HCV, we will face significant competition from approved and authorized oral treatments. The approved HCV drugs are well-established products and are widely-accepted by physicians, patients and third-party payors. For other diseases that we may target, we may face competition from drugs approved for treatment of such diseases as well as other treatments in development.</w:t>
      </w:r>
    </w:p>
    <w:p>
      <w:pPr>
        <w:pStyle w:val="TextBody"/>
        <w:bidi w:val="0"/>
        <w:spacing w:before="120" w:after="283"/>
        <w:jc w:val="left"/>
        <w:rPr>
          <w:rFonts w:ascii="Arial" w:hAnsi="Arial"/>
          <w:color w:val="000000"/>
          <w:sz w:val="20"/>
        </w:rPr>
      </w:pPr>
      <w:r>
        <w:rPr>
          <w:rFonts w:ascii="Arial" w:hAnsi="Arial"/>
          <w:color w:val="000000"/>
          <w:sz w:val="20"/>
        </w:rPr>
        <w:t xml:space="preserve">Our HCV product candidate, if approved, is expected to compete directly or indirectly with existing, currently commercialized products. For example, if we successfully develop and receive marketing approval for our HCV product candidate, we anticipate that we will face competition from currently approved oral antiviral HCV products that are well established and widely accepted by physicians, patients and third-party payors, including products </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marketed and sold by Gilead Sciences, Inc., Asegua Therapeutics LLC, a wholly owned subsidiary of Gilead Sciences, Inc. and AbbVie Inc. Even if approved and commercialized, our HCV product candidate may fail to achieve market acceptance with hospitals, physicians, patients or third-party payors. Hospitals, physicians, patients or third-party payors may conclude that our product is less safe or effective or otherwise less attractive than existing drugs. If our HCV product candidate or other future product candidates, if any, do not receive market acceptance for any reason, our revenue potential would be diminished, which would materially adversely affect our ability to become profitable. Other product candidates, if any, may also compete with existing products in a similar manner. </w:t>
      </w:r>
    </w:p>
    <w:p>
      <w:pPr>
        <w:pStyle w:val="TextBody"/>
        <w:bidi w:val="0"/>
        <w:spacing w:before="120" w:after="283"/>
        <w:jc w:val="left"/>
        <w:rPr>
          <w:rFonts w:ascii="Arial" w:hAnsi="Arial"/>
          <w:color w:val="000000"/>
          <w:sz w:val="20"/>
        </w:rPr>
      </w:pPr>
      <w:r>
        <w:rPr>
          <w:rFonts w:ascii="Arial" w:hAnsi="Arial"/>
          <w:color w:val="000000"/>
          <w:sz w:val="20"/>
        </w:rPr>
        <w:t>Many of our competitors have substantially greater capital resources, access to larger pools of capital, robust product candidate pipelines, established presence in the market, deep and broad commercial infrastructures and greater expertise in research and development, manufacturing, preclinical and clinical testing, obtaining regulatory approvals and reimbursement and marketing approved products than we do. As a result, our competitors may be able to maintain market share or achieve product commercialization or patent or other intellectual property protection earlier than we can. For example, in each of May 2023 and October 2024, the US Patent and Trademark Office (“USPTO”) granted Gilead Sciences patents in the US that include claims which purportedly covers our compound bemnifosbuvir. While we believe the claims in these patents are invalid and unenforceable and will expire not later than June 15, 2028, if Gilead Sciences asserts either of these patents in an infringement suit, we may not be successful in convincing a trial court that the claims are invalid and unenforceable. In that circumstance, if we were selling or offering to sell the regimen of bemnifosbuvir and ruzasvir prior to the expiration of these Gilead Sciences patents, we would need to obtain a license from Gilead Sciences covering the then remaining term of the patents, which may not be available on reasonable terms, if at all. If such a license is required and we are unable to agree on license terms, a court may impose license terms, which could result in significant cost for the period we may be commercializing the product prior to the expiration of the patents held by Gilead Sciences.</w:t>
      </w:r>
    </w:p>
    <w:p>
      <w:pPr>
        <w:pStyle w:val="TextBody"/>
        <w:bidi w:val="0"/>
        <w:spacing w:before="120" w:after="283"/>
        <w:jc w:val="left"/>
        <w:rPr>
          <w:rFonts w:ascii="Arial" w:hAnsi="Arial"/>
          <w:color w:val="000000"/>
          <w:sz w:val="20"/>
        </w:rPr>
      </w:pPr>
      <w:r>
        <w:rPr>
          <w:rFonts w:ascii="Arial" w:hAnsi="Arial"/>
          <w:color w:val="000000"/>
          <w:sz w:val="20"/>
        </w:rPr>
        <w:t xml:space="preserve">Smaller or early-stage companies may also prove to be significant competitors, particularly through collaborative arrangements with large and established companies. These competitors also compete with us in recruiting and retaining qualified clinical, regulatory, scientific, sales, marketing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or that would render any products that we may develop obsolete or noncompetitive, which would have a material adverse effect on our business and operations. </w:t>
      </w:r>
    </w:p>
    <w:p>
      <w:pPr>
        <w:pStyle w:val="TextBody"/>
        <w:bidi w:val="0"/>
        <w:spacing w:before="240" w:after="283"/>
        <w:jc w:val="left"/>
        <w:rPr>
          <w:rFonts w:ascii="Arial" w:hAnsi="Arial"/>
          <w:sz w:val="20"/>
        </w:rPr>
      </w:pPr>
      <w:r>
        <w:rPr>
          <w:rFonts w:ascii="Arial" w:hAnsi="Arial"/>
          <w:b/>
          <w:i/>
          <w:color w:val="000000"/>
          <w:sz w:val="20"/>
        </w:rPr>
        <w:t>The successful commercialization of our product candidates will depend in part on the extent to which governmental authorities and health insurers establish coverage, adequate reimbursement levels and pricing policies. Failure to obtain or maintain coverage and adequate reimbursement for our product candidates, if approved, could limit our ability to market those products and decrease our ability to generate product revenue.</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There is significant uncertainty related to the insurance coverage and reimbursement of newly approved products.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w:t>
      </w:r>
    </w:p>
    <w:p>
      <w:pPr>
        <w:pStyle w:val="TextBody"/>
        <w:bidi w:val="0"/>
        <w:spacing w:before="120" w:after="283"/>
        <w:jc w:val="left"/>
        <w:rPr>
          <w:rFonts w:ascii="Arial" w:hAnsi="Arial"/>
          <w:color w:val="000000"/>
          <w:sz w:val="20"/>
        </w:rPr>
      </w:pPr>
      <w:r>
        <w:rPr>
          <w:rFonts w:ascii="Arial" w:hAnsi="Arial"/>
          <w:color w:val="000000"/>
          <w:sz w:val="20"/>
        </w:rPr>
        <w:t xml:space="preserve">Third-party payors increasingly are challenging prices charged for pharmaceutical products and services, and many third-party payors may refuse to provide coverage and reimbursement for particular drugs and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shorter duration or improved convenience of administration with our product candidates, pricing of existing third-party therapeutics may limit the amount we will be able to charge for our product candidates.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available only at limited levels, we may not be able to successfully commercialize our product candidates and may not be able to obtain a satisfactory financial return on our product candidates. </w:t>
      </w:r>
    </w:p>
    <w:p>
      <w:pPr>
        <w:pStyle w:val="TextBody"/>
        <w:bidi w:val="0"/>
        <w:spacing w:before="120" w:after="283"/>
        <w:jc w:val="left"/>
        <w:rPr>
          <w:rFonts w:ascii="Arial" w:hAnsi="Arial"/>
          <w:color w:val="000000"/>
          <w:sz w:val="20"/>
        </w:rPr>
      </w:pPr>
      <w:r>
        <w:rPr>
          <w:rFonts w:ascii="Arial" w:hAnsi="Arial"/>
          <w:color w:val="000000"/>
          <w:sz w:val="20"/>
        </w:rPr>
        <w:t xml:space="preserve">In the US, third-party payors, including private and governmental payors, such as the Medicare and Medicaid programs, play an important role in determining the extent to which new drugs and biologics will be covered and reimbursed. The Medicare program is increasingly used as a model for how private and other governmental payors develop their coverage and reimbursement policies for new drugs. However, no uniform policy for coverage and reimbursement for products exists among third-party payors in the US.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Some third-party payors may require pre-approval of coverage for new or innovative drug therapies before they will reimburse healthcare providers who use such therapies. Furthermore, rules and regulations regarding reimbursement change frequently, in some cases on short notice, and we believe that changes in these rules and regulations are likely. We cannot predict at this time what third-party payors will decide with respect to the coverage and reimbursement for our product candidates. </w:t>
      </w:r>
    </w:p>
    <w:p>
      <w:pPr>
        <w:pStyle w:val="TextBody"/>
        <w:bidi w:val="0"/>
        <w:spacing w:before="120" w:after="283"/>
        <w:jc w:val="left"/>
        <w:rPr>
          <w:rFonts w:ascii="Arial" w:hAnsi="Arial"/>
          <w:color w:val="000000"/>
          <w:sz w:val="20"/>
        </w:rPr>
      </w:pPr>
      <w:r>
        <w:rPr>
          <w:rFonts w:ascii="Arial" w:hAnsi="Arial"/>
          <w:color w:val="000000"/>
          <w:sz w:val="20"/>
        </w:rPr>
        <w:t xml:space="preserve">Outside the US, international operations are generally subject to extensive governmental price controls and other market regulations, and we believe the increasing emphasis on cost-containment initiatives in the EU and other jurisdictions have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US, the reimbursement for our product candidates may be reduced compared with the US and may be insufficient to generate commercially reasonable revenue and profits. </w:t>
      </w:r>
    </w:p>
    <w:p>
      <w:pPr>
        <w:pStyle w:val="TextBody"/>
        <w:bidi w:val="0"/>
        <w:spacing w:before="120" w:after="283"/>
        <w:jc w:val="left"/>
        <w:rPr>
          <w:rFonts w:ascii="Arial" w:hAnsi="Arial"/>
          <w:color w:val="000000"/>
          <w:sz w:val="20"/>
        </w:rPr>
      </w:pPr>
      <w:r>
        <w:rPr>
          <w:rFonts w:ascii="Arial" w:hAnsi="Arial"/>
          <w:color w:val="000000"/>
          <w:sz w:val="20"/>
        </w:rPr>
        <w:t>Moreover, increasing efforts by governmental and third-party payors in the US and abroad to cap or reduce healthcare costs may cause such organizations to limit both coverage and the level of reimbursement for newly approved products and, as a result, they may not cover or provide adequate payment for our product candidates. For example, the future value of the US HCV market may be impacted by payors obtaining additional discounts from manufacturers and by payor contracting dynamics. Medicaid agencies in certain individual states have enacted HCV treatment subscription models where manufacturers provide unrestricted access to their antiviral medication for a capitated total price and the Medicaid agencies in other states may in the future enact such HCV treatment subscription models. Contract duration and restrictions of such agreements could impact the ability of the non-awarded HCV oral antivirals to compete. In addition, future US government sponsored HCV eradication initiatives, including federal programs similar to state HCV treatment subscription programs, could impact the HCV market opportunity. While future US government sponsored HCV programs could significantly expand the number of HCV infected patients being treated, it also could negatively impact market value and access to many HCV oral antivirals including products such as ours.</w:t>
      </w:r>
    </w:p>
    <w:p>
      <w:pPr>
        <w:pStyle w:val="TextBody"/>
        <w:bidi w:val="0"/>
        <w:spacing w:before="120" w:after="283"/>
        <w:jc w:val="left"/>
        <w:rPr>
          <w:rFonts w:ascii="Arial" w:hAnsi="Arial"/>
          <w:color w:val="000000"/>
          <w:sz w:val="20"/>
        </w:rPr>
      </w:pPr>
      <w:r>
        <w:rPr>
          <w:rFonts w:ascii="Arial" w:hAnsi="Arial"/>
          <w:color w:val="000000"/>
          <w:sz w:val="20"/>
        </w:rPr>
        <w:t xml:space="preserve">We expect to experience pricing pressures in connection with the sale of our product candidates due to the presence of approved, and in the case of HCV, authorized generic, products already in many marketplaces, the trend toward managed healthcare, the increasing influence of health maintenance organizations and additional changes resulting from legislative actions, including the IRA and other governmental initiatives. The downward pressure on healthcare costs in general, particularly prescription drugs and biologics and other treatments, has become intense. As a result, increasingly high barriers are being erected to the entry of new products. </w:t>
      </w:r>
    </w:p>
    <w:p>
      <w:pPr>
        <w:pStyle w:val="TextBody"/>
        <w:bidi w:val="0"/>
        <w:spacing w:before="240" w:after="283"/>
        <w:jc w:val="left"/>
        <w:rPr>
          <w:rFonts w:ascii="Arial" w:hAnsi="Arial"/>
          <w:sz w:val="20"/>
        </w:rPr>
      </w:pPr>
      <w:r>
        <w:rPr>
          <w:rFonts w:ascii="Arial" w:hAnsi="Arial"/>
          <w:b/>
          <w:i/>
          <w:color w:val="000000"/>
          <w:sz w:val="20"/>
        </w:rPr>
        <w:t>If we are unable to establish sales, marketing and distribution capabilities either on our own or in collaboration with third parties, we may not be successful in commercializing any of our product candidates, if approved, and we may not be able to generate any product revenue.</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have limited personnel and limited infrastructure for the sales, marketing or distribution of products, and no experience as a company in commercializing a product candidate. The cost of building and maintaining such an organization may exceed the cost-effectiveness of doing so. </w:t>
      </w:r>
    </w:p>
    <w:p>
      <w:pPr>
        <w:pStyle w:val="TextBody"/>
        <w:bidi w:val="0"/>
        <w:spacing w:before="120" w:after="283"/>
        <w:jc w:val="left"/>
        <w:rPr>
          <w:rFonts w:ascii="Arial" w:hAnsi="Arial"/>
          <w:color w:val="000000"/>
          <w:sz w:val="20"/>
        </w:rPr>
      </w:pPr>
      <w:r>
        <w:rPr>
          <w:rFonts w:ascii="Arial" w:hAnsi="Arial"/>
          <w:color w:val="000000"/>
          <w:sz w:val="20"/>
        </w:rPr>
        <w:t xml:space="preserve">Currently, we anticipate to establish our own commercial organization in the US to commercialize, together with a collaborator, our HCV product candidate, if approved. Outside the US, we anticipate to rely on a collaborator to commercialize our HCV product candidate if approved. We do not currently have any commercialization </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arrangements in place with any collaborator either within or outside the US and we may be unable to enter into acceptable arrangements to do so. </w:t>
      </w:r>
    </w:p>
    <w:p>
      <w:pPr>
        <w:pStyle w:val="TextBody"/>
        <w:bidi w:val="0"/>
        <w:spacing w:before="120" w:after="283"/>
        <w:jc w:val="left"/>
        <w:rPr>
          <w:rFonts w:ascii="Arial" w:hAnsi="Arial"/>
          <w:color w:val="000000"/>
          <w:sz w:val="20"/>
        </w:rPr>
      </w:pPr>
      <w:r>
        <w:rPr>
          <w:rFonts w:ascii="Arial" w:hAnsi="Arial"/>
          <w:color w:val="000000"/>
          <w:sz w:val="20"/>
        </w:rPr>
        <w:t xml:space="preserve">There are significant expenses and risks involved with building our own sales, marketing and distribution capabilities, including our ability to hire, retain and appropriately incentivize qualified individuals, generate sufficient sales leads, provide adequate training for sales and marketing personnel, and effectively manage a geographically dispersed sales and marketing team. Any failure or delay in the development of our internal sales, marketing and distribution capabilities could delay the product launch, and adversely impact the commercialization of our product candidates, if approved. Additionally, if the commercial launch of our product candidates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w:t>
      </w:r>
    </w:p>
    <w:p>
      <w:pPr>
        <w:pStyle w:val="TextBody"/>
        <w:bidi w:val="0"/>
        <w:spacing w:before="120" w:after="283"/>
        <w:jc w:val="left"/>
        <w:rPr>
          <w:rFonts w:ascii="Arial" w:hAnsi="Arial"/>
          <w:color w:val="000000"/>
          <w:sz w:val="20"/>
        </w:rPr>
      </w:pPr>
      <w:r>
        <w:rPr>
          <w:rFonts w:ascii="Arial" w:hAnsi="Arial"/>
          <w:color w:val="000000"/>
          <w:sz w:val="20"/>
        </w:rPr>
        <w:t xml:space="preserve">Factors that may inhibit our efforts to commercialize our product candidates on our own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inability to recruit and retain adequate numbers of effective sales and marketing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inability of sales personnel to obtain access to physicians or persuade adequate numbers of physicians to prescribe our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inability to equip medical and sales personnel with effective materials, including medical and sales literature to help them educate physicians and other healthcare providers regarding applicable diseases and our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lack of complementary products to be offered by sales personnel, which may put us at a competitive disadvantage relative to companies with more extensive product lines;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inability to develop or obtain sufficient operational functions to support our commercial activities;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unforeseen costs and expenses associated with creating an independent sales and marketing organization. </w:t>
      </w:r>
    </w:p>
    <w:p>
      <w:pPr>
        <w:pStyle w:val="TextBody"/>
        <w:bidi w:val="0"/>
        <w:spacing w:before="120" w:after="283"/>
        <w:jc w:val="left"/>
        <w:rPr>
          <w:rFonts w:ascii="Arial" w:hAnsi="Arial"/>
          <w:color w:val="000000"/>
          <w:sz w:val="20"/>
        </w:rPr>
      </w:pPr>
      <w:r>
        <w:rPr>
          <w:rFonts w:ascii="Arial" w:hAnsi="Arial"/>
          <w:color w:val="000000"/>
          <w:sz w:val="20"/>
        </w:rPr>
        <w:t xml:space="preserve">In those territories where we engage a collaborator to commercialize our products in whole or in part our sales will depend on the collaborator’s strategic interest in the product and such collaborator’s ability to successfully commercialize the product. </w:t>
      </w:r>
    </w:p>
    <w:p>
      <w:pPr>
        <w:pStyle w:val="TextBody"/>
        <w:bidi w:val="0"/>
        <w:spacing w:before="120" w:after="283"/>
        <w:jc w:val="left"/>
        <w:rPr>
          <w:rFonts w:ascii="Arial" w:hAnsi="Arial"/>
          <w:color w:val="000000"/>
          <w:sz w:val="20"/>
        </w:rPr>
      </w:pPr>
      <w:r>
        <w:rPr>
          <w:rFonts w:ascii="Arial" w:hAnsi="Arial"/>
          <w:color w:val="000000"/>
          <w:sz w:val="20"/>
        </w:rPr>
        <w:t xml:space="preserve">If we are unable to build our own sales force or access a collaborative relationship for the commercialization of any of our product candidates, we may be forced to delay the potential commercialization of our product candidates or reduce the scope of our sales or marketing activities for such product candidates. If we elect to increase our expenditures to fund additional commercialization activities ourselves, we will need to obtain additional capital, which may not be available to us on acceptable terms, or at all. We could enter into arrangements with collaborative partners at an earlier stage than otherwise would be ideal and we may be required to relinquish rights to any of our product candidates or otherwise agree to terms unfavorable to us, any of which may have an adverse effect on our business, operating results and prospects. </w:t>
      </w:r>
    </w:p>
    <w:p>
      <w:pPr>
        <w:pStyle w:val="TextBody"/>
        <w:bidi w:val="0"/>
        <w:spacing w:before="120" w:after="283"/>
        <w:jc w:val="left"/>
        <w:rPr>
          <w:rFonts w:ascii="Arial" w:hAnsi="Arial"/>
          <w:color w:val="000000"/>
          <w:sz w:val="20"/>
        </w:rPr>
      </w:pPr>
      <w:r>
        <w:rPr>
          <w:rFonts w:ascii="Arial" w:hAnsi="Arial"/>
          <w:color w:val="000000"/>
          <w:sz w:val="20"/>
        </w:rPr>
        <w:t xml:space="preserve">If we are unable to establish adequate sales, marketing and distribution capabilities, either on our own or in collaboration with third parties, we will not be successful in commercializing our product candidates and may not become profitable and may incur significant additional losses. We will be competing with many companies, including large pharmaceutical companies, including Gilead Sciences and AbbVie in HCV, that have extensive and well-funded marketing and sales operations. Without a robust internal team or the support of third-parties to perform marketing and sales functions, we may be unable to compete successfully against these more established companies. </w:t>
      </w:r>
    </w:p>
    <w:p>
      <w:pPr>
        <w:pStyle w:val="TextBody"/>
        <w:bidi w:val="0"/>
        <w:spacing w:before="120" w:after="283"/>
        <w:jc w:val="left"/>
        <w:rPr>
          <w:rFonts w:ascii="Arial" w:hAnsi="Arial"/>
          <w:color w:val="000000"/>
          <w:sz w:val="20"/>
        </w:rPr>
      </w:pPr>
      <w:r>
        <w:rPr>
          <w:rFonts w:ascii="Arial" w:hAnsi="Arial"/>
          <w:color w:val="000000"/>
          <w:sz w:val="20"/>
        </w:rPr>
        <w:t xml:space="preserve">In addition, even if we do establish adequate sales, marketing and distribution capabilities, the progress of general industry trends with respect to pricing models, supply chains and delivery mechanisms, among other things, could deviate from our expectations. If these or other industry trends change in a manner which we do not anticipate or for which we are not prepared, we may not be successful in commercializing our product candidates or become profitable. </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0"/>
        </w:rPr>
      </w:pPr>
      <w:r>
        <w:rPr>
          <w:rFonts w:ascii="Arial" w:hAnsi="Arial"/>
          <w:b/>
          <w:i/>
          <w:color w:val="000000"/>
          <w:sz w:val="20"/>
        </w:rPr>
        <w:t>Our future growth may depend, in part, on our ability to penetrate foreign markets, where we would be subject to additional regulatory burdens and other risks and uncertainties.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Our future profitability may depend, in part, on our ability to commercialize our product candidates in foreign markets. Currently, we anticipate to rely on third party collaborators for such foreign market commercialization. We are evaluating potential collaborations and opportunities for the commercialization of our product candidates in foreign markets but currently we do not have any collaboration agreements or arrangements in place. Neither we or any third party with which we may collaborate is permitted to market or promote any of our product candidates before regulatory approval of such product candidate is received from the applicable regulatory authority in that foreign market, and such regulatory approval for any of our product candidates may never result. To obtain regulatory approvals in countries outside the US, it will be necessary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such product in foreign markets, we would be subject to additional risks and uncertainties,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customers’ ability to obtain reimbursement for our product candidates in foreign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inability to directly control commercial activities of any third parties upon which we are relying;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burden of complying with complex and changing foreign regulatory, tax, accounting and legal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different medical practices and customs in foreign countries affecting acceptance in the marketplace;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import or export licensing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or the ability of our collaborators, to supply our products on a timely and large-scale basis in local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longer lead times for shipping which may necessitate local manufacture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language barriers for technical training and the need for language translations;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reduced protection of patent and other intellectual property rights in some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existence of additional potentially relevant third-party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longer accounts receivable collection times;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foreign currency exchange rate fluctuations;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interpretation of contractual provisions governed by foreign laws in the event of a contract dispute. </w:t>
      </w:r>
    </w:p>
    <w:p>
      <w:pPr>
        <w:pStyle w:val="TextBody"/>
        <w:bidi w:val="0"/>
        <w:spacing w:before="120" w:after="283"/>
        <w:jc w:val="left"/>
        <w:rPr>
          <w:rFonts w:ascii="Arial" w:hAnsi="Arial"/>
          <w:color w:val="000000"/>
          <w:sz w:val="20"/>
        </w:rPr>
      </w:pPr>
      <w:r>
        <w:rPr>
          <w:rFonts w:ascii="Arial" w:hAnsi="Arial"/>
          <w:color w:val="000000"/>
          <w:sz w:val="20"/>
        </w:rPr>
        <w:t xml:space="preserve">Foreign sales of any product for which we obtain approval could also be adversely affected by the imposition of governmental controls, political and economic instability, trade restrictions and changes in tariffs. </w:t>
      </w:r>
    </w:p>
    <w:p>
      <w:pPr>
        <w:pStyle w:val="TextBody"/>
        <w:bidi w:val="0"/>
        <w:spacing w:before="120" w:after="283"/>
        <w:jc w:val="left"/>
        <w:rPr>
          <w:rFonts w:ascii="Arial" w:hAnsi="Arial"/>
          <w:color w:val="000000"/>
          <w:sz w:val="20"/>
        </w:rPr>
      </w:pPr>
      <w:r>
        <w:rPr>
          <w:rFonts w:ascii="Arial" w:hAnsi="Arial"/>
          <w:color w:val="000000"/>
          <w:sz w:val="20"/>
        </w:rPr>
        <w:t xml:space="preserve">If any of our product candidates is approved for commercialization, we currently anticipate to selectively partner with third parties to market such product both within and outside the US. If we or a collaborator market a product outside the US, we expect that we will be subject to additional risks related to international pharmaceutical operations,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different regulatory requirements for drug approvals and rules governing drug commercialization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reduced protection for patent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foreign reimbursement, pricing and insurance regimes;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potential noncompliance with the US Foreign Corrupt Practices Act, the U.K. Bribery Act 2010 and similar anti-bribery and anticorruption laws in other jurisdictions;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production shortages resulting from any events affecting raw material supply or manufacturing capabilities abroad. </w:t>
      </w:r>
    </w:p>
    <w:p>
      <w:pPr>
        <w:pStyle w:val="TextBody"/>
        <w:bidi w:val="0"/>
        <w:spacing w:before="120" w:after="283"/>
        <w:jc w:val="left"/>
        <w:rPr>
          <w:rFonts w:ascii="Arial" w:hAnsi="Arial"/>
          <w:color w:val="000000"/>
          <w:sz w:val="20"/>
        </w:rPr>
      </w:pPr>
      <w:r>
        <w:rPr>
          <w:rFonts w:ascii="Arial" w:hAnsi="Arial"/>
          <w:color w:val="000000"/>
          <w:sz w:val="20"/>
        </w:rPr>
        <w:t xml:space="preserve">As an organization, we have no prior experience in these areas. In addition, we will need to comply with complex regulatory, tax, labor and other legal requirements imposed by both the EU and many of the individual member </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states in the EU as well as in other global territories. Many US-based biotechnology and biopharmaceutical companies have found the process of marketing products outside of North America to be very challenging.</w:t>
      </w:r>
    </w:p>
    <w:p>
      <w:pPr>
        <w:pStyle w:val="TextBody"/>
        <w:bidi w:val="0"/>
        <w:spacing w:before="120" w:after="283"/>
        <w:jc w:val="left"/>
        <w:rPr>
          <w:rFonts w:ascii="Arial" w:hAnsi="Arial"/>
          <w:color w:val="000000"/>
          <w:sz w:val="20"/>
        </w:rPr>
      </w:pPr>
      <w:r>
        <w:rPr>
          <w:rFonts w:ascii="Arial" w:hAnsi="Arial"/>
          <w:color w:val="000000"/>
          <w:sz w:val="20"/>
        </w:rPr>
        <w:t xml:space="preserve">Certain legal and political risks are also inherent in foreign operations without regard to whether these activities are conducted by us or by a collaborator. There is a risk that foreign governments may nationalize private enterprises in certain countries where we or any collaborator with which we are collaborating may operate. In certain countries or regions, terrorist activities and the response to such activities may threaten our operations or the operations of any collaborator to a greater degree than in the US. Social and cultural norms in certain countries may not support compliance with our corporate policies, including those that require compliance with substantive laws and regulations. Also, changes in general economic and political conditions in countries where we may operate are a risk to our financial performance and future growth. </w:t>
      </w:r>
    </w:p>
    <w:p>
      <w:pPr>
        <w:pStyle w:val="TextBody"/>
        <w:bidi w:val="0"/>
        <w:spacing w:before="120" w:after="283"/>
        <w:jc w:val="left"/>
        <w:rPr>
          <w:rFonts w:ascii="Arial" w:hAnsi="Arial"/>
          <w:color w:val="000000"/>
          <w:sz w:val="20"/>
        </w:rPr>
      </w:pPr>
      <w:r>
        <w:rPr>
          <w:rFonts w:ascii="Arial" w:hAnsi="Arial"/>
          <w:color w:val="000000"/>
          <w:sz w:val="20"/>
        </w:rPr>
        <w:t>Additionally, the need to identify financially and commercially strong partners for commercialization outside the US who will comply with the high manufacturing and legal and regulatory compliance standards we require is a risk to our financial performance. As we operate our business globally, our success will depend, in part, on our ability to anticipate and effectively manage these and other related risks. There can be no assurance that the consequences of these and other factors relating to our international operations will not have an adverse effect on our business, financial condition or results of operations.</w:t>
      </w:r>
    </w:p>
    <w:p>
      <w:pPr>
        <w:pStyle w:val="TextBody"/>
        <w:bidi w:val="0"/>
        <w:spacing w:before="120" w:after="283"/>
        <w:jc w:val="left"/>
        <w:rPr>
          <w:rFonts w:ascii="Arial" w:hAnsi="Arial"/>
          <w:color w:val="000000"/>
          <w:sz w:val="20"/>
        </w:rPr>
      </w:pPr>
      <w:r>
        <w:rPr>
          <w:rFonts w:ascii="Arial" w:hAnsi="Arial"/>
          <w:color w:val="000000"/>
          <w:sz w:val="20"/>
        </w:rPr>
        <w:t xml:space="preserve">In many countries outside the US, particularly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clinical trials that compare the cost-effectiveness of our product candidates to other available therapies. If reimbursement of our products is unavailable or limited in scope or amount, or if pricing is set at unsatisfactory levels, our business could be harmed, possibly materially. </w:t>
      </w:r>
    </w:p>
    <w:p>
      <w:pPr>
        <w:pStyle w:val="TextBody"/>
        <w:bidi w:val="0"/>
        <w:spacing w:before="240" w:after="283"/>
        <w:jc w:val="left"/>
        <w:rPr>
          <w:rFonts w:ascii="Arial" w:hAnsi="Arial"/>
          <w:sz w:val="20"/>
        </w:rPr>
      </w:pPr>
      <w:r>
        <w:rPr>
          <w:rFonts w:ascii="Arial" w:hAnsi="Arial"/>
          <w:b/>
          <w:i/>
          <w:color w:val="000000"/>
          <w:sz w:val="20"/>
        </w:rPr>
        <w:t>Potential product liability lawsuits against us could cause us to incur substantial liabilities and limit commercialization of any products that we may develop.</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Currently, we face an inherent risk of product liability claims as a result of the testing of our product candidates and we will face product liability risks if we, or a collaborator, commercialize any of our product candidates that are approved. Product liability claims might be brought against us by consumers, healthcare providers, pharmaceutical companies or others selling or otherwise coming into contact with our products. On occasion, large judgments have been awarded in class action lawsuits based on products that had unanticipated adverse effects. If we cannot successfully defend against product liability claims, we could incur substantial liability and costs, which may not be covered by insurance. In addition, regardless of merit or eventual outcome, product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injury and impairment of our business reputation and significant negative media attention;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withdrawal of participants from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significant costs to defend the claims and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distraction of management’s attention from our primary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substantial monetary awards to patients or other claimants;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inability to commercialize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exhaustion of any available insurance and our capital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decreased demand for a product candidate, if approved for commercial sale;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loss of revenue. </w:t>
      </w:r>
    </w:p>
    <w:p>
      <w:pPr>
        <w:pStyle w:val="TextBody"/>
        <w:bidi w:val="0"/>
        <w:spacing w:before="120" w:after="283"/>
        <w:jc w:val="left"/>
        <w:rPr>
          <w:rFonts w:ascii="Arial" w:hAnsi="Arial"/>
          <w:color w:val="000000"/>
          <w:sz w:val="20"/>
        </w:rPr>
      </w:pPr>
      <w:r>
        <w:rPr>
          <w:rFonts w:ascii="Arial" w:hAnsi="Arial"/>
          <w:color w:val="000000"/>
          <w:sz w:val="20"/>
        </w:rPr>
        <w:t xml:space="preserve">Failure to obtain or retain sufficient product liability insurance at an acceptable cost to protect against potential product liability claims could prevent or inhibit the commercialization of products we develop, alone or with commercial collaborators. To date, we have not sought and do not yet have any experience securing product liability insurance for a product that is being commercialized. Currently, we have clinical trial insurance to cover the use of our product candidates in the clinical trials we are conducting. However, these insurance policies have </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commercial collaborators entitle us to indemnification against product liability claims and associated losses, such indemnification may not be available or adequate should any claim or loss arise. </w:t>
      </w:r>
    </w:p>
    <w:p>
      <w:pPr>
        <w:pStyle w:val="TextBody"/>
        <w:bidi w:val="0"/>
        <w:spacing w:before="240" w:after="283"/>
        <w:jc w:val="left"/>
        <w:rPr>
          <w:rFonts w:ascii="Arial" w:hAnsi="Arial"/>
          <w:b/>
          <w:color w:val="000000"/>
          <w:sz w:val="20"/>
        </w:rPr>
      </w:pPr>
      <w:r>
        <w:rPr>
          <w:rFonts w:ascii="Arial" w:hAnsi="Arial"/>
          <w:b/>
          <w:color w:val="000000"/>
          <w:sz w:val="20"/>
        </w:rPr>
        <w:t>Risks Related to Manufacturing and our Dependence on Third Parties</w:t>
      </w:r>
    </w:p>
    <w:p>
      <w:pPr>
        <w:pStyle w:val="TextBody"/>
        <w:bidi w:val="0"/>
        <w:spacing w:before="120" w:after="283"/>
        <w:jc w:val="left"/>
        <w:rPr>
          <w:rFonts w:ascii="Arial" w:hAnsi="Arial"/>
          <w:sz w:val="20"/>
        </w:rPr>
      </w:pPr>
      <w:r>
        <w:rPr>
          <w:rFonts w:ascii="Arial" w:hAnsi="Arial"/>
          <w:b/>
          <w:i/>
          <w:color w:val="000000"/>
          <w:sz w:val="20"/>
        </w:rPr>
        <w:t>We rely and expect to continue to rely on third parties for the manufacture of materials for our research programs, preclinical studies and clinical trials and, if approved, commercialization. We do not currently have long-term contracts with any of these parties. This reliance on third parties increases the risk that we will not have sufficient quantities of such materials or any product candidates that we may develop and, if approved, commercialize, or that such supply will not be available to us at an acceptable cost, which could delay, prevent, or impair our development or commercialization efforts.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rely and expect to continue to rely on third parties for the manufacture of materials for our clinical trials, research activities and preclinical development. We expect to rely on third parties for commercial manufacture if any of our product candidates receive marketing approval. We do not currently have long-term agreements with any of the third-party manufacturers we currently use to provide preclinical and clinical trial materials, and we purchase any required materials on a purchase order basis. Certain of these manufacturers are critical to our production and the loss of these manufacturers, or an inability to obtain quantities at an acceptable cost or quality, could delay, prevent or impair our ability to timely conduct preclinical studies or clinical trials, and would materially and adversely affect our development and commercialization efforts.</w:t>
      </w:r>
    </w:p>
    <w:p>
      <w:pPr>
        <w:pStyle w:val="TextBody"/>
        <w:bidi w:val="0"/>
        <w:spacing w:before="120" w:after="283"/>
        <w:jc w:val="left"/>
        <w:rPr>
          <w:rFonts w:ascii="Arial" w:hAnsi="Arial"/>
          <w:color w:val="000000"/>
          <w:sz w:val="20"/>
        </w:rPr>
      </w:pPr>
      <w:r>
        <w:rPr>
          <w:rFonts w:ascii="Arial" w:hAnsi="Arial"/>
          <w:color w:val="000000"/>
          <w:sz w:val="20"/>
        </w:rPr>
        <w:t xml:space="preserve">We may be unable to maintain or establish required agreements with third-party manufacturers or to do so on acceptable terms. Even if we are able to establish agreements with third-party manufacturers, reliance on third-party manufacturers entails additional risks,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failure of the third-party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 as a result of accidents, fire, loss of personnel, business decisions at or by the third-party manufacturer or otherwise;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reduction or termination of production or deliveries by suppliers, or the raising of prices or renegotiation of terms;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termination or nonrenewal of arrangements or agreements by our third-party contractors at a time that is costly or inconvenient for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breach by the third-party contractors of our agreements with them;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failure of third-party contractors to comply with applicable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failure of the third-party to manufacture our product candidates according to our specifications;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mislabeling of clinical supplies, potentially resulting in the wrong dose amounts being supplied or active drug or placebo not being properly identified;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improper handling of clinical supplies, whether during transit or otherwise, impacting the quality of such clinical supplies leading to loss of GMP status and the resulting inability to use such clinical supplies in clinical trials which may result in clinical interruptions and delays in the commencement of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clinical supplies not being delivered to clinical sites on time, leading to delays in the commencement of planned clinical trials or interruptions in ongoing clinical trials, or of drug supplies not being distributed to commercial vendors in a timely manner, resulting in lost sales;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misappropriation or unauthorized disclosure of our intellectual property or other proprietary information, including our trade secrets and know-how. </w:t>
      </w:r>
    </w:p>
    <w:p>
      <w:pPr>
        <w:pStyle w:val="TextBody"/>
        <w:bidi w:val="0"/>
        <w:spacing w:before="120" w:after="283"/>
        <w:jc w:val="left"/>
        <w:rPr>
          <w:rFonts w:ascii="Arial" w:hAnsi="Arial"/>
          <w:color w:val="000000"/>
          <w:sz w:val="20"/>
        </w:rPr>
      </w:pPr>
      <w:r>
        <w:rPr>
          <w:rFonts w:ascii="Arial" w:hAnsi="Arial"/>
          <w:color w:val="000000"/>
          <w:sz w:val="20"/>
        </w:rPr>
        <w:t xml:space="preserve">Any new export or import restrictions, new legislation or shifting approaches in the enforcement or scope of existing regulations, or changes in global, political, regulatory and economic conditions affecting US trade, manufacturing, development or investment, could result in additional restrictions on our ability to manufacture </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materials for our research programs, preclinical studies, clinical trials and our manufacture of product for commercialization, if approved, or significantly increase our costs. In recent years, the US has instituted or proposed changes in trade policies that include the negotiation or termination of trade agreements, the imposition of higher tariffs on imports into the US, economic sanctions on individuals, corporations or countries, and other government regulations affecting trade between the US and other countries, in particular China, Mexico, Canada and the EU. A number of other nations have proposed or instituted similar measures directed at trade with the US in response. As a result of these developments, there may be greater restrictions and economic disincentives on international trade that could adversely affect our business. Various tariffs enacted by the US federal government in 2025 have been subject to successful legal challenge leading to some tariffs being refunded, but the extent to which the US federal government may attempt to impose new or similar tariffs under alternative statutory mechanisms remains unclear. For example, recently the administration imposed new tariffs under Section 301 of the Trade Act of 1974. As additional trade-related policies are instituted, we may need to modify our business operations to comply and adapt to such developments, which may be time-consuming and expensive.</w:t>
      </w:r>
    </w:p>
    <w:p>
      <w:pPr>
        <w:pStyle w:val="TextBody"/>
        <w:bidi w:val="0"/>
        <w:spacing w:before="120" w:after="283"/>
        <w:jc w:val="left"/>
        <w:rPr>
          <w:rFonts w:ascii="Arial" w:hAnsi="Arial"/>
          <w:color w:val="000000"/>
          <w:sz w:val="20"/>
        </w:rPr>
      </w:pPr>
      <w:r>
        <w:rPr>
          <w:rFonts w:ascii="Arial" w:hAnsi="Arial"/>
          <w:color w:val="000000"/>
          <w:sz w:val="20"/>
        </w:rPr>
        <w:t>For ruzasvir, we have a sole supplier located in China for our active pharmaceutical ingredient, and for both ruzasvir and bemnifosbuvir, all suppliers of the regulatory starting materials for the respective manufacturing processes are located in China. We expect to continue to use such third-party manufacturers including for the manufacture of commercial supply, if approved. Any disruption in production or inability of our manufacturers in China to produce adequate quantities to meet our needs, including as a result of a natural disaster, public health crises, trade disruptions, or changes in the US trade policies, could impair our ability to operate our business on a day-to-day basis and adversely impact our ability to continue the research and development of our product candidates and, if approved, to commercialize our products. Tariffs on certain Chinese origin goods may impact the cost of manufactured materials we import from China for our research programs, preclinical studies and clinical trials and for commercialization of products, if any, that may be approved. Additionally, the indirect impact of inflationary pressure on costs throughout the supply chain may result in higher input costs, which could have a material adverse effect on our business, prospects, results of operations and cash flows.</w:t>
      </w:r>
    </w:p>
    <w:p>
      <w:pPr>
        <w:pStyle w:val="TextBody"/>
        <w:bidi w:val="0"/>
        <w:spacing w:before="120" w:after="283"/>
        <w:jc w:val="left"/>
        <w:rPr>
          <w:rFonts w:ascii="Arial" w:hAnsi="Arial"/>
          <w:color w:val="000000"/>
          <w:sz w:val="20"/>
        </w:rPr>
      </w:pPr>
      <w:r>
        <w:rPr>
          <w:rFonts w:ascii="Arial" w:hAnsi="Arial"/>
          <w:color w:val="000000"/>
          <w:sz w:val="20"/>
        </w:rPr>
        <w:t xml:space="preserve">We do not have complete control over all aspects of the manufacturing process of, and are dependent on, our contract manufacturing partners for compliance with cGMP regulations and similar regulatory requirements for manufacturing both active drug substances and finished drug products. Third-party manufacturers may not be able to comply with cGMP regulations or similar regulatory requirements outside of the US. If our contract manufacturers cannot successfully manufacture material that conforms to our specifications and the strict regulatory requirements of the FDA and other applicable regulatory authorities, they will not be able to secure and/or maintain authorization for their manufacturing facilities. In addition, we do not have control over the ability of our contract manufacturers to maintain adequate quality control, quality assurance and qualified personnel. If the FDA or a comparable foreign regulatory authority does not authorize these facilities for the manufacture of our product candidates or if it withdraws any such authorization in the future, we may need to find alternative manufacturing facilities, which would significantly impact our ability to develop, obtain marketing approval for or, if approved, market our products.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w:t>
      </w:r>
    </w:p>
    <w:p>
      <w:pPr>
        <w:pStyle w:val="TextBody"/>
        <w:bidi w:val="0"/>
        <w:spacing w:before="240" w:after="283"/>
        <w:jc w:val="left"/>
        <w:rPr>
          <w:rFonts w:ascii="Arial" w:hAnsi="Arial"/>
          <w:sz w:val="20"/>
        </w:rPr>
      </w:pPr>
      <w:r>
        <w:rPr>
          <w:rFonts w:ascii="Arial" w:hAnsi="Arial"/>
          <w:b/>
          <w:i/>
          <w:color w:val="000000"/>
          <w:sz w:val="20"/>
        </w:rPr>
        <w:t>Our third-party manufacturers may be unable to successfully scale up manufacturing of our product candidates in sufficient quality and quantity in a timely manner, if at all, which may impair the clinical advancement and commercialization of our product candidates.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In order to conduct clinical trials of our product candidates and commercialize any approved product, our manufacturers need to manufacture them in large quantities. However, they may be unable to successfully increase the manufacturing capacity for any of our product candidates or products in a timely or cost-effective manner, or at all. In addition, quality issues may arise during scale-up activities. If we, or any manufacturers are unable to successfully scale up the manufacture of our product candidates in sufficient quality and quantity in a timely manner, the development, testing and clinical trials of these product candidates may be delayed or infeasible, and regulatory approval or commercial launch and sustained commercialization of any resulting products may be delayed or not obtained, which could significantly harm our business. Supply sources could be interrupted from time to time and, if interrupted, would disrupt our manufacturers’ ability to manufacture our product candidates at the scale required. If we are unable to meet the clinical or commercial supply need for our product candidates, or to do so on commercially reasonable terms, we may not be able to develop our product candidates and commercialize our products successfully. </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0"/>
        </w:rPr>
      </w:pPr>
      <w:r>
        <w:rPr>
          <w:rFonts w:ascii="Arial" w:hAnsi="Arial"/>
          <w:b/>
          <w:i/>
          <w:color w:val="000000"/>
          <w:sz w:val="20"/>
        </w:rPr>
        <w:t>We do not have multiple sources of supply for all of the components used in our product candidates, nor long-term supply contracts, and certain of our suppliers are critical to our production. If we were to lose a critical supplier, it could have a material adverse effect on our ability to complete the development of our product candidates and our efforts to manufacture products for commercialization, if approved. If we obtain regulatory approval and seek to commercialize any approved product we will need to expand the number of manufacturers supplying components of such approved product.</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do not have multiple sources of supply for all of the components used in the manufacture of bemnifosbuvir or ruzasvir. For ruzasvir, we have a sole supplier located in China for our active pharmaceutical ingredient, and for both ruzasvir and bemnifosbuvir, all suppliers of the regulatory starting materials for the respective manufacturing processes are located in China. We do not have long-term supply agreements with any of our component suppliers. We may not be able to establish additional sources of supply for our product candidates, or may be unable to do so in a timely manner or on acceptable terms. Manufacturing suppliers are subject to cGMP and comparable foreign quality standards and requirements covering manufacturing, testing, quality control and record keeping relating to our product candidates and subject to ongoing inspections by applicable regulatory authorities. Manufacturing suppliers are also subject to local, state and federal regulations and licensing requirements. Failure by any of our suppliers to comply with all applicable regulations and requirements may result in long delays and interruptions in supply. </w:t>
      </w:r>
    </w:p>
    <w:p>
      <w:pPr>
        <w:pStyle w:val="TextBody"/>
        <w:bidi w:val="0"/>
        <w:spacing w:before="120" w:after="283"/>
        <w:jc w:val="left"/>
        <w:rPr>
          <w:rFonts w:ascii="Arial" w:hAnsi="Arial"/>
          <w:color w:val="000000"/>
          <w:sz w:val="20"/>
        </w:rPr>
      </w:pPr>
      <w:r>
        <w:rPr>
          <w:rFonts w:ascii="Arial" w:hAnsi="Arial"/>
          <w:color w:val="000000"/>
          <w:sz w:val="20"/>
        </w:rPr>
        <w:t xml:space="preserve">The number of suppliers of the components of our product candidates is limited. In the event it is necessary or desirable to acquire supplies from alternative suppliers, we might not be able to obtain them in a timely manner or on commercially reasonable terms, if at all. It could also require significant time and expense to redesign our manufacturing processes to work with another manufacturer and redesign of processes can trigger the need for conducting additional clinical studies such as comparability or bridging studies. Additionally, certain of our suppliers are critical to our production, and the loss of these suppliers to one of our competitors or otherwise would materially and adversely affect our development and commercialization efforts. </w:t>
      </w:r>
    </w:p>
    <w:p>
      <w:pPr>
        <w:pStyle w:val="TextBody"/>
        <w:bidi w:val="0"/>
        <w:spacing w:before="120" w:after="283"/>
        <w:jc w:val="left"/>
        <w:rPr>
          <w:rFonts w:ascii="Arial" w:hAnsi="Arial"/>
          <w:color w:val="000000"/>
          <w:sz w:val="20"/>
        </w:rPr>
      </w:pPr>
      <w:r>
        <w:rPr>
          <w:rFonts w:ascii="Arial" w:hAnsi="Arial"/>
          <w:color w:val="000000"/>
          <w:sz w:val="20"/>
        </w:rPr>
        <w:t>As part of any application for marketing approval, regulatory authorities generally conduct inspections that must be satisfactory prior to the approval of the product. Failure of manufacturing suppliers to successfully complete these regulatory inspections could result in delays or prevent the approval of our product candidates. In addition, if supply from the supplier of an approved product is interrupted, there could be a significant disruption in commercial supply. An alternative vendor would need to be qualified through an NDA amendment or supplement, which could result in further delay. The FDA or other regulatory authorities outside of the US may also require additional studies if a new supplier is relied upon for commercial production. Switching vendors may involve substantial costs and is likely to result in a delay in our desired clinical and commercial timelines.</w:t>
      </w:r>
    </w:p>
    <w:p>
      <w:pPr>
        <w:pStyle w:val="TextBody"/>
        <w:bidi w:val="0"/>
        <w:spacing w:before="120" w:after="283"/>
        <w:jc w:val="left"/>
        <w:rPr>
          <w:rFonts w:ascii="Arial" w:hAnsi="Arial"/>
          <w:color w:val="000000"/>
          <w:sz w:val="20"/>
        </w:rPr>
      </w:pPr>
      <w:r>
        <w:rPr>
          <w:rFonts w:ascii="Arial" w:hAnsi="Arial"/>
          <w:color w:val="000000"/>
          <w:sz w:val="20"/>
        </w:rPr>
        <w:t xml:space="preserve">If we are unable to obtain the supplies we need at a reasonable price or on a timely basis, it could have a material adverse effect on our ability to complete the development of our product candidates or, if we obtain regulatory approval for our product candidates, to commercialize them. </w:t>
      </w:r>
    </w:p>
    <w:p>
      <w:pPr>
        <w:pStyle w:val="TextBody"/>
        <w:bidi w:val="0"/>
        <w:spacing w:before="240" w:after="283"/>
        <w:jc w:val="left"/>
        <w:rPr>
          <w:rFonts w:ascii="Arial" w:hAnsi="Arial"/>
          <w:sz w:val="20"/>
        </w:rPr>
      </w:pPr>
      <w:r>
        <w:rPr>
          <w:rFonts w:ascii="Arial" w:hAnsi="Arial"/>
          <w:b/>
          <w:i/>
          <w:color w:val="000000"/>
          <w:sz w:val="20"/>
        </w:rPr>
        <w:t>We rely on third parties to conduct our preclinical studies and clinical trials. Any failure by a third-party to conduct the clinical trials according to GCPs and in a timely manner may delay or prevent our ability to seek or obtain regulatory approval for or commercialize our product candidates.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are dependent on third parties to conduct critical aspects of the Phase 3 and other clinical development activities for our HCV product candidate, the regimen of bemnifosbuvir and ruzasvir. We are also dependent on third parties to conduct preclinical studies for AT-587 and we expect to rely on third parties for the clinical development of AT-587. Specifically, we have used and relied on, and intend to continue to use and rely on, medical institutions, clinical investigators, CROs and consultants to conduct our clinical trials in accordance with our clinical protocols and regulatory requirements. These CROs, investigators and other third parties play a significant role in the conduct and timing of these trials and subsequent collection and analysis of data. While we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and comparable foreign regulatory authorities for all of our product candidates in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by a given regulatory authority, such regulatory authority will determine that any of our clinical trials or research activities complies with GCP regulations. In addition, our clinical trials must be conducted with product produced under cGMP or similar regulations outside the US. Our failure to comply with these regulations may require us to repeat clinical trials, which would delay the regulatory review process. </w:t>
      </w:r>
    </w:p>
    <w:p>
      <w:pPr>
        <w:pStyle w:val="TextBody"/>
        <w:bidi w:val="0"/>
        <w:spacing w:before="120" w:after="283"/>
        <w:jc w:val="left"/>
        <w:rPr>
          <w:rFonts w:ascii="Arial" w:hAnsi="Arial"/>
          <w:color w:val="000000"/>
          <w:sz w:val="20"/>
        </w:rPr>
      </w:pPr>
      <w:r>
        <w:rPr>
          <w:rFonts w:ascii="Arial" w:hAnsi="Arial"/>
          <w:color w:val="000000"/>
          <w:sz w:val="20"/>
        </w:rPr>
        <w:t xml:space="preserve">Any third parties conducting our clinical trials or preclinical studies are not and will not be our employees and, except for remedies available to us under our agreements with such third parties, we cannot guarantee that any such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drug development activities that could harm our competitive position. </w:t>
      </w:r>
    </w:p>
    <w:p>
      <w:pPr>
        <w:pStyle w:val="TextBody"/>
        <w:bidi w:val="0"/>
        <w:spacing w:before="120" w:after="283"/>
        <w:jc w:val="left"/>
        <w:rPr>
          <w:rFonts w:ascii="Arial" w:hAnsi="Arial"/>
          <w:color w:val="000000"/>
          <w:sz w:val="20"/>
        </w:rPr>
      </w:pPr>
      <w:r>
        <w:rPr>
          <w:rFonts w:ascii="Arial" w:hAnsi="Arial"/>
          <w:color w:val="000000"/>
          <w:sz w:val="20"/>
        </w:rPr>
        <w:t>In addition, principal investigators for our clinical trials may serve as scientific advisors or consultants to us from time to time and may receive monetary or equity compensation in connection with such services. If these relationships and any related compensation result in perceived or actual conflicts of interest, or the FDA or foreign regulatory authorities conclude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any NDA or similar applications we submit to the FDA or foreign regulatory authorities. Any such delay or rejection could prevent us from commercializing our product candidates.</w:t>
      </w:r>
    </w:p>
    <w:p>
      <w:pPr>
        <w:pStyle w:val="TextBody"/>
        <w:bidi w:val="0"/>
        <w:spacing w:before="120" w:after="283"/>
        <w:jc w:val="left"/>
        <w:rPr>
          <w:rFonts w:ascii="Arial" w:hAnsi="Arial"/>
          <w:color w:val="000000"/>
          <w:sz w:val="20"/>
        </w:rPr>
      </w:pPr>
      <w:r>
        <w:rPr>
          <w:rFonts w:ascii="Arial" w:hAnsi="Arial"/>
          <w:color w:val="000000"/>
          <w:sz w:val="20"/>
        </w:rPr>
        <w:t xml:space="preserve">Our CROs have the right to terminate their agreements with us in the event of an uncured material breach. In addition, some of our CROs and substantially all our clinical trial sites have an ability to terminate their respective agreements with us if it can be reasonably demonstrated that the safety of the subjects participating in our clinical trials warrants such termination. </w:t>
      </w:r>
    </w:p>
    <w:p>
      <w:pPr>
        <w:pStyle w:val="TextBody"/>
        <w:bidi w:val="0"/>
        <w:spacing w:before="120" w:after="283"/>
        <w:jc w:val="left"/>
        <w:rPr>
          <w:rFonts w:ascii="Arial" w:hAnsi="Arial"/>
          <w:color w:val="000000"/>
          <w:sz w:val="20"/>
        </w:rPr>
      </w:pPr>
      <w:r>
        <w:rPr>
          <w:rFonts w:ascii="Arial" w:hAnsi="Arial"/>
          <w:color w:val="000000"/>
          <w:sz w:val="20"/>
        </w:rPr>
        <w:t xml:space="preserve">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occur, which could materially impact our ability to meet our desired clinical development and regulatory submission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 </w:t>
      </w:r>
    </w:p>
    <w:p>
      <w:pPr>
        <w:pStyle w:val="TextBody"/>
        <w:bidi w:val="0"/>
        <w:spacing w:before="240" w:after="283"/>
        <w:jc w:val="left"/>
        <w:rPr>
          <w:rFonts w:ascii="Arial" w:hAnsi="Arial"/>
          <w:sz w:val="20"/>
        </w:rPr>
      </w:pPr>
      <w:r>
        <w:rPr>
          <w:rFonts w:ascii="Arial" w:hAnsi="Arial"/>
          <w:b/>
          <w:i/>
          <w:color w:val="000000"/>
          <w:sz w:val="20"/>
        </w:rPr>
        <w:t>We currently expect that we may collaborate with third parties in connection with the commercialization of our product candidates, if approved. We may not succeed in establishing and maintaining collaborative relationships, which may significantly limit our ability to develop and commercialize our product candidates successfully, if at all.</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For commercialization of any of our product candidates that may be approved, our current strategy includes the potential establishment of collaborative relationships with third parties. As a result of entering into collaborative arrangements with third parties, we would become dependent on the amount and timing of resources that our collaborators dedicate to the development or potential commercialization of any product candidates we may seek to develop or commercialize with them. Our ability to generate product revenue from any collaborations will depend on our collaborators’ abilities to successfully perform the functions assigned to them. We cannot predict the success of any collaboration that we enter into. </w:t>
      </w:r>
    </w:p>
    <w:p>
      <w:pPr>
        <w:pStyle w:val="TextBody"/>
        <w:bidi w:val="0"/>
        <w:spacing w:before="120" w:after="283"/>
        <w:jc w:val="left"/>
        <w:rPr>
          <w:rFonts w:ascii="Arial" w:hAnsi="Arial"/>
          <w:color w:val="000000"/>
          <w:sz w:val="20"/>
        </w:rPr>
      </w:pPr>
      <w:r>
        <w:rPr>
          <w:rFonts w:ascii="Arial" w:hAnsi="Arial"/>
          <w:color w:val="000000"/>
          <w:sz w:val="20"/>
        </w:rPr>
        <w:t xml:space="preserve">Collaborations involving our product candidates involve many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generally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not properly obtain, maintain, enforce or defend intellectual property or proprietary rights relating to our product candidates or may use our proprietary information inappropriately or in such a way as to expose us to potential litigation or other intellectual property-related proceedings, including proceedings challenging the scope, ownership, validity and enforceability of our intellectual property; </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own or co-own intellectual property rights covering our product candidates that result from our collaboration with them, and in such cases, we may not have the exclusive right to commercialize such intellectual property 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disputes may arise with respect to the ownership of intellectual property developed pursuant to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need the cooperation of our collaborators to enforce or defend any intellectual property we contribute to or that arises out of our collaborations, which may not be provided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infringe, misappropriate or otherwise violate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collaborators may terminate the collaboration, and, as a result, we may not be able to develop a product candidate or we will have to use our own clinical resources and capital to continue development of the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delay clinical trials, provide insufficient funding for a clinical trial,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with marketing and distribution rights to one or more product candidates may not commit sufficient resources to the marketing and distribution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lose certain valuable rights under circumstances identified in our collaborations, including if we undergo a change of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undergo a change of control and the new owners may decide to take the collaboration in a direction that is not in our best interest;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become party to a business combination transaction and the continued pursuit and emphasis on our development or commercialization program by the resulting entity under our existing collaboration could be delayed, diminished or terminated;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become bankrupt, which may significantly delay our research or development programs, or may cause us to lose access to valuable technology, devices, materials, know-how or intellectual property of the collaborator relating to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key personnel at our collaborators may leave, which could negatively impact our ability to productively work with our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collaborations may require us to incur short- and long-term expenditures, issue securities that dilute our stockholders, or disrupt our management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collaborations may be terminated which may result in a need for additional capital to pursue further development or commercialization or result in delays in development or commercialization of the applicable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collaboration agreements may not lead to development or commercialization of product candidates in the most efficient manner or at all. </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We may face significant competition in seeking appropriate collaborations. Business combinations among biopharmaceutical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marketing or distribution activities, or increase our expenditures and undertake development, manufacture or commercialization activities at our own expense. If we elect to increase our expenditures to fund development, manufacture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pStyle w:val="TextBody"/>
        <w:bidi w:val="0"/>
        <w:spacing w:before="120" w:after="283"/>
        <w:jc w:val="left"/>
        <w:rPr>
          <w:rFonts w:ascii="Arial" w:hAnsi="Arial"/>
          <w:color w:val="000000"/>
          <w:sz w:val="20"/>
        </w:rPr>
      </w:pPr>
      <w:r>
        <w:rPr>
          <w:rFonts w:ascii="Arial" w:hAnsi="Arial"/>
          <w:color w:val="000000"/>
          <w:sz w:val="20"/>
        </w:rPr>
        <w:t xml:space="preserve">If we enter into collaborations to develop, manufacture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For example, if the license agreement with Merck was terminated, we would be required to discontinue the development, manufacture and commercialization of our lead product candidate, which is the fixed dose combination of ruzasvir and bemnifosbuvir, unless we could enter into another agreement with Merck potentially on terms less favorable to us.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 </w:t>
      </w:r>
    </w:p>
    <w:p>
      <w:pPr>
        <w:pStyle w:val="TextBody"/>
        <w:bidi w:val="0"/>
        <w:spacing w:before="240" w:after="283"/>
        <w:jc w:val="left"/>
        <w:rPr>
          <w:rFonts w:ascii="Arial" w:hAnsi="Arial"/>
          <w:sz w:val="20"/>
        </w:rPr>
      </w:pPr>
      <w:r>
        <w:rPr>
          <w:rFonts w:ascii="Arial" w:hAnsi="Arial"/>
          <w:b/>
          <w:i/>
          <w:color w:val="000000"/>
          <w:sz w:val="20"/>
        </w:rPr>
        <w:t>Data provided by collaborators and others upon which we rely that have not been independently verified could turn out to be false, misleading or incomplete.</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rely on third-party vendors, such as CROs, CMOs, investigators, scientists and other service providers to provide us with significant data and other information related to our programs, preclinical studies or clinical trials and our business. If such third parties provide inaccurate, misleading or incomplete data, our business, prospects and results of operations could be materially adversely affected. </w:t>
      </w:r>
    </w:p>
    <w:p>
      <w:pPr>
        <w:pStyle w:val="TextBody"/>
        <w:bidi w:val="0"/>
        <w:spacing w:before="240" w:after="283"/>
        <w:jc w:val="left"/>
        <w:rPr>
          <w:rFonts w:ascii="Arial" w:hAnsi="Arial"/>
          <w:sz w:val="20"/>
        </w:rPr>
      </w:pPr>
      <w:r>
        <w:rPr>
          <w:rFonts w:ascii="Arial" w:hAnsi="Arial"/>
          <w:b/>
          <w:i/>
          <w:color w:val="000000"/>
          <w:sz w:val="20"/>
        </w:rPr>
        <w:t>Our employees and independent contractors, including principal investigators, CROs, consultants, vendors and any third parties we may engage in connection with research, development, regulatory, manufacturing, quality assurance and other pharmaceutical functions and commercialization may engage in misconduct or other improper activities, including noncompliance with regulatory standards and requirements, which could have a material adverse effect on our business.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Misconduct by our employees and independent contractors, including principal investigators, CROs, consultants, vendors and any third parties we may engage in connection with research, development, regulatory, manufacturing, quality assurance and other pharmaceutical functions and commercialization, could include intentional, reckless or negligent conduct or unauthorized activities that violate: (i) the laws and regulations of the FDA, and other similar regulatory authorities, including those laws that require the reporting of true, complete and accurate information to such authorities; (ii) manufacturing standards; (iii) data privacy, security, anti-corruption,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preclinical studies or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 </w:t>
      </w:r>
    </w:p>
    <w:p>
      <w:pPr>
        <w:pStyle w:val="TextBody"/>
        <w:bidi w:val="0"/>
        <w:spacing w:before="240" w:after="283"/>
        <w:jc w:val="left"/>
        <w:rPr>
          <w:rFonts w:ascii="Arial" w:hAnsi="Arial"/>
          <w:sz w:val="20"/>
        </w:rPr>
      </w:pPr>
      <w:r>
        <w:rPr>
          <w:rFonts w:ascii="Arial" w:hAnsi="Arial"/>
          <w:b/>
          <w:i/>
          <w:color w:val="000000"/>
          <w:sz w:val="20"/>
        </w:rPr>
        <w:t>If our CMOs and CROs use hazardous materials in a manner that causes injury or violates applicable law, we may be liable for damages.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Our research and development activities involve the controlled use of potentially hazardous substances, including chemical materials by our CMOs and medical and biological materials by our CROs. Our CMOs and CROs are subject to federal, state and local laws and regulations in the US and in the countries in which they operate governing the use, manufacture, storage, handling and disposal of hazardous materials. Although we believe that our CMOs’ and CROs’ procedures for using, handling, storing and disposing of these materials comply with legally prescribed standards, we cannot completely eliminate the risk of contamination or injury resulting from chemical, medical, biological or other potentially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Generally, we do not have any insurance for liabilities arising from the improper handling of chemical, medical, biological or other potentially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240" w:after="283"/>
        <w:jc w:val="left"/>
        <w:rPr>
          <w:rFonts w:ascii="Arial" w:hAnsi="Arial"/>
          <w:sz w:val="20"/>
        </w:rPr>
      </w:pPr>
      <w:r>
        <w:rPr>
          <w:rFonts w:ascii="Arial" w:hAnsi="Arial"/>
          <w:b/>
          <w:color w:val="000000"/>
          <w:sz w:val="20"/>
        </w:rPr>
        <w:t>Risks Related to Intellectual Property</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b/>
          <w:i/>
          <w:color w:val="000000"/>
          <w:sz w:val="20"/>
        </w:rPr>
        <w:t>If we are unable to obtain, maintain, enforce and adequately protect our intellectual property rights with respect to our technology and product candidates, or if the scope of the patent or other intellectual property protection obtained is not sufficiently broad, our competitors could develop and commercialize technology and products similar or identical to ours, and our ability to successfully develop and commercialize our technology and product candidates may be adversely affected.</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rely upon a combination of patents, trade secret protection and confidentiality agreements to protect our intellectual property and prevent others from duplicating AT-511 (the free base of bemnifosbuvir), bemnifosbuvir and our in-licensed compound ruzasvir and their use or manufacture, or any of our other pipeline product candidates and any future product candidates. Our success depends in large part on our ability to obtain and maintain patent protection in the US and other countries with respect to such product candidates. </w:t>
      </w:r>
    </w:p>
    <w:p>
      <w:pPr>
        <w:pStyle w:val="TextBody"/>
        <w:bidi w:val="0"/>
        <w:spacing w:before="120" w:after="283"/>
        <w:jc w:val="left"/>
        <w:rPr>
          <w:rFonts w:ascii="Arial" w:hAnsi="Arial"/>
          <w:color w:val="000000"/>
          <w:sz w:val="20"/>
        </w:rPr>
      </w:pPr>
      <w:r>
        <w:rPr>
          <w:rFonts w:ascii="Arial" w:hAnsi="Arial"/>
          <w:color w:val="000000"/>
          <w:sz w:val="20"/>
        </w:rPr>
        <w:t xml:space="preserve">The patent prosecution process is expensive, time-consuming, and complex, and we may not be able to file, prosecute, maintain, enforce, or license all necessary or desirable patents or patent applications at a reasonable cost or in a timely manner. Although we enter into confidentiality agreements with parties who have access to confidential or patentable aspects of our research and development output, such as our employees, CROs, consultants, scientific advisors and other contractors,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and some remain so until issued. Therefore, we cannot be certain that we were the first to make the inventions claimed in our patents or pending patent applications, or that we were the first to file any patent application related to an invention or product candidate. Further, if we encounter delays in regulatory approvals, the period of time during which we could market a product candidate under patent protection could be reduced. </w:t>
      </w:r>
    </w:p>
    <w:p>
      <w:pPr>
        <w:pStyle w:val="TextBody"/>
        <w:bidi w:val="0"/>
        <w:spacing w:before="120" w:after="283"/>
        <w:jc w:val="left"/>
        <w:rPr>
          <w:rFonts w:ascii="Arial" w:hAnsi="Arial"/>
          <w:color w:val="000000"/>
          <w:sz w:val="20"/>
        </w:rPr>
      </w:pPr>
      <w:r>
        <w:rPr>
          <w:rFonts w:ascii="Arial" w:hAnsi="Arial"/>
          <w:color w:val="000000"/>
          <w:sz w:val="20"/>
        </w:rPr>
        <w:t xml:space="preserve">The strength of patents in the pharmaceutical field involves complex legal, factual and scientific questions and can be uncertain. It is possible that we will fail to identify patentable aspects of our research and development output before it is too late to obtain patent protection. The patent applications that we own may fail to result in issued patents with claims that cover our product candidates in the US or in other foreign countries. There is no assurance that all of the potentially relevant prior art relating to our patents and patent applications has been found, which can invalidate a patent or prevent a patent from issuing from a pending patent application. Even if </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patents do successfully issue and even if such patents cover our product candidates, third parties may challenge the inventorship, ownership, validity, enforceability or scope of such patents, which may result in such patents being narrowed or invalidated, or being held unenforceable. Our pending and future patent applications may not result in patents being issued which protect our technology or product candidates or which effectively prevent others from commercializing competitive technologies and product candidates. Additionally, any US provisional patent application that we file is not eligible to become an issued patent until, among other things, we file a non-provisional patent application within 12 months of filing the related provisional patent application. If we do not timely file any non-provisional patent application, we may lose our priority date with respect to the provisional patent application and any patent protection on the inventions disclosed in the provisional patent application. </w:t>
      </w:r>
    </w:p>
    <w:p>
      <w:pPr>
        <w:pStyle w:val="TextBody"/>
        <w:bidi w:val="0"/>
        <w:spacing w:before="120" w:after="283"/>
        <w:jc w:val="left"/>
        <w:rPr>
          <w:rFonts w:ascii="Arial" w:hAnsi="Arial"/>
          <w:color w:val="000000"/>
          <w:sz w:val="20"/>
        </w:rPr>
      </w:pPr>
      <w:r>
        <w:rPr>
          <w:rFonts w:ascii="Arial" w:hAnsi="Arial"/>
          <w:color w:val="000000"/>
          <w:sz w:val="20"/>
        </w:rPr>
        <w:t xml:space="preserve">Furthermore, even if they are unchallenged, our patents and patent applications may not adequately protect our intellectual property, provide exclusivity for our product candidates or prevent others from designing around our claims. In addition, no assurances can be given that third parties will not create similar or alternative products or methods that achieve similar results without infringing upon our patents. Any of these outcomes could impair our ability to prevent competition from third parties, which may have an adverse impact on our business. </w:t>
      </w:r>
    </w:p>
    <w:p>
      <w:pPr>
        <w:pStyle w:val="TextBody"/>
        <w:bidi w:val="0"/>
        <w:spacing w:before="120" w:after="283"/>
        <w:jc w:val="left"/>
        <w:rPr>
          <w:rFonts w:ascii="Arial" w:hAnsi="Arial"/>
          <w:color w:val="000000"/>
          <w:sz w:val="20"/>
        </w:rPr>
      </w:pPr>
      <w:r>
        <w:rPr>
          <w:rFonts w:ascii="Arial" w:hAnsi="Arial"/>
          <w:color w:val="000000"/>
          <w:sz w:val="20"/>
        </w:rPr>
        <w:t xml:space="preserve">If the patent applications we hold with respect to our programs or product candidates fail to issue, if the breadth or strength of protection of our current or future issued patents is threatened, or if they fail to provide meaningful exclusivity for our product candidates, it could dissuade companies from collaborating with us to develop product candidates, or threaten our ability to commercialize our current or future product candidates. Several patent applications covering our HCV product candidate have been filed recently by us. We cannot offer any assurances about which, if any, will result in issued patents, the breadth of any such patents or whether any issued patents will be found invalid or unenforceable or will be threatened by third parties. Any successful opposition to these patents or any other patents owned by us could deprive us of rights necessary for the successful commercialization of any product candidates that we may develop. </w:t>
      </w:r>
    </w:p>
    <w:p>
      <w:pPr>
        <w:pStyle w:val="TextBody"/>
        <w:bidi w:val="0"/>
        <w:spacing w:before="120" w:after="283"/>
        <w:jc w:val="left"/>
        <w:rPr>
          <w:rFonts w:ascii="Arial" w:hAnsi="Arial"/>
          <w:color w:val="000000"/>
          <w:sz w:val="20"/>
        </w:rPr>
      </w:pPr>
      <w:r>
        <w:rPr>
          <w:rFonts w:ascii="Arial" w:hAnsi="Arial"/>
          <w:color w:val="000000"/>
          <w:sz w:val="20"/>
        </w:rPr>
        <w:t xml:space="preserve">The issuance of a patent is not conclusive as to its inventorship, ownership, scope, validity or enforceability, and our patents may be challenged in courts or patent offices in the US and abroad. In addition, the issuance of a patent does not give us the right to practice the patented invention, as third parties may have blocking patents that could prevent us from marketing our product candidate, if approved, or practicing our own patented technology. </w:t>
      </w:r>
    </w:p>
    <w:p>
      <w:pPr>
        <w:pStyle w:val="TextBody"/>
        <w:bidi w:val="0"/>
        <w:spacing w:before="120" w:after="283"/>
        <w:jc w:val="left"/>
        <w:rPr>
          <w:rFonts w:ascii="Arial" w:hAnsi="Arial"/>
          <w:color w:val="000000"/>
          <w:sz w:val="20"/>
        </w:rPr>
      </w:pPr>
      <w:r>
        <w:rPr>
          <w:rFonts w:ascii="Arial" w:hAnsi="Arial"/>
          <w:color w:val="000000"/>
          <w:sz w:val="20"/>
        </w:rPr>
        <w:t xml:space="preserve">Wide-ranging patent reform legislation in the US, including the Leahy-Smith America Invents Act of 2011 (“Leahy-Smith Act”), may increase the uncertainty of the strength or enforceability of our intellectual property and the cost to defend it. The Leahy-Smith Act reforms included a number of significant changes to US patent law, including provisions that affect the way patent applications are prosecuted and also affect patent litigation. Under the Leahy-Smith Act, the US transitioned from a “first-to-invent” to a “first-to-file” system for deciding which party should be granted a patent when two or more patent applications are filed by different parties claiming the same invention. This will require us to be prompt going forward during the time from invention to filing of a patent application and to be diligent in filing patent applications, but circumstances could prevent us from promptly filing or prosecuting patent applications on our inventions. The Leahy-Smith Act also enlarged the scope of disclosures that qualify as prior art. Furthermore, if a third-party filed a patent application before effectiveness of applicable provisions of the Leahy-Smith Act, on March 16, 2013, an interference proceeding in the US can be initiated by a third-party to determine if it was the first to invent any of the subject matter covered by the claims of our patent applications. We may also be subject to a third-party preissuance submission of prior art to the US Patent and Trademark Office (“USPTO”). </w:t>
      </w:r>
    </w:p>
    <w:p>
      <w:pPr>
        <w:pStyle w:val="TextBody"/>
        <w:bidi w:val="0"/>
        <w:spacing w:before="120" w:after="283"/>
        <w:jc w:val="left"/>
        <w:rPr>
          <w:rFonts w:ascii="Arial" w:hAnsi="Arial"/>
          <w:color w:val="000000"/>
          <w:sz w:val="20"/>
        </w:rPr>
      </w:pPr>
      <w:r>
        <w:rPr>
          <w:rFonts w:ascii="Arial" w:hAnsi="Arial"/>
          <w:color w:val="000000"/>
          <w:sz w:val="20"/>
        </w:rPr>
        <w:t xml:space="preserve">The Leahy-Smith Act created for the first time new procedures to challenge issued patents in the US, including post-grant review, inter partes review and derivation proceedings, which are adversarial proceedings conducted at the USPTO, which some third parties have been using to cause the cancellation of selected or all claims of issued patents of competitors. For a patent with a priority date of March 16, 2013 or later, which all of our patent filings have, a petition for post-grant review can be filed by a third-party in a nine-month window from issuance of the patent. A petition for inter partes review can be filed immediately following the issuance of a patent if the patent was filed prior to March 16, 2013. A petition for inter partes review can be filed after the nine-month period for filing a post-grant review petition has expired for a patent with a priority date of March 16, 2013 or later. Post-grant review proceedings can be brought on any ground of challenge, whereas inter partes review proceedings can only be brought to raise a challenge based on published prior art. These adversarial actions at the USPTO include review of patent claims without the presumption of validity afforded to US patents in lawsuits in US federal courts. The USPTO issued a final rule effective November 13, 2018 announcing that it will now use the same claim construction standard currently used in the US federal courts to interpret patent claims in USPTO proceedings, which is the plain and ordinary meaning of words used. If any of our patents are challenged by a </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third-party in such a USPTO proceeding, there is no guarantee that we will be successful in defending the patent, which would result in a loss of the challenged patent right to us, including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 </w:t>
      </w:r>
    </w:p>
    <w:p>
      <w:pPr>
        <w:pStyle w:val="TextBody"/>
        <w:bidi w:val="0"/>
        <w:spacing w:before="120" w:after="283"/>
        <w:jc w:val="left"/>
        <w:rPr>
          <w:rFonts w:ascii="Arial" w:hAnsi="Arial"/>
          <w:color w:val="000000"/>
          <w:sz w:val="20"/>
        </w:rPr>
      </w:pPr>
      <w:r>
        <w:rPr>
          <w:rFonts w:ascii="Arial" w:hAnsi="Arial"/>
          <w:color w:val="000000"/>
          <w:sz w:val="20"/>
        </w:rPr>
        <w:t xml:space="preserve">As a result of all of the foregoing, the issuance, scope, validity, enforceability and commercial value of our patent rights are highly uncertain, which could have a material adverse effect on our business, financial condition, results of operations, and prospects. </w:t>
      </w:r>
    </w:p>
    <w:p>
      <w:pPr>
        <w:pStyle w:val="TextBody"/>
        <w:bidi w:val="0"/>
        <w:spacing w:before="240" w:after="283"/>
        <w:jc w:val="left"/>
        <w:rPr>
          <w:rFonts w:ascii="Arial" w:hAnsi="Arial"/>
          <w:sz w:val="20"/>
        </w:rPr>
      </w:pPr>
      <w:r>
        <w:rPr>
          <w:rFonts w:ascii="Arial" w:hAnsi="Arial"/>
          <w:b/>
          <w:i/>
          <w:color w:val="000000"/>
          <w:sz w:val="20"/>
        </w:rPr>
        <w:t>Third-party claims of intellectual property infringement, misappropriation or other violation may result in substantial costs or prevent or delay our development and commercialization efforts.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Our commercial success depends in part on our avoiding actual and allegations of infringement, misappropriation or other violation of the patents and other proprietary rights of third parties. There is a substantial amount of litigation, both within and outside the US, involving patent and other intellectual property rights in the pharmaceutical industry, including patent infringement lawsuits, interferences, oppositions, re-examination, and post-grant and inter partes review proceedings before the USPTO and similar proceedings in foreign jurisdictions, such as oppositions before the European Patent Office (“EPO”). Numerous US and foreign issued patents and pending patent applications, which are owned by third parties, exist in the fields in which we are pursuing development candidates. As the pharmaceutical industry expands and more patents are issued, and as third parties become more aware of our product pipeline, the risk increases that our product candidates may be subject to claims of infringement of the patent rights of third parties. </w:t>
      </w:r>
    </w:p>
    <w:p>
      <w:pPr>
        <w:pStyle w:val="TextBody"/>
        <w:bidi w:val="0"/>
        <w:spacing w:before="120" w:after="283"/>
        <w:jc w:val="left"/>
        <w:rPr>
          <w:rFonts w:ascii="Arial" w:hAnsi="Arial"/>
          <w:color w:val="000000"/>
          <w:sz w:val="20"/>
        </w:rPr>
      </w:pPr>
      <w:r>
        <w:rPr>
          <w:rFonts w:ascii="Arial" w:hAnsi="Arial"/>
          <w:color w:val="000000"/>
          <w:sz w:val="20"/>
        </w:rPr>
        <w:t>For example, in March 2021, fourteen years after its priority date, Gilead Sciences first presented a patent claim to the USPTO that purports to cover bemnifosbuvir. On May 9, 2023, the USPTO issued US Patent No. 11,642,361 (“ ‘361 patent”) with an amended claim (“Claim”) to Gilead Sciences that purports to cover bemnifosbuvir. We believe that the ‘361 patent, if valid and enforceable, will expire on June 15, 2028. On August 7, 2023, we filed a Post Grant Review Petition with the USPTO Patent Trial and Appeal Board (“PTAB”), challenging the issuance of the Claim to Gilead, on the basis that the Claim is not supported by the written description of the ‘361 patent and that the ‘361 patent does not have an enabling disclosure for the Claim. In February 2024, the PTAB denied to exercise its discretion to institute the post grant proceeding. This denial does not stop us from making the same or similar arguments, or additional arguments, nor from bringing the same or new evidence of invalidity or unenforceability in court if Gilead Sciences files an infringement suit. However, while we believe this Claim is invalid and unenforceable, a trial court or an appellate court may disagree and uphold the Claim of the '361 patent, which would require us, prior to commercialization of a product candidate containing bemnifosbuvir to obtain a license from Gilead Sciences to the ‘361 patent. Such a license may not be available on reasonable terms or at all. If a license is required and we are unable to obtain such license, commercialization of approved product candidates, if any, containing bemnifosbuvir may not be able to continue without infringement which could result in significant cost during the period we commercialize any such product prior to the expiration of the ‘361 patent.</w:t>
      </w:r>
    </w:p>
    <w:p>
      <w:pPr>
        <w:pStyle w:val="TextBody"/>
        <w:bidi w:val="0"/>
        <w:spacing w:before="120" w:after="283"/>
        <w:jc w:val="left"/>
        <w:rPr>
          <w:rFonts w:ascii="Arial" w:hAnsi="Arial"/>
          <w:color w:val="000000"/>
          <w:sz w:val="20"/>
        </w:rPr>
      </w:pPr>
      <w:r>
        <w:rPr>
          <w:rFonts w:ascii="Arial" w:hAnsi="Arial"/>
          <w:color w:val="000000"/>
          <w:sz w:val="20"/>
        </w:rPr>
        <w:t>On October 22, 2024, seventeen years after its priority date, the USPTO issued US Pat. No. 12,121,529 (“ '529 patent”) to Gilead Sciences with claims that again purport to cover bemnifosbuvir. We believe that the '529 patent will expire on March 15, 2028. While we believe these claims are also invalid and unenforceable, a trial court or an appellate court may disagree and uphold one or more claims of the '529 patent, which would require us to obtain a license from Gilead Sciences to the '529 patent prior to commercialization of a bemnifosbuvir product candidate. Such a license may not be available on reasonable terms or at all. If a license is required and we are unable to obtain such license, commercialization of approved product candidates, if any, containing bemnifosbuvir may not be able to continue without infringement which could result in significant cost during the period we commercialize any such product prior to the expiration of the '529 patent.</w:t>
      </w:r>
    </w:p>
    <w:p>
      <w:pPr>
        <w:pStyle w:val="TextBody"/>
        <w:bidi w:val="0"/>
        <w:spacing w:before="120" w:after="283"/>
        <w:jc w:val="left"/>
        <w:rPr>
          <w:rFonts w:ascii="Arial" w:hAnsi="Arial"/>
          <w:color w:val="000000"/>
          <w:sz w:val="20"/>
        </w:rPr>
      </w:pPr>
      <w:r>
        <w:rPr>
          <w:rFonts w:ascii="Arial" w:hAnsi="Arial"/>
          <w:color w:val="000000"/>
          <w:sz w:val="20"/>
        </w:rPr>
        <w:t xml:space="preserve">Third party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w:t>
      </w:r>
    </w:p>
    <w:p>
      <w:pPr>
        <w:pStyle w:val="TextBody"/>
        <w:bidi w:val="0"/>
        <w:spacing w:before="120" w:after="283"/>
        <w:jc w:val="left"/>
        <w:rPr>
          <w:rFonts w:ascii="Arial" w:hAnsi="Arial"/>
          <w:color w:val="000000"/>
          <w:sz w:val="20"/>
        </w:rPr>
      </w:pPr>
      <w:r>
        <w:rPr>
          <w:rFonts w:ascii="Arial" w:hAnsi="Arial"/>
          <w:color w:val="000000"/>
          <w:sz w:val="20"/>
        </w:rPr>
        <w:t xml:space="preserve">Third parties may assert that we are employing their proprietary technology without authorization. There may be third-party patents or patent applications with claims to composition of matter, drug delivery, methods of manufacture or methods for treatment related to the use or manufacture of our product candidates. We cannot </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guarantee that our technologies, products, compositions and their uses do not or will not infringe, misappropriate or otherwise violate third-party patent or other intellectual property rights. Because patent applications can take many years to issue, there may be currently pending patent applications which may later result in issued patents our product candidates may infringe. In addition, third parties may obtain patents in the future and claim that use of our technologies infringes upon these patents. Pending patent applications that have been published can, or subject to certain limitations, later present claims in a manner that could cover our product candidates or the use of our product candidates. After issuance, the scope of patent claims remains subject to construction as determined by an interpretation of the law, the written disclosure in a patent and the patent’s prosecution history. </w:t>
      </w:r>
    </w:p>
    <w:p>
      <w:pPr>
        <w:pStyle w:val="TextBody"/>
        <w:bidi w:val="0"/>
        <w:spacing w:before="120" w:after="283"/>
        <w:jc w:val="left"/>
        <w:rPr>
          <w:rFonts w:ascii="Arial" w:hAnsi="Arial"/>
          <w:color w:val="000000"/>
          <w:sz w:val="20"/>
        </w:rPr>
      </w:pPr>
      <w:r>
        <w:rPr>
          <w:rFonts w:ascii="Arial" w:hAnsi="Arial"/>
          <w:color w:val="000000"/>
          <w:sz w:val="20"/>
        </w:rPr>
        <w:t xml:space="preserve">Our interpretation of the relevance or the scope of a patent or a pending application may be incorrect, which may negatively impact our ability to market our product candidates. To challenge the validity of a US patent, we would need to initiate an action either in federal court or at the PTAB. Alternatively, a challenge to validity of a US patent could be brought by us in defense to an allegation of infringement by a third party. An action brought before the PTAB must be timely submitted within nine months of the issuance of the patent we are seeking to challenge unless based on published prior art. In either a PTAB or federal court proceeding, there is no assurance that the PTAB or a court of competent jurisdiction would invalidate the claims of any such US patent or, if a PTAB decision is appealed, that a federal court would uphold a PTAB determination of invalidity. If any third-party patents were held by a court of competent jurisdiction to cover the composition of matter of any of our product candidates, the manufacturing process of any of our product candidates or the method of use for any of our product candidates, the holders of any such patents may be able to block our ability to commercialize such product candidate unless we obtain a license under the applicable patents, which may not be available at all or on commercially reasonable terms, or until such patents expire. </w:t>
      </w:r>
    </w:p>
    <w:p>
      <w:pPr>
        <w:pStyle w:val="TextBody"/>
        <w:bidi w:val="0"/>
        <w:spacing w:before="120" w:after="283"/>
        <w:jc w:val="left"/>
        <w:rPr>
          <w:rFonts w:ascii="Arial" w:hAnsi="Arial"/>
          <w:color w:val="000000"/>
          <w:sz w:val="20"/>
        </w:rPr>
      </w:pPr>
      <w:r>
        <w:rPr>
          <w:rFonts w:ascii="Arial" w:hAnsi="Arial"/>
          <w:color w:val="000000"/>
          <w:sz w:val="20"/>
        </w:rPr>
        <w:t xml:space="preserve">Litigation and contested proceedings can be expensive and time-consuming, and our adversaries in these proceedings may have the ability to dedicate greater resources to prosecuting these legal actions than we can. The risks of being involved in such litigation and proceedings may increase if and as our product candidates near commercialization. Third parties may assert infringement claims against us based on existing patents or patents that may be granted in the future, regardless of the merit of such claims. We may not be aware of all intellectual property rights potentially relating to our technology and product candidates and their uses, or we may incorrectly conclude that third-party intellectual property is invalid or that our activities and product candidates do not infringe, misappropriate or otherwise violate such intellectual property. Thus, we do not know with certainty that our technology and product candidates, or our development and commercialization thereof, do not and will not infringe, misappropriate or otherwise violate any third-party’s intellectual property. </w:t>
      </w:r>
    </w:p>
    <w:p>
      <w:pPr>
        <w:pStyle w:val="TextBody"/>
        <w:bidi w:val="0"/>
        <w:spacing w:before="120" w:after="283"/>
        <w:jc w:val="left"/>
        <w:rPr>
          <w:rFonts w:ascii="Arial" w:hAnsi="Arial"/>
          <w:color w:val="000000"/>
          <w:sz w:val="20"/>
        </w:rPr>
      </w:pPr>
      <w:r>
        <w:rPr>
          <w:rFonts w:ascii="Arial" w:hAnsi="Arial"/>
          <w:color w:val="000000"/>
          <w:sz w:val="20"/>
        </w:rPr>
        <w:t xml:space="preserve">Parties making claims against us may seek to obtain injunctive or other equitable relief, which could if granted effectively block our ability to further develop and commercialize one or more of our product candidates and/or harm our reputation and financial results. Defense of these claims, regardless of their merit, could involve substantial litigation expense and could be a substantial diversion of management and employee resources from our business.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In the event of a successful claim of infringement against us, we may have to pay substantial damages, including treble damages and attorneys’ fees for willful infringement, pay royalties, redesign our infringing products, in the case of claims concerning registered trademarks, rename our product candidates, or obtain one or more licenses from third parties, which may require substantial time and monetary expenditure, and which might be impossible or technically infeasible. Furthermore, we may not be able to obtain any required license on commercially reasonable terms or at all. Even if we were able to obtain a license, it could be non-exclusive, thereby giving our competitors and other third parties access to the same technologies licensed to us; alternatively or additionally it might include terms that impede or destroy our ability to compete successfully in the commercial marketplace. Any of the foregoing could have a material adverse effect on our business, financial condition, results of operations, and prospects. </w:t>
      </w:r>
    </w:p>
    <w:p>
      <w:pPr>
        <w:pStyle w:val="TextBody"/>
        <w:bidi w:val="0"/>
        <w:spacing w:before="240" w:after="283"/>
        <w:jc w:val="left"/>
        <w:rPr>
          <w:rFonts w:ascii="Arial" w:hAnsi="Arial"/>
          <w:sz w:val="20"/>
        </w:rPr>
      </w:pPr>
      <w:r>
        <w:rPr>
          <w:rFonts w:ascii="Arial" w:hAnsi="Arial"/>
          <w:b/>
          <w:i/>
          <w:color w:val="000000"/>
          <w:sz w:val="20"/>
        </w:rPr>
        <w:t>A number of companies and universities file and obtain patents in the same area as our product candidates, and these patent filings could be asserted against us, which may affect our business, and if successful, could lead to expensive litigation, affect the profitability of our products and/or prohibit the sale of a product or its use.</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Bemnifosbuvir, the product candidate we are developing in combination with ruzasvir for the treatment of HCV, and AT-587, the product candidate we are developing for the treatment of HEV, are each nucleotide prodrugs and other product candidates we may develop, may also be or include nucleotide prodrugs, or nucleotide phosphoramidates. A number of companies and universities have patent applications and issued patents in this </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general area, including for viral indications, such as, for example, Gilead Pharmasset, LLC; Gilead Sciences; Merck &amp; Co.; Bristol Myers Squibb; F. Hoffmann-La-Roche Ltd.; University of Cardiff; University College Cardiff Consultants; NuCana, plc; Janssen Pharmaceutical Companies; Medivir AB; and others. If any of these companies or universities, or others, assert that a patent it holds is infringed by any of our product candidates or their use or manufacture, we may be drawn into expensive litigation, which may affect our business, take the time of and distract the attention of our employees, and if the litigation is successful, could affect the profitability of our products or prohibit their sale. </w:t>
      </w:r>
    </w:p>
    <w:p>
      <w:pPr>
        <w:pStyle w:val="TextBody"/>
        <w:bidi w:val="0"/>
        <w:spacing w:before="120" w:after="283"/>
        <w:jc w:val="left"/>
        <w:rPr>
          <w:rFonts w:ascii="Arial" w:hAnsi="Arial"/>
          <w:color w:val="000000"/>
          <w:sz w:val="20"/>
        </w:rPr>
      </w:pPr>
      <w:r>
        <w:rPr>
          <w:rFonts w:ascii="Arial" w:hAnsi="Arial"/>
          <w:color w:val="000000"/>
          <w:sz w:val="20"/>
        </w:rPr>
        <w:t xml:space="preserve">For example, we note that sixteen years after its priority date, Gilead Sciences obtained the '361 patent that includes a Claim that purportedly covers bemnifosbuvir. We believe that the '361 patent will expire on June 15, 2028. We requested the PTAB Board to institute a post grant review of this patent and it declined to exercise its discretion to do so. This denial does not stop us from making the same or similar arguments, or additional arguments, nor from bringing the same or new evidence of invalidity or unenforceability in court if Gilead files an infringement suit. While we believe this Claim is invalid and unenforceable, a trial court or an appellate court may disagree and uphold the Claim of the '361 patent, which would require us, prior to commercialization of a bemnifosbuvir product candidate to obtain a license from Gilead Sciences to the ‘361 patent for the time period that we are commercializing a product candidate, if any, containing bemnifosbuvir prior to expiration of the '361 patent or pay a court ordered royalty or other damages which could result in significant cost. </w:t>
      </w:r>
    </w:p>
    <w:p>
      <w:pPr>
        <w:pStyle w:val="TextBody"/>
        <w:bidi w:val="0"/>
        <w:spacing w:before="120" w:after="283"/>
        <w:jc w:val="left"/>
        <w:rPr>
          <w:rFonts w:ascii="Arial" w:hAnsi="Arial"/>
          <w:color w:val="000000"/>
          <w:sz w:val="20"/>
        </w:rPr>
      </w:pPr>
      <w:r>
        <w:rPr>
          <w:rFonts w:ascii="Arial" w:hAnsi="Arial"/>
          <w:color w:val="000000"/>
          <w:sz w:val="20"/>
        </w:rPr>
        <w:t xml:space="preserve">Additionally, on October 22, 2024, seventeen years after its priority date, Gilead Sciences obtained US ‘529 patent with claims that also purport to cover bemnifosbuvir. We believe that the '529 patent will expire on March 15, 2028. While we believe these claims are also invalid and unenforceable, a trial court or an appellate court may disagree and uphold one or more claims of the '529 patent, which would require us to obtain a license from Gilead Sciences to the ‘529 patent for the time period that we are commercializing a product candidate, if any, containing bemnifosbuvir prior to the expiration of the '529 patent or pay a court ordered royalty or other damages which could result in significant cost. </w:t>
      </w:r>
    </w:p>
    <w:p>
      <w:pPr>
        <w:pStyle w:val="TextBody"/>
        <w:bidi w:val="0"/>
        <w:spacing w:before="240" w:after="283"/>
        <w:jc w:val="left"/>
        <w:rPr>
          <w:rFonts w:ascii="Arial" w:hAnsi="Arial"/>
          <w:sz w:val="20"/>
        </w:rPr>
      </w:pPr>
      <w:r>
        <w:rPr>
          <w:rFonts w:ascii="Arial" w:hAnsi="Arial"/>
          <w:b/>
          <w:i/>
          <w:color w:val="000000"/>
          <w:sz w:val="20"/>
        </w:rPr>
        <w:t>Our products are subject to The Drug Price Competition and Patent Term Restoration Act of 1984, as amended (also referred to as the Hatch-Waxman Act), in the US, that can increase the risk of litigation with generic companies trying to sell our products, and may cause us to lose patent protection.</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Because our clinical candidates are pharmaceutical molecules reviewed by the Center for Drug Evaluation and Research of the FDA, after commercialization they will be subject in the US to the patent litigation process of the Hatch-Waxman Act, as currently amended, which allows a generic company to submit an Abbreviated New Drug Application ("ANDA") to the FDA to obtain approval to sell our drug using bioequivalence data only. Under the Hatch-Waxman Act, we will have the opportunity to list our patents that cover our drug product or its method of use in the FDA’s compendium of “Approved Drug Products with Therapeutic Equivalence Evaluation,” sometimes referred to as the FDA’s Orange Book. </w:t>
      </w:r>
    </w:p>
    <w:p>
      <w:pPr>
        <w:pStyle w:val="TextBody"/>
        <w:bidi w:val="0"/>
        <w:spacing w:before="120" w:after="283"/>
        <w:jc w:val="left"/>
        <w:rPr>
          <w:rFonts w:ascii="Arial" w:hAnsi="Arial"/>
          <w:color w:val="000000"/>
          <w:sz w:val="20"/>
        </w:rPr>
      </w:pPr>
      <w:r>
        <w:rPr>
          <w:rFonts w:ascii="Arial" w:hAnsi="Arial"/>
          <w:color w:val="000000"/>
          <w:sz w:val="20"/>
        </w:rPr>
        <w:t xml:space="preserve">Currently, in the US, the FDA may grant five years of exclusivity for new chemical entities (“NCEs”) for which most or all of our products may qualify. An NCE is a drug that contains no active moiety that has been approved by the FDA in any other NDA. A generic company can submit an ANDA to the FDA four years after approval of our product. The submission of an ANDA by a generic company is considered a technical act of patent infringement. The generic company can certify that it will wait until the natural expiration date of our listed patents to sell a generic version of our product or can certify that one or more of our listed patents are invalid, unenforceable or not infringed. If the latter, we will have 45 days to bring a patent infringement lawsuit against the generic company. This will initiate a challenge to one or more of our Orange Book-listed patents based on arguments from the generic company that our listed patents are invalid, unenforceable or not infringed. Under the Hatch-Waxman Act, if a lawsuit is brought, the FDA is prevented from issuing a final approval on the generic drug until 30 months from the date the litigation is started, or a final decision of a court holding that our asserted patent claims are invalid, unenforceable or not infringed. If we do not properly list our relevant patents in the Orange Book, do not timely file a lawsuit in response to a certification from a generic company under an ANDA, or if we do not prevail in the resulting patent litigation, we can lose our proprietary protection, and our product can rapidly become generic. Further, even if we do correctly list our relevant patents in the Orange Book, bring a lawsuit in a timely manner and prevail in that lawsuit, the generic litigation may be at a very significant cost to us of attorneys’ fees and employee time and distraction over a long period. Further, it is common for more than one generic company to try to sell an innovator drug at the same time, and so we may be faced with the cost and distraction of multiple lawsuits. We may also determine it is necessary to settle the lawsuit in a manner that allows the generic </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company to enter our market prior to the expiration of our patent or otherwise in a manner that adversely affects the strength, validity or enforceability of our patent. </w:t>
      </w:r>
    </w:p>
    <w:p>
      <w:pPr>
        <w:pStyle w:val="TextBody"/>
        <w:bidi w:val="0"/>
        <w:spacing w:before="240" w:after="283"/>
        <w:jc w:val="left"/>
        <w:rPr>
          <w:rFonts w:ascii="Arial" w:hAnsi="Arial"/>
          <w:sz w:val="20"/>
        </w:rPr>
      </w:pPr>
      <w:r>
        <w:rPr>
          <w:rFonts w:ascii="Arial" w:hAnsi="Arial"/>
          <w:b/>
          <w:i/>
          <w:color w:val="000000"/>
          <w:sz w:val="20"/>
        </w:rPr>
        <w:t>A number of pharmaceutical companies have been the subject of intense review by the FTC or a corresponding agency in another country based on how they have conducted or settled drug patent litigation, and certain reviews have led to an allegation of an antitrust violation, sometimes resulting in a fine or loss of rights. We cannot be sure that we would also not be subject to such a review or that the result of the review would be favorable to us, which could result in a fine or penalty.</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The FTC has brought a number of lawsuits in federal court in the past few years to challenge Hatch-Waxman Act ANDA litigation settlements between innovator companies and generic companies as anti-competitive. As an example, the FTC has taken an aggressive position that anything of value is a payment, whether money is paid or not. Under its approach, if an innovator as part of a patent settlement agrees not to launch or delay launch of an authorized generic during the 180-day period granted to the first generic company to challenge an Orange Book-listed patent covering an innovator drug, or negotiates a delay in entry without payment, the FTC may consider it an unacceptable reverse payment. The pharmaceutical industry argues that such agreements are rational business decisions to dismiss risk and are immune from antitrust attack if the terms of the settlement are within the scope of the exclusionary potential of the patent. In 2013, the US Supreme Court, in a five-to-three decision in FTC v. Actavis, Inc., rejected both the pharmaceutical industry’s and FTC’s arguments with regard to so-called reverse payments, and held that whether a “reverse payment” settlement involving the exchange of consideration for a delay in entry is subject to an anticompetitive analysis depends on five considerations: (a) the potential for genuine adverse effects on competition; (b) the justification of payment; (c) the patentee’s ability to bring about anticompetitive harm; (d) whether the size of the payment is a workable surrogate for the patent’s weakness; and (e) that antitrust liability for large unjustified payments does not prevent litigating parties from settling their lawsuits, for example, by allowing the generic to enter the market before the patent expires without the patentee paying the generic. Furthermore, whether a reverse payment is justified depends upon its size, its scale in relation to the patentee’s anticipated future litigation costs, its independence from other services for which it might represent payment, as was the case in Actavis, and the lack of any other convincing justification. The Court held that reverse payment settlements can potentially violate antitrust laws and are subject to the standard antitrust rule-of-reason analysis, with the burden of proving that an agreement is unlawful on the FTC, leaving to lower courts the structuring of such rule of reason analysis. If we are faced with drug patent litigation, including Hatch-Waxman Act litigation with a generic company, we could be faced with such an FTC challenge based on that activity, including how or whether we settle the case, and even if we strongly disagree with the FTC’s position, we could face a significant expense or penalty. </w:t>
      </w:r>
    </w:p>
    <w:p>
      <w:pPr>
        <w:pStyle w:val="TextBody"/>
        <w:bidi w:val="0"/>
        <w:spacing w:before="240" w:after="283"/>
        <w:jc w:val="left"/>
        <w:rPr>
          <w:rFonts w:ascii="Arial" w:hAnsi="Arial"/>
          <w:sz w:val="20"/>
        </w:rPr>
      </w:pPr>
      <w:r>
        <w:rPr>
          <w:rFonts w:ascii="Arial" w:hAnsi="Arial"/>
          <w:b/>
          <w:i/>
          <w:color w:val="000000"/>
          <w:sz w:val="20"/>
        </w:rPr>
        <w:t>Patent terms may be inadequate to protect our competitive position on our products for an adequate amount of time.</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The term of any individual patent depends on applicable law in the country where the patent is granted. In the US,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Given the amount of time required for the development, testing and regulatory review of new product candidates, patents protecting such product candidates might expire before or shortly after such product candidates are commercialized. For patents that are eligible for extension of patent term, we expect to seek extensions of patent terms in the US and, if available, in other countries, however there can be no assurance that we will be granted any patent term extension we seek, or that any such patent term extension will provide us with any competitive advantage. </w:t>
      </w:r>
    </w:p>
    <w:p>
      <w:pPr>
        <w:pStyle w:val="TextBody"/>
        <w:bidi w:val="0"/>
        <w:spacing w:before="240" w:after="283"/>
        <w:jc w:val="left"/>
        <w:rPr>
          <w:rFonts w:ascii="Arial" w:hAnsi="Arial"/>
          <w:sz w:val="20"/>
        </w:rPr>
      </w:pPr>
      <w:r>
        <w:rPr>
          <w:rFonts w:ascii="Arial" w:hAnsi="Arial"/>
          <w:b/>
          <w:i/>
          <w:color w:val="000000"/>
          <w:sz w:val="20"/>
        </w:rPr>
        <w:t>The Hatch-Waxman Act in the US provides for the opportunity to seek a patent term extension on one selected patent for each of our products, and the length of that patent term extension, if at all, is subject to review and approval by the USPTO and the FDA.</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In the US, the Hatch-Waxman Act permits one patent term extension of up to five years beyond the normal expiration of one patent per product, which if a method of treatment patent, is limited to the approved indication (or any additional indications approved during the period of extension). The length of the patent term extension is typically calculated as one half of the clinical trial period plus the entire period of time during the review of the NDA by the FDA, minus any time of delay by us during these periods. There is also a limit on the patent term extension to a term that is no greater than fourteen years from drug approval. Therefore, if we select and are granted a patent term extension on a recently filed and issued patent, we may not receive the full benefit of a possible patent term extension, if at all. We might also not be granted a patent term extension at all, because of, </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for example, failure to apply within the applicable period, failure to apply prior to the expiration of relevant patents or otherwise failure to satisfy any of the numerous applicable requirements. Moreover, the applicable authorities, including the FDA and the USPTO in the US, and any equivalent regulatory authorities in other countries, may not agree with our assessment of whether such extensions are available,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our patent covering the product has expired or been held invalid by a court of final jurisdiction. If this were to occur, it could have a material adverse effect on our ability to generate product revenue. </w:t>
      </w:r>
    </w:p>
    <w:p>
      <w:pPr>
        <w:pStyle w:val="TextBody"/>
        <w:bidi w:val="0"/>
        <w:spacing w:before="120" w:after="283"/>
        <w:jc w:val="left"/>
        <w:rPr>
          <w:rFonts w:ascii="Arial" w:hAnsi="Arial"/>
          <w:color w:val="000000"/>
          <w:sz w:val="20"/>
        </w:rPr>
      </w:pPr>
      <w:r>
        <w:rPr>
          <w:rFonts w:ascii="Arial" w:hAnsi="Arial"/>
          <w:color w:val="000000"/>
          <w:sz w:val="20"/>
        </w:rPr>
        <w:t xml:space="preserve">In 1997, as part of the Food &amp; Drug Administration Modernization Act, (“FDAMA”), Congress enacted a law that provides incentives to drug manufacturers who conduct studies of drugs in children. The law, which provides six months of exclusivity in return for conducting pediatric studies, is referred to as the pediatric exclusivity provision. If clinical studies are carried out by us that comply with the FDAMA, we may receive an additional six-month term added to our regulatory data exclusivity period and our patent term extension period, if received, on our product. However, if we choose not to carry out pediatric studies that comply with the FDAMA, or are not accepted by the FDA for this purpose, we would not receive this additional six-month exclusivity extension to our data exclusivity or our patent term extension. </w:t>
      </w:r>
    </w:p>
    <w:p>
      <w:pPr>
        <w:pStyle w:val="TextBody"/>
        <w:bidi w:val="0"/>
        <w:spacing w:before="120" w:after="283"/>
        <w:jc w:val="left"/>
        <w:rPr>
          <w:rFonts w:ascii="Arial" w:hAnsi="Arial"/>
          <w:color w:val="000000"/>
          <w:sz w:val="20"/>
        </w:rPr>
      </w:pPr>
      <w:r>
        <w:rPr>
          <w:rFonts w:ascii="Arial" w:hAnsi="Arial"/>
          <w:color w:val="000000"/>
          <w:sz w:val="20"/>
        </w:rPr>
        <w:t xml:space="preserve">In Europe, supplementary protection certificates are available to extend a patent term up to five years to compensate for patent term lost during regulatory review, and can be extended for an additional six months if data from clinical trials is obtained in accordance with an agreed-upon pediatric investigation plan. Although all countries in Europe must provide supplementary protection certificates, there is no unified legislation among European countries and so supplementary protection certificates must be applied for and granted on a country-by-country basis. This can lead to a substantial cost to apply for and receive these certificates, which may vary among countries or not be provided at all. </w:t>
      </w:r>
    </w:p>
    <w:p>
      <w:pPr>
        <w:pStyle w:val="TextBody"/>
        <w:bidi w:val="0"/>
        <w:spacing w:before="240" w:after="283"/>
        <w:jc w:val="left"/>
        <w:rPr>
          <w:rFonts w:ascii="Arial" w:hAnsi="Arial"/>
          <w:sz w:val="20"/>
        </w:rPr>
      </w:pPr>
      <w:r>
        <w:rPr>
          <w:rFonts w:ascii="Arial" w:hAnsi="Arial"/>
          <w:b/>
          <w:i/>
          <w:color w:val="000000"/>
          <w:sz w:val="20"/>
        </w:rPr>
        <w:t>If we are unable to obtain licenses from third parties on commercially reasonable terms or at all, or fail to comply with our obligations under such agreements, our business could be harmed.</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It may be necessary for us to use the patented or other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or otherwise controlling such intellectual property rights could seek either an injunction prohibiting our sales or an obligation on our part to pay royalties and/or other forms of compensation. Even if we are able to obtain a license, it may be non-exclusive, thereby giving our competitors and other third parties access to the same technologies licensed to us.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t>
      </w:r>
    </w:p>
    <w:p>
      <w:pPr>
        <w:pStyle w:val="TextBody"/>
        <w:bidi w:val="0"/>
        <w:spacing w:before="120" w:after="283"/>
        <w:jc w:val="left"/>
        <w:rPr>
          <w:rFonts w:ascii="Arial" w:hAnsi="Arial"/>
          <w:color w:val="000000"/>
          <w:sz w:val="20"/>
        </w:rPr>
      </w:pPr>
      <w:r>
        <w:rPr>
          <w:rFonts w:ascii="Arial" w:hAnsi="Arial"/>
          <w:color w:val="000000"/>
          <w:sz w:val="20"/>
        </w:rPr>
        <w:t xml:space="preserve">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 </w:t>
      </w:r>
    </w:p>
    <w:p>
      <w:pPr>
        <w:pStyle w:val="TextBody"/>
        <w:bidi w:val="0"/>
        <w:spacing w:before="120" w:after="283"/>
        <w:jc w:val="left"/>
        <w:rPr>
          <w:rFonts w:ascii="Arial" w:hAnsi="Arial"/>
          <w:color w:val="000000"/>
          <w:sz w:val="20"/>
        </w:rPr>
      </w:pPr>
      <w:r>
        <w:rPr>
          <w:rFonts w:ascii="Arial" w:hAnsi="Arial"/>
          <w:color w:val="000000"/>
          <w:sz w:val="20"/>
        </w:rPr>
        <w:t xml:space="preserve">Additionally, if we fail to comply with our obligations under any future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delay or prohibit the further development or commercialization of one or more product candidates that rely on such agreements. </w:t>
      </w:r>
    </w:p>
    <w:p>
      <w:pPr>
        <w:pStyle w:val="TextBody"/>
        <w:bidi w:val="0"/>
        <w:spacing w:before="240" w:after="283"/>
        <w:jc w:val="left"/>
        <w:rPr>
          <w:rFonts w:ascii="Arial" w:hAnsi="Arial"/>
          <w:sz w:val="20"/>
        </w:rPr>
      </w:pPr>
      <w:r>
        <w:rPr>
          <w:rFonts w:ascii="Arial" w:hAnsi="Arial"/>
          <w:b/>
          <w:i/>
          <w:color w:val="000000"/>
          <w:sz w:val="20"/>
        </w:rPr>
        <w:t>Litigation and adversarial proceedings are expensive, time-consuming and if unsuccessful, can adversely affect our ability to sell our products when commercialized.</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Competitors and other third parties may infringe, misappropriate or otherwise violate our or our future licensors’ patents, trademarks, copyrights or other intellectual property. As a result, we may need to file infringement, misappropriation or other intellectual property-related claims against third parties. To counter infringement or other unauthorized use, we may be required to file claims on a country-by-country basis, which can be expensive and time-consuming and divert the time and attention of our management and scientific personnel. There can be no assurance that we will have sufficient financial or other resources to file and pursue such claims, which often last for years before they are concluded. </w:t>
      </w:r>
    </w:p>
    <w:p>
      <w:pPr>
        <w:pStyle w:val="TextBody"/>
        <w:bidi w:val="0"/>
        <w:spacing w:before="120" w:after="283"/>
        <w:jc w:val="left"/>
        <w:rPr>
          <w:rFonts w:ascii="Arial" w:hAnsi="Arial"/>
          <w:color w:val="000000"/>
          <w:sz w:val="20"/>
        </w:rPr>
      </w:pPr>
      <w:r>
        <w:rPr>
          <w:rFonts w:ascii="Arial" w:hAnsi="Arial"/>
          <w:color w:val="000000"/>
          <w:sz w:val="20"/>
        </w:rPr>
        <w:t>Any claims we assert against third parties could also provoke these parties to assert counterclaims against us alleging that we infringe, misappropriate or otherwise violate their intellectual property. In addition, in a patent infringement proceeding, such parties could counterclaim that the patents we have asserted are invalid or unenforceable, or both.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US or abroad, even outside the context of litigation. Such mechanisms include re-examination, post-grant review, inter partes review, interference proceedings, derivation proceedings and equivalent proceedings in foreign jurisdictions (e.g., opposition proceedings). The outcome following legal assertions of invalidity and unenforceability is unpredictable.</w:t>
      </w:r>
    </w:p>
    <w:p>
      <w:pPr>
        <w:pStyle w:val="TextBody"/>
        <w:bidi w:val="0"/>
        <w:spacing w:before="120" w:after="283"/>
        <w:jc w:val="left"/>
        <w:rPr>
          <w:rFonts w:ascii="Arial" w:hAnsi="Arial"/>
          <w:color w:val="000000"/>
          <w:sz w:val="20"/>
        </w:rPr>
      </w:pPr>
      <w:r>
        <w:rPr>
          <w:rFonts w:ascii="Arial" w:hAnsi="Arial"/>
          <w:color w:val="000000"/>
          <w:sz w:val="20"/>
        </w:rPr>
        <w:t xml:space="preserve">In any such proceeding, a court may decide that a patent of ours, or a patent that we in-license, is not valid, is unenforceable and/or is not infringed, or may construe such patent’s claims narrowly or refuse to stop the other party from using the technology at issue on the grounds that our patents do not cover the technology in question. An adverse result in any litigation or defense proceedings could put one or more of our patents at risk of being invalidated, interpreted narrowly or held unenforceable in whole or in part, could put our patent applications at risk of not issuing, and could limit our ability to assert those patents against those parties or other competitors and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 </w:t>
      </w:r>
    </w:p>
    <w:p>
      <w:pPr>
        <w:pStyle w:val="TextBody"/>
        <w:bidi w:val="0"/>
        <w:spacing w:before="120" w:after="283"/>
        <w:jc w:val="left"/>
        <w:rPr>
          <w:rFonts w:ascii="Arial" w:hAnsi="Arial"/>
          <w:color w:val="000000"/>
          <w:sz w:val="20"/>
        </w:rPr>
      </w:pPr>
      <w:r>
        <w:rPr>
          <w:rFonts w:ascii="Arial" w:hAnsi="Arial"/>
          <w:color w:val="000000"/>
          <w:sz w:val="20"/>
        </w:rPr>
        <w:t xml:space="preserve">Even if we establish infringement, misappropriation or other violation of our intellectual property, the court may decide not to grant an injunction against further such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have a material adverse effect on our business, financial condition, results of operations, and prospects. </w:t>
      </w:r>
    </w:p>
    <w:p>
      <w:pPr>
        <w:pStyle w:val="TextBody"/>
        <w:bidi w:val="0"/>
        <w:spacing w:before="120" w:after="283"/>
        <w:jc w:val="left"/>
        <w:rPr>
          <w:rFonts w:ascii="Arial" w:hAnsi="Arial"/>
          <w:color w:val="000000"/>
          <w:sz w:val="20"/>
        </w:rPr>
      </w:pPr>
      <w:r>
        <w:rPr>
          <w:rFonts w:ascii="Arial" w:hAnsi="Arial"/>
          <w:color w:val="000000"/>
          <w:sz w:val="20"/>
        </w:rPr>
        <w:t>Our composition of matter patent filing on bemnifosbuvir has now been granted in over 70 countries including the US, Europe, China, Japan, Korea, Australia, Brazil, Eurasia, Canada, Israel, New Zealand, South Africa, Russia and Mexico, and is pending in certain other countries and regions.</w:t>
      </w:r>
    </w:p>
    <w:p>
      <w:pPr>
        <w:pStyle w:val="TextBody"/>
        <w:bidi w:val="0"/>
        <w:spacing w:before="120" w:after="283"/>
        <w:jc w:val="left"/>
        <w:rPr>
          <w:rFonts w:ascii="Arial" w:hAnsi="Arial"/>
          <w:color w:val="000000"/>
          <w:sz w:val="20"/>
        </w:rPr>
      </w:pPr>
      <w:r>
        <w:rPr>
          <w:rFonts w:ascii="Arial" w:hAnsi="Arial"/>
          <w:color w:val="000000"/>
          <w:sz w:val="20"/>
        </w:rPr>
        <w:t xml:space="preserve">Our patent on AT-511 or its pharmaceutically acceptable salt, which includes bemnifosbuvir, has been granted in over 70 countries including the US, Europe, China, Japan, Korea, Australia, Eurasia, Canada, Israel, Singapore, Malaysia, Indonesia, Georgia, Russia, Ukraine, Columbia and Mexico, and is also pending in certain other countries and regions. </w:t>
      </w:r>
    </w:p>
    <w:p>
      <w:pPr>
        <w:pStyle w:val="TextBody"/>
        <w:bidi w:val="0"/>
        <w:spacing w:before="120" w:after="283"/>
        <w:jc w:val="left"/>
        <w:rPr>
          <w:rFonts w:ascii="Arial" w:hAnsi="Arial"/>
          <w:color w:val="000000"/>
          <w:sz w:val="20"/>
        </w:rPr>
      </w:pPr>
      <w:r>
        <w:rPr>
          <w:rFonts w:ascii="Arial" w:hAnsi="Arial"/>
          <w:color w:val="000000"/>
          <w:sz w:val="20"/>
        </w:rPr>
        <w:t xml:space="preserve">On November 4, 2025, the USPTO issued US Patent No. 12,458,656 that covers our method for treating HCV using the combination of bemnifosbuvir and ruzasvir. The expected year of expiration for this patent family, if valid and enforceable, is 2042, without regard to adjustments of term that may be available in the US or other national laws. Similar applications are pending in other countries. </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On July 21, 2026, the USPTO issued US Patent No. 12,686,697 that covers our morphic form of bemnifosbuvir. The patent was granted with 429 days of patent term adjustment. The expiration date of the patent is March 31, 2043.</w:t>
      </w:r>
    </w:p>
    <w:p>
      <w:pPr>
        <w:pStyle w:val="TextBody"/>
        <w:bidi w:val="0"/>
        <w:spacing w:before="120" w:after="283"/>
        <w:jc w:val="left"/>
        <w:rPr>
          <w:rFonts w:ascii="Arial" w:hAnsi="Arial"/>
          <w:color w:val="000000"/>
          <w:sz w:val="20"/>
        </w:rPr>
      </w:pPr>
      <w:r>
        <w:rPr>
          <w:rFonts w:ascii="Arial" w:hAnsi="Arial"/>
          <w:color w:val="000000"/>
          <w:sz w:val="20"/>
        </w:rPr>
        <w:t>We also solely own a patent application covering the FDC of bemnifosbuvir and ruzasvir. The expected year of expiration for patents, if any, issuing from this application, if valid and enforceable, is 2046, without regard to any adjustments of term that may be available under US or other national law.</w:t>
      </w:r>
    </w:p>
    <w:p>
      <w:pPr>
        <w:pStyle w:val="TextBody"/>
        <w:bidi w:val="0"/>
        <w:spacing w:before="120" w:after="283"/>
        <w:jc w:val="left"/>
        <w:rPr>
          <w:rFonts w:ascii="Arial" w:hAnsi="Arial"/>
          <w:color w:val="000000"/>
          <w:sz w:val="20"/>
        </w:rPr>
      </w:pPr>
      <w:r>
        <w:rPr>
          <w:rFonts w:ascii="Arial" w:hAnsi="Arial"/>
          <w:color w:val="000000"/>
          <w:sz w:val="20"/>
        </w:rPr>
        <w:t>We may not be aware of patent claims that are currently or may in the future be pending that affect our business by the competitors working in this area. Patent applications are typically published between six and eighteen months from filing, and the presentation of new claims in already pending applications can sometimes not be visible to the public, including to us, for a period of time, or if publicly available, not yet seen by us. We cannot provide any assurance that a third-party practicing in the general area of our technology will not present a patent claim that covers one or more of our products or their methods of use or manufacture at any time, including before or during this registration period. If that does occur, we may have to take steps to try to invalidate such patent or application, and we may either choose not to or may not be successful in such attempt. A license to the patent or application may not be available on commercially reasonable terms or at all.</w:t>
      </w:r>
    </w:p>
    <w:p>
      <w:pPr>
        <w:pStyle w:val="TextBody"/>
        <w:bidi w:val="0"/>
        <w:spacing w:before="120" w:after="283"/>
        <w:jc w:val="left"/>
        <w:rPr>
          <w:rFonts w:ascii="Arial" w:hAnsi="Arial"/>
          <w:color w:val="000000"/>
          <w:sz w:val="20"/>
        </w:rPr>
      </w:pPr>
      <w:r>
        <w:rPr>
          <w:rFonts w:ascii="Arial" w:hAnsi="Arial"/>
          <w:color w:val="000000"/>
          <w:sz w:val="20"/>
        </w:rPr>
        <w:t>On April 12, 2022, we received notification of a Pre-Grant Opposition from the Controller General of Patents, Designs, and Trademarks at the Indian Patent Office. The Opposition was filed by Sankalp Rehabilitation Trust and challenged our pending patent claims to AT-511 or a pharmaceutically acceptable salt thereof. In February 2023, we responded to this Pre-Grant Opposition. We are currently awaiting further action on this matter by the Indian Patent Office. In addition to the Pre-Grant Opposition related to AT-511 or a pharmaceutically acceptable salt thereof (which bemnifosbuvir would fall under), we received notification of a second Pre-Grant Opposition filed by the Sankalp Rehabilitation Trust. This second Pre-Grant Opposition challenges our pending patent claims to bemnifosbuvir. In October 2023, we responded to this second Pre-Grant Opposition. A hearing on the matter was held in April 2024. In June 2024, the Indian Patent Office issued a decision refusing the claims to bemnifosbuvir on the basis that a new salt of a known compound is not patentable under section 3(d) of the Indian Patent Act. This decision was not appealed. While we intend to vigorously defend our patent claims on AT-511 or a pharmaceutically acceptable salt thereof and their use to treat HCV in India, we cannot guarantee that the Indian Patent Office will decide in our favor with respect to the pending Pre-Grant Opposition and allow our patent claims to AT-511 or a pharmaceutically acceptable salt thereof (which bemnifosbuvir would fall under). In addition, Pre-Grant Oppositions in India can proceed very slowly, and therefore these proceedings may not be resolved for several years. Our patent applications will not issue as a patent on AT-511 or a pharmaceutically acceptable salt thereof or their use to treat HCV in India unless and until the Pre-Grant Opposition is resolved in our favor. If it is not resolved in our favor, we may not receive patents on AT-511, bemnifosbuvir or their use to treat HCV in India. Further, there is no guarantee that other companies will not also file Pre-Grant Opposition Proceedings, or if the patent issues, one or more Post-Grant Oppositions, challenging our patent rights in AT-511.</w:t>
      </w:r>
    </w:p>
    <w:p>
      <w:pPr>
        <w:pStyle w:val="TextBody"/>
        <w:bidi w:val="0"/>
        <w:spacing w:before="240" w:after="283"/>
        <w:jc w:val="left"/>
        <w:rPr>
          <w:rFonts w:ascii="Arial" w:hAnsi="Arial"/>
          <w:sz w:val="20"/>
        </w:rPr>
      </w:pPr>
      <w:r>
        <w:rPr>
          <w:rFonts w:ascii="Arial" w:hAnsi="Arial"/>
          <w:b/>
          <w:i/>
          <w:color w:val="000000"/>
          <w:sz w:val="20"/>
        </w:rPr>
        <w:t>Changes in patent laws and enforcement by courts and other authorities in the US and other jurisdictions may impact our ability to protect our patents.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The US Supreme Court and lower courts have issued opinions in patent cases in the last few years that many consider may weaken patent protection in the US, either by narrowing the scope of patent protection available in certain circumstances, holding that certain kinds of innovations are not patentable or generally otherwise making it easier to invalidate patents in court.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and other bodies in other countries, the laws and regulations governing patents could change in unpredictable ways that would weaken our ability to obtain new patents or to enforce and defend our existing patents and patents that we might obtain in the future. </w:t>
      </w:r>
    </w:p>
    <w:p>
      <w:pPr>
        <w:pStyle w:val="TextBody"/>
        <w:bidi w:val="0"/>
        <w:spacing w:before="120" w:after="283"/>
        <w:jc w:val="left"/>
        <w:rPr>
          <w:rFonts w:ascii="Arial" w:hAnsi="Arial"/>
          <w:color w:val="000000"/>
          <w:sz w:val="20"/>
        </w:rPr>
      </w:pPr>
      <w:r>
        <w:rPr>
          <w:rFonts w:ascii="Arial" w:hAnsi="Arial"/>
          <w:color w:val="000000"/>
          <w:sz w:val="20"/>
        </w:rPr>
        <w:t xml:space="preserve">In June 2023, the European Unitary Patent system and the European Unified Patent Court (“UPC”) were launched. European patentees now have the option, upon grant of a patent, of obtaining a Unitary Patent which is subject to the jurisdiction of the UPC, or nationalizing the patent directly in one or all European countries that are members of the EPO. In addition, conventional European patents, both already granted at the time the new system began and granted thereafter, are subject to the jurisdiction of the UPC, unless actively opted out. This was a significant change in European patent practice. Deciding whether to opt-in or opt-out of Unitary Patent practice entails strategic and cost considerations. The UPC provides our competitors with a new forum to centrally revoke our European patents and makes it possible for a competitor to obtain pan-European injunctions against us. It will be several years before we will understand the scope of patent rights that will be recognized and the </w:t>
      </w:r>
    </w:p>
    <w:p>
      <w:pPr>
        <w:pStyle w:val="TextBody"/>
        <w:bidi w:val="0"/>
        <w:spacing w:before="24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strength of patent remedies that will be provided by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pStyle w:val="TextBody"/>
        <w:bidi w:val="0"/>
        <w:spacing w:before="120" w:after="283"/>
        <w:jc w:val="left"/>
        <w:rPr>
          <w:rFonts w:ascii="Arial" w:hAnsi="Arial"/>
          <w:color w:val="000000"/>
          <w:sz w:val="20"/>
        </w:rPr>
      </w:pPr>
      <w:r>
        <w:rPr>
          <w:rFonts w:ascii="Arial" w:hAnsi="Arial"/>
          <w:color w:val="000000"/>
          <w:sz w:val="20"/>
        </w:rPr>
        <w:t>The laws of some foreign jurisdictions do not protect intellectual property rights to the same extent as in the US and many companies have encountered significant difficulties in protecting and defending such rights in foreign jurisdictions. If we encounter such difficulties in protecting or are otherwise precluded from effectively protecting our intellectual property rights in foreign jurisdictions, our ability to compete and our business prospects in such marketplaces could be substantially harmed. For example, we have been notified that a Pre-Grant Opposition has been filed with the Controller General of Patents, Designs and Trademarks at the Indian Patent Office relating to our pending patent claims to AT-511 or a pharmaceutically acceptable salt thereof (which claim bemnifosbuvir would fall under) and its use to treat HCV in India. While we intend to defend our patent claims for AT-511 or a pharmaceutically acceptable salt thereof (which claim bemnifosbuvir would fall under) and its use to treat HCV, we cannot provide any assurance that we will succeed or that the Indian patent office will allow the patent claims to grant. A second Pre-Grant Opposition relating to patent claims to bemnifosbuvir was filed in September 2022. We responded to this second Pre-Grant Opposition in October 2023, and a hearing was held in April 2024. On June 3, 2024, the Indian patent office refused our claims to bemnifosbuvir on the basis that a new salt of a known compound is not patentable under section 3(d) of the Indian Patent Act. This decision was not appealed. While we intend to defend our patent claims for AT-511, or a pharmaceutically acceptable salt thereof (which bemnifosbuvir would fall under) and its use to treat HCV, we cannot provide any assurance that we will succeed or that the Indian patent office will allow the patent claims to grant. The cost of foreign adversarial proceedings can also be substantial, and in many foreign jurisdictions, the losing party must pay the attorney fees of the winning party.</w:t>
      </w:r>
    </w:p>
    <w:p>
      <w:pPr>
        <w:pStyle w:val="TextBody"/>
        <w:bidi w:val="0"/>
        <w:spacing w:before="240" w:after="283"/>
        <w:jc w:val="left"/>
        <w:rPr>
          <w:rFonts w:ascii="Arial" w:hAnsi="Arial"/>
          <w:sz w:val="20"/>
        </w:rPr>
      </w:pPr>
      <w:r>
        <w:rPr>
          <w:rFonts w:ascii="Arial" w:hAnsi="Arial"/>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The USPTO, EPO and other patent agencies require compliance with a number of procedural, documentary, fee payment and other similar provisions during the patent application process. Periodic maintenance fees, renewal fees, annuity fees and various other governmental fees on patents and/or applications will be due to be paid to the USPTO and various governmental patent agencies outside of the US in several stages over the lifetime of the patents and/or applications. We have systems in place to remind us to pay these fees, and we employ an outside firm and rely on our outside counsel to pay such fees due to non-US patent agencies. While, in many cases, an inadvertent lapse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or other third parties might be able to enter the market with similar or identical products or technology, which could have a material adverse effect on our business, financial condition, results of operations, and prospects. </w:t>
      </w:r>
    </w:p>
    <w:p>
      <w:pPr>
        <w:pStyle w:val="TextBody"/>
        <w:bidi w:val="0"/>
        <w:spacing w:before="240" w:after="283"/>
        <w:jc w:val="left"/>
        <w:rPr>
          <w:rFonts w:ascii="Arial" w:hAnsi="Arial"/>
          <w:sz w:val="20"/>
        </w:rPr>
      </w:pPr>
      <w:r>
        <w:rPr>
          <w:rFonts w:ascii="Arial" w:hAnsi="Arial"/>
          <w:b/>
          <w:i/>
          <w:color w:val="000000"/>
          <w:sz w:val="20"/>
        </w:rPr>
        <w:t>We may not be able to enforce our intellectual property rights throughout the world.</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Filing, prosecuting and defending patents on our product candidates in all countries throughout the world may be prohibitively expensive. Therefore, we may choose not to pursue or maintain protection for certain intellectual property in certain jurisdictions. The requirements for patentability may differ in certain countries, particularly in developing countries. Competitors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US. These products may compete with our products in jurisdictions where we do not have any issued or licensed patents and any future patent claims or other intellectual property rights may not be effective or sufficient to prevent them from so competing. </w:t>
      </w:r>
    </w:p>
    <w:p>
      <w:pPr>
        <w:pStyle w:val="TextBody"/>
        <w:bidi w:val="0"/>
        <w:spacing w:before="120" w:after="283"/>
        <w:jc w:val="left"/>
        <w:rPr>
          <w:rFonts w:ascii="Arial" w:hAnsi="Arial"/>
          <w:color w:val="000000"/>
          <w:sz w:val="20"/>
        </w:rPr>
      </w:pPr>
      <w:r>
        <w:rPr>
          <w:rFonts w:ascii="Arial" w:hAnsi="Arial"/>
          <w:color w:val="000000"/>
          <w:sz w:val="20"/>
        </w:rPr>
        <w:t xml:space="preserve">Moreover, our ability to protect and enforce our intellectual property rights may be adversely affected by changes in foreign intellectual property laws. Additionally, laws of some countries outside of the US and Europe do not afford intellectual property protection to the same extent as the laws of the US and Europe. Many companies have encountered significant problems in protecting and defending intellectual property rights in certain foreign jurisdictions. The legal systems of some countries, including India, China and other developing countries, may not favor the enforcement of our patents and other intellectual property rights. </w:t>
      </w:r>
    </w:p>
    <w:p>
      <w:pPr>
        <w:pStyle w:val="TextBody"/>
        <w:bidi w:val="0"/>
        <w:spacing w:before="24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This could make it difficult for us to stop the infringement of our patents or the misappropriation or other violation of our other intellectual property rights. A number of foreign countries have stated that they are willing to issue compulsory licenses to patents held by innovator companies on approved drugs to allow the government or one or more third-party companies to sell the approved drug without the permission of the innovator patentee where the foreign government concludes it is in the public interest. India, for example, has used such a procedure to allow domestic companies to make and sell patented drugs without innovator approval. There is no guarantee that patents covering any of our drugs will not be subject to a compulsory license in a foreign country, or that we will have any influence over if or how such a compulsory license is granted. Further, Brazil allows its regulatory agency ANVISA to participate in deciding whether to grant a drug patent in Brazil, and patent grant decisions are made based on several factors, including whether the patent meets the requirements for a patent and whether such a patent is deemed in the country’s interest. In addition, several other countries have created laws that make it more difficult to enforce drug patents than patents on other kinds of technologies. Further, under the treaty on the Trade-Related Aspects of Intellectual Property, as interpreted by the Doha Declaration, countries in which drugs are manufactured are required to allow exportation of the drug to a developing country that lacks adequate manufacturing capability. Therefore, our drug markets in the US or foreign countries may be affected by the influence of current public policy on patent issuance, enforcement or involuntary licensing in the healthcare area. </w:t>
      </w:r>
    </w:p>
    <w:p>
      <w:pPr>
        <w:pStyle w:val="TextBody"/>
        <w:bidi w:val="0"/>
        <w:spacing w:before="240" w:after="283"/>
        <w:jc w:val="left"/>
        <w:rPr>
          <w:rFonts w:ascii="Arial" w:hAnsi="Arial"/>
          <w:sz w:val="20"/>
        </w:rPr>
      </w:pPr>
      <w:r>
        <w:rPr>
          <w:rFonts w:ascii="Arial" w:hAnsi="Arial"/>
          <w:b/>
          <w:i/>
          <w:color w:val="000000"/>
          <w:sz w:val="20"/>
        </w:rPr>
        <w:t>We rely on our ability to stop others from competing by enforcing our patents, however some jurisdictions may require us to grant licenses to third parties. Such compulsory licenses could be extended to include some of our product candidates, which may limit our potential revenue opportunities.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Many foreign countries have compulsory licensing laws under which a patent owner must grant licenses to third parties, in certain circumstances. For example, compulsory licensing, or the threat of compulsory licensing, of life-saving products and expensive products is becoming increasingly popular in developing countries, either through direct legislation or international initiatives. Compulsory licenses could be extended to include some of our product candidates, if they receive marketing approval, which may limit our potential revenue opportunities. Consequently, we may not be able to prevent third parties from practicing our inventions in certain countries outside the US and Europe. Competitors may also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 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where such patent rights exist, we cannot ensure that we will be able to initiate or maintain similar efforts in all jurisdictions in which we may wish to market our products. Accordingly, our efforts to protect our intellectual property rights in such countries may be inadequate. </w:t>
      </w:r>
    </w:p>
    <w:p>
      <w:pPr>
        <w:pStyle w:val="TextBody"/>
        <w:bidi w:val="0"/>
        <w:spacing w:before="120" w:after="283"/>
        <w:jc w:val="left"/>
        <w:rPr>
          <w:rFonts w:ascii="Arial" w:hAnsi="Arial"/>
          <w:color w:val="000000"/>
          <w:sz w:val="20"/>
        </w:rPr>
      </w:pPr>
      <w:r>
        <w:rPr>
          <w:rFonts w:ascii="Arial" w:hAnsi="Arial"/>
          <w:color w:val="000000"/>
          <w:sz w:val="20"/>
        </w:rPr>
        <w:t xml:space="preserve">In addition, some countries limit the enforceability of patents against government agencies or government contractors. In these countries, the patent owner may be limited to monetary relief and may be unable to enjoin infringement if a government is the infringer, which could materially diminish the value of the patent. </w:t>
      </w:r>
    </w:p>
    <w:p>
      <w:pPr>
        <w:pStyle w:val="TextBody"/>
        <w:bidi w:val="0"/>
        <w:spacing w:before="240" w:after="283"/>
        <w:jc w:val="left"/>
        <w:rPr>
          <w:rFonts w:ascii="Arial" w:hAnsi="Arial"/>
          <w:sz w:val="20"/>
        </w:rPr>
      </w:pPr>
      <w:r>
        <w:rPr>
          <w:rFonts w:ascii="Arial" w:hAnsi="Arial"/>
          <w:b/>
          <w:i/>
          <w:color w:val="000000"/>
          <w:sz w:val="20"/>
        </w:rPr>
        <w:t>If we are unable to protect the confidentiality of our trade secrets, our business and competitive position would be harmed.</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In addition to the protection afforded by patents, we rely on trade secret protection and confidentiality agreements to protect proprietary know-how that is either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parties who have access to them, such as our employees, CROs, consultants, scientific advisors and other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our trade secrets could be disclosed, and we may not have adequate remedies for any such breach. Enforcing a claim that a party illegally disclosed or misappropriated a trade secret is difficult, expensive and time-consuming, and the outcome is unpredictable. In addition, some courts inside and outside the US are less willing or unwilling to protect trade secrets. Misappropriation or unauthorized disclosure of our trade secrets </w:t>
      </w:r>
    </w:p>
    <w:p>
      <w:pPr>
        <w:pStyle w:val="TextBody"/>
        <w:bidi w:val="0"/>
        <w:spacing w:before="24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or other confidential proprietary information could cause us to lose trade secret protection, impair our competitive position and have a material adverse effect on our business. Additionally, if the steps taken to maintain our trade secrets or other confidential proprietary information are deemed inadequate, we may have insufficient recourse against third parties for misappropriating the trade secret or other confidential proprietary information. </w:t>
      </w:r>
    </w:p>
    <w:p>
      <w:pPr>
        <w:pStyle w:val="TextBody"/>
        <w:bidi w:val="0"/>
        <w:spacing w:before="120" w:after="283"/>
        <w:jc w:val="left"/>
        <w:rPr>
          <w:rFonts w:ascii="Arial" w:hAnsi="Arial"/>
          <w:color w:val="000000"/>
          <w:sz w:val="20"/>
        </w:rPr>
      </w:pPr>
      <w:r>
        <w:rPr>
          <w:rFonts w:ascii="Arial" w:hAnsi="Arial"/>
          <w:color w:val="000000"/>
          <w:sz w:val="20"/>
        </w:rPr>
        <w:t xml:space="preserve">Further, we cannot provide any assurances that competitors or other third parties will not otherwise gain access to our trade secrets and other confidential proprietary information or independently discover or develop substantially equivalent technology and processes. If we are unable to prevent disclosure of the trade secrets and other non-patented intellectual property related to our product candidates and technologies to third parties, there is no guarantee that we will have any such enforceable trade secret protection and we may not be able to establish or maintain a competitive advantage in our market, which could materially adversely affect our business, results of operations and financial condition. </w:t>
      </w:r>
    </w:p>
    <w:p>
      <w:pPr>
        <w:pStyle w:val="TextBody"/>
        <w:bidi w:val="0"/>
        <w:spacing w:before="240" w:after="283"/>
        <w:jc w:val="left"/>
        <w:rPr>
          <w:rFonts w:ascii="Arial" w:hAnsi="Arial"/>
          <w:sz w:val="20"/>
        </w:rPr>
      </w:pPr>
      <w:r>
        <w:rPr>
          <w:rFonts w:ascii="Arial" w:hAnsi="Arial"/>
          <w:b/>
          <w:i/>
          <w:color w:val="000000"/>
          <w:sz w:val="20"/>
        </w:rPr>
        <w:t>We may be subject to claims that our employees, consultants or independent contractors have wrongfully used or disclosed confidential information of third parties, that our employees have wrongfully used or disclosed alleged trade secrets of their former employers, or asserting ownership of what we regard as our own intellectual property.</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have employed, and may in the future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such individuals’ former employers or other third parties. Litigation may be necessary to defend against these claims. If we fail in defending any such claims, in addition to paying monetary damages, we may lose valuable intellectual property rights or personnel, or our ability to hire personnel, which, in any case of the foregoing, could adversely impact our business. Even if we are successful in defending against such claims, litigation could result in substantial costs and be a distraction to management and other employees. </w:t>
      </w:r>
    </w:p>
    <w:p>
      <w:pPr>
        <w:pStyle w:val="TextBody"/>
        <w:bidi w:val="0"/>
        <w:spacing w:before="120" w:after="283"/>
        <w:jc w:val="left"/>
        <w:rPr>
          <w:rFonts w:ascii="Arial" w:hAnsi="Arial"/>
          <w:color w:val="000000"/>
          <w:sz w:val="20"/>
        </w:rPr>
      </w:pPr>
      <w:r>
        <w:rPr>
          <w:rFonts w:ascii="Arial" w:hAnsi="Arial"/>
          <w:color w:val="000000"/>
          <w:sz w:val="20"/>
        </w:rPr>
        <w:t xml:space="preserve">Although it is our policy to require all of our employees and consultants to assign their inventions to us, to the extent that employees or consultants use intellectual property owned by others in their work for us, disputes may arise as to the rights in related or resulting know-how and inventions. We may also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t>
      </w:r>
    </w:p>
    <w:p>
      <w:pPr>
        <w:pStyle w:val="TextBody"/>
        <w:bidi w:val="0"/>
        <w:spacing w:before="240" w:after="283"/>
        <w:jc w:val="left"/>
        <w:rPr>
          <w:rFonts w:ascii="Arial" w:hAnsi="Arial"/>
          <w:sz w:val="20"/>
        </w:rPr>
      </w:pPr>
      <w:r>
        <w:rPr>
          <w:rFonts w:ascii="Arial" w:hAnsi="Arial"/>
          <w:b/>
          <w:i/>
          <w:color w:val="000000"/>
          <w:sz w:val="20"/>
        </w:rPr>
        <w:t>Our proprietary rights may not adequately protect our technologies and product candidates, and intellectual property rights do not necessarily address all potential threats to our competitive advantage.</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others may be able to make products that are the same as or similar to our product candidates but that are not covered by the claims of our patents;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others, including inventors or developers of our patented technologies who may become involved with competitors, may independently develop similar technologies that function as alternatives or replacements for any of our technologies without infringing, misappropriating or otherwise violating our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might not have been the first to conceive and reduce to practice the inventions covered by our patents or patent applications;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might not have been the first to file patent applications covering certain of our inventions;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may choose not to file a patent in order to maintain certain trade secrets or know-how, and a third-party may subsequently file a patent covering such intellectual property;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pending patent applications might not result in issued patents; </w:t>
      </w:r>
    </w:p>
    <w:p>
      <w:pPr>
        <w:pStyle w:val="TextBody"/>
        <w:bidi w:val="0"/>
        <w:spacing w:before="24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there might be prior public disclosures that could invalidate our patents;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issued patents may not provide us with any commercially viable products or competitive advantage, or may be held invalid or unenforceable, as a result of legal challenges by our competitors or other third parties;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Supreme Court of the US, other US federal courts, Congress, the USPTO or similar foreign authorities may change the standards of patentability and any such changes could narrow or invalidate, or change the scope of, our patents;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patent terms may be inadequate to protect our competitive position on our product candidates for an adequate amount of time;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competitors or other third parties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ownership, validity or enforceability of our patents or patent applications may be challenged by third parties;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patents or pending or future applications of third parties, if issued, may have an adverse effect on our business. </w:t>
      </w:r>
    </w:p>
    <w:p>
      <w:pPr>
        <w:pStyle w:val="TextBody"/>
        <w:bidi w:val="0"/>
        <w:spacing w:before="120" w:after="283"/>
        <w:jc w:val="left"/>
        <w:rPr>
          <w:rFonts w:ascii="Arial" w:hAnsi="Arial"/>
          <w:color w:val="000000"/>
          <w:sz w:val="20"/>
        </w:rPr>
      </w:pPr>
      <w:r>
        <w:rPr>
          <w:rFonts w:ascii="Arial" w:hAnsi="Arial"/>
          <w:color w:val="000000"/>
          <w:sz w:val="20"/>
        </w:rPr>
        <w:t xml:space="preserve">Should any of these events occur, they could have a material adverse effect on our business, financial condition, results of operations, and prospects. </w:t>
      </w:r>
    </w:p>
    <w:p>
      <w:pPr>
        <w:pStyle w:val="TextBody"/>
        <w:bidi w:val="0"/>
        <w:spacing w:before="240" w:after="283"/>
        <w:jc w:val="left"/>
        <w:rPr>
          <w:rFonts w:ascii="Arial" w:hAnsi="Arial"/>
          <w:sz w:val="20"/>
        </w:rPr>
      </w:pPr>
      <w:r>
        <w:rPr>
          <w:rFonts w:ascii="Arial" w:hAnsi="Arial"/>
          <w:b/>
          <w:color w:val="000000"/>
          <w:sz w:val="20"/>
        </w:rPr>
        <w:t>Risks Related to Employee Matters, Managing Operations and Other Risks Related to Our Business</w:t>
      </w:r>
      <w:r>
        <w:rPr>
          <w:rFonts w:ascii="Arial" w:hAnsi="Arial"/>
          <w:color w:val="000000"/>
          <w:sz w:val="20"/>
        </w:rPr>
        <w:t xml:space="preserve"> </w:t>
      </w:r>
    </w:p>
    <w:p>
      <w:pPr>
        <w:pStyle w:val="TextBody"/>
        <w:bidi w:val="0"/>
        <w:spacing w:before="240" w:after="283"/>
        <w:jc w:val="both"/>
        <w:rPr>
          <w:rFonts w:ascii="Arial" w:hAnsi="Arial"/>
          <w:sz w:val="20"/>
        </w:rPr>
      </w:pPr>
      <w:r>
        <w:rPr>
          <w:rFonts w:ascii="Arial" w:hAnsi="Arial"/>
          <w:b/>
          <w:i/>
          <w:color w:val="000000"/>
          <w:sz w:val="20"/>
        </w:rPr>
        <w:t>We may be unable to realize expected benefits from our cost reduction efforts and our business might be adversely affected.</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 xml:space="preserve">In the first quarter of 2025, in order to reduce costs and support longer term business sustainability, we implemented a reduction in our workforce. </w:t>
      </w:r>
    </w:p>
    <w:p>
      <w:pPr>
        <w:pStyle w:val="TextBody"/>
        <w:bidi w:val="0"/>
        <w:jc w:val="both"/>
        <w:rPr>
          <w:rFonts w:ascii="Arial" w:hAnsi="Arial"/>
          <w:color w:val="000000"/>
          <w:sz w:val="20"/>
        </w:rPr>
      </w:pPr>
      <w:r>
        <w:rPr>
          <w:rFonts w:ascii="Arial" w:hAnsi="Arial"/>
          <w:color w:val="000000"/>
          <w:sz w:val="20"/>
        </w:rPr>
        <w:t>These types of cost reduction activities are complex and may result in unintended consequences and costs. For example, the duties and obligations of the employees terminated as a result of the workforce reduction have been distributed and assumed among our remaining employees. As a result of this increase in responsibilities for our current employees, this reduction in workforce could make it more difficult for us to pursue, or prevent us from pursuing, new opportunities and initiatives due to insufficient personnel, or require us to incur additional and unanticipated costs to hire new personnel to pursue such opportunities or initiatives. If we do not successfully manage our current initiatives or any other similar activities that we may undertake in the future, expected efficiencies and benefits might be delayed or not realized, and our business, financial condition, and results of operations may be materially adversely affected.</w:t>
      </w:r>
    </w:p>
    <w:p>
      <w:pPr>
        <w:pStyle w:val="TextBody"/>
        <w:bidi w:val="0"/>
        <w:spacing w:before="240" w:after="283"/>
        <w:jc w:val="left"/>
        <w:rPr>
          <w:rFonts w:ascii="Arial" w:hAnsi="Arial"/>
          <w:sz w:val="20"/>
        </w:rPr>
      </w:pPr>
      <w:r>
        <w:rPr>
          <w:rFonts w:ascii="Arial" w:hAnsi="Arial"/>
          <w:b/>
          <w:i/>
          <w:color w:val="000000"/>
          <w:sz w:val="20"/>
        </w:rPr>
        <w:t>Our future success depends upon our ability to retain officers, directors and key employees and attract, retain and motivate qualified personnel.</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are highly dependent on our officers, directors and key employees. Due to the specialized knowledge each of our officers, directors and key employees possesses with respect to our product candidates and our operations, the loss of service of any of one or more of our officers, directors or key employees could seriously delay, harm or prevent the planning and execution of clinical trials and other key activities required for the successful advancement of our business. Although we have employment agreements with our executive officers, in general, these agreements do not prevent our executive officers from terminating their employment with us at any time. </w:t>
      </w:r>
    </w:p>
    <w:p>
      <w:pPr>
        <w:pStyle w:val="TextBody"/>
        <w:bidi w:val="0"/>
        <w:spacing w:before="120" w:after="283"/>
        <w:jc w:val="left"/>
        <w:rPr>
          <w:rFonts w:ascii="Arial" w:hAnsi="Arial"/>
          <w:color w:val="000000"/>
          <w:sz w:val="20"/>
        </w:rPr>
      </w:pPr>
      <w:r>
        <w:rPr>
          <w:rFonts w:ascii="Arial" w:hAnsi="Arial"/>
          <w:color w:val="000000"/>
          <w:sz w:val="20"/>
        </w:rPr>
        <w:t xml:space="preserve">We do not carry key person life insurance on any officers or directors. </w:t>
      </w:r>
    </w:p>
    <w:p>
      <w:pPr>
        <w:pStyle w:val="TextBody"/>
        <w:bidi w:val="0"/>
        <w:spacing w:before="120" w:after="283"/>
        <w:jc w:val="left"/>
        <w:rPr>
          <w:rFonts w:ascii="Arial" w:hAnsi="Arial"/>
          <w:color w:val="000000"/>
          <w:sz w:val="20"/>
        </w:rPr>
      </w:pPr>
      <w:r>
        <w:rPr>
          <w:rFonts w:ascii="Arial" w:hAnsi="Arial"/>
          <w:color w:val="000000"/>
          <w:sz w:val="20"/>
        </w:rPr>
        <w:t xml:space="preserve">Retaining qualified scientific, clinical and manufacturing personnel as well as recruiting qualified sales and marketing personnel if we elect to establish our own commercial organization will be critical to our success. Our ability to identify, hire and retain additional personnel and, if necessary, replace departed executive officers and key employees may be difficult or costly and may take an extended period of time because of the limited number of individuals in our industry with the breadth of skills and experience required to discover or otherwise identify and develop product candidates and gain regulatory approval of and commercialize products successfully. </w:t>
      </w:r>
    </w:p>
    <w:p>
      <w:pPr>
        <w:pStyle w:val="TextBody"/>
        <w:bidi w:val="0"/>
        <w:spacing w:before="24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Competition to hire from this limited pool is intense, and we may be unable to hire, train, retain or effectively incentivize these additional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engaged by entities other than us and may have commitments under consulting or advisory contracts with other entities that may limit their availability to us. </w:t>
      </w:r>
    </w:p>
    <w:p>
      <w:pPr>
        <w:pStyle w:val="TextBody"/>
        <w:bidi w:val="0"/>
        <w:spacing w:before="120" w:after="283"/>
        <w:jc w:val="left"/>
        <w:rPr>
          <w:rFonts w:ascii="Arial" w:hAnsi="Arial"/>
          <w:color w:val="000000"/>
          <w:sz w:val="20"/>
        </w:rPr>
      </w:pPr>
      <w:r>
        <w:rPr>
          <w:rFonts w:ascii="Arial" w:hAnsi="Arial"/>
          <w:color w:val="000000"/>
          <w:sz w:val="20"/>
        </w:rPr>
        <w:t xml:space="preserve">Our reduction in force in January 2025 may make it more difficult for us to hire qualified personnel in the future. If we seek to hire but are unable to attract such additional personnel, our ability to develop and commercialize product candidates will be limited. </w:t>
      </w:r>
    </w:p>
    <w:p>
      <w:pPr>
        <w:pStyle w:val="TextBody"/>
        <w:bidi w:val="0"/>
        <w:spacing w:before="240" w:after="283"/>
        <w:jc w:val="left"/>
        <w:rPr>
          <w:rFonts w:ascii="Arial" w:hAnsi="Arial"/>
          <w:b/>
          <w:i/>
          <w:color w:val="000000"/>
          <w:sz w:val="20"/>
        </w:rPr>
      </w:pPr>
      <w:r>
        <w:rPr>
          <w:rFonts w:ascii="Arial" w:hAnsi="Arial"/>
          <w:b/>
          <w:i/>
          <w:color w:val="000000"/>
          <w:sz w:val="20"/>
        </w:rPr>
        <w:t>We rely on consultants, advisors and third parties for the performance of critical aspects of our business operations.</w:t>
      </w:r>
    </w:p>
    <w:p>
      <w:pPr>
        <w:pStyle w:val="TextBody"/>
        <w:bidi w:val="0"/>
        <w:spacing w:before="120" w:after="283"/>
        <w:jc w:val="left"/>
        <w:rPr>
          <w:rFonts w:ascii="Arial" w:hAnsi="Arial"/>
          <w:color w:val="000000"/>
          <w:sz w:val="20"/>
        </w:rPr>
      </w:pPr>
      <w:r>
        <w:rPr>
          <w:rFonts w:ascii="Arial" w:hAnsi="Arial"/>
          <w:color w:val="000000"/>
          <w:sz w:val="20"/>
        </w:rPr>
        <w:t xml:space="preserve">We currently rely, and for the foreseeable future will continue to rely, in substantial part on certain independent organizations, advisors and consultants to assist us in formulating our research and development and commercialization strategy and to provide certain services, including substantially all aspects of clinical trial conduct and execution, international regulatory affairs activities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independent organizations, advisors or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independent organizations, advisors or consultants or find other competent outside independent organizations, advisors and consultants on economically reasonable terms, or at all. If we are not able to effectively expand our organization by hiring new employees and expanding our groups of advisors and consultants, or we are not able to effectively maintain or obtain facilities to accommodate this expansion, we may not be able to successfully implement the tasks necessary to further develop and commercialize our product candidates and, accordingly, may not achieve our research, development and commercialization goals. </w:t>
      </w:r>
    </w:p>
    <w:p>
      <w:pPr>
        <w:pStyle w:val="TextBody"/>
        <w:bidi w:val="0"/>
        <w:spacing w:before="240" w:after="283"/>
        <w:jc w:val="left"/>
        <w:rPr>
          <w:rFonts w:ascii="Arial" w:hAnsi="Arial"/>
          <w:b/>
          <w:i/>
          <w:color w:val="000000"/>
          <w:sz w:val="20"/>
        </w:rPr>
      </w:pPr>
      <w:r>
        <w:rPr>
          <w:rFonts w:ascii="Arial" w:hAnsi="Arial"/>
          <w:b/>
          <w:i/>
          <w:color w:val="000000"/>
          <w:sz w:val="20"/>
        </w:rPr>
        <w:t>Unstable market and economic conditions may have serious adverse consequences on our business, financial condition and share price.</w:t>
      </w:r>
    </w:p>
    <w:p>
      <w:pPr>
        <w:pStyle w:val="TextBody"/>
        <w:bidi w:val="0"/>
        <w:spacing w:before="120" w:after="283"/>
        <w:jc w:val="left"/>
        <w:rPr>
          <w:rFonts w:ascii="Arial" w:hAnsi="Arial"/>
          <w:color w:val="000000"/>
          <w:sz w:val="20"/>
        </w:rPr>
      </w:pPr>
      <w:r>
        <w:rPr>
          <w:rFonts w:ascii="Arial" w:hAnsi="Arial"/>
          <w:color w:val="000000"/>
          <w:sz w:val="20"/>
        </w:rPr>
        <w:t xml:space="preserve">The global economy, including credit and financial markets, has recently experienced extreme volatility and disruptions, including severely diminished liquidity and credit availability, declines in consumer confidence, declines in economic growth, increases in unemployment rates, increases in interest rates, increases in inflation rates and uncertainty about economic stability. For example, the COVID-19 pandemic resulted in widespread unemployment, economic slowdown and extreme volatility in the capital markets. Similarly, international conflicts, terrorism and political instability have created extreme volatility in the capital markets. These conditions may make any necessary debt or equity financing more difficult to obtain in a timely manner or on favorable terms, more costly or more dilutive. In addition, there is a risk that one or more of our CROs, suppliers, CMOs or other third-party providers may not survive an economic downturn. As a result, our business, results of operations and price of our common stock may be adversely affected. </w:t>
      </w:r>
    </w:p>
    <w:p>
      <w:pPr>
        <w:pStyle w:val="TextBody"/>
        <w:bidi w:val="0"/>
        <w:spacing w:before="240" w:after="283"/>
        <w:jc w:val="left"/>
        <w:rPr>
          <w:rFonts w:ascii="Arial" w:hAnsi="Arial"/>
          <w:b/>
          <w:i/>
          <w:color w:val="000000"/>
          <w:sz w:val="20"/>
        </w:rPr>
      </w:pPr>
      <w:r>
        <w:rPr>
          <w:rFonts w:ascii="Arial" w:hAnsi="Arial"/>
          <w:b/>
          <w:i/>
          <w:color w:val="000000"/>
          <w:sz w:val="20"/>
        </w:rPr>
        <w:t>Our business could face adverse consequences as a result of the actions of activist shareholders.</w:t>
      </w:r>
    </w:p>
    <w:p>
      <w:pPr>
        <w:pStyle w:val="TextBody"/>
        <w:bidi w:val="0"/>
        <w:spacing w:before="120" w:after="283"/>
        <w:jc w:val="left"/>
        <w:rPr>
          <w:rFonts w:ascii="Arial" w:hAnsi="Arial"/>
          <w:color w:val="000000"/>
          <w:sz w:val="20"/>
        </w:rPr>
      </w:pPr>
      <w:r>
        <w:rPr>
          <w:rFonts w:ascii="Arial" w:hAnsi="Arial"/>
          <w:color w:val="000000"/>
          <w:sz w:val="20"/>
        </w:rPr>
        <w:t xml:space="preserve">We have been in the past and may in the future be subject to unsolicited attempts to gain control of our company, proxy contests, and other forms of shareholder activism. When a stockholder, by itself or in conjunction with other stockholders or as part of a group, engages in activist activities with respect to us, our business could be adversely affected because responding to an unsolicited offer, proxy contest or other actions by activist stockholders can be costly and time-consuming, disruptive to our operations and divert the attention of management and our employees from the execution of our strategy. In addition, actual or perceived uncertainties as to our future direction caused by activist activities may cause or appear to cause instability, potentially making it more difficult to attract and retain qualified personnel and collaborators or leading to the loss of collaboration opportunities, and if individuals are elected to our board of directors with a specific agenda, it may adversely affect our ability to effectively and timely implement our strategic plans. Activist stockholder activities may also cause significant fluctuations in our stock price based on temporary or speculative market perceptions, or other factors that do not necessarily reflect the fundamental underlying value of our business. Finally, we might </w:t>
      </w:r>
    </w:p>
    <w:p>
      <w:pPr>
        <w:pStyle w:val="TextBody"/>
        <w:bidi w:val="0"/>
        <w:spacing w:before="24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experience a significant increase in legal fees and administrative and associated costs incurred in connection with responding to an unsolicited offer, proxy contest or related action. These actions could also negatively affect the price of our common stock. </w:t>
      </w:r>
    </w:p>
    <w:p>
      <w:pPr>
        <w:pStyle w:val="TextBody"/>
        <w:bidi w:val="0"/>
        <w:spacing w:before="240" w:after="283"/>
        <w:jc w:val="left"/>
        <w:rPr>
          <w:rFonts w:ascii="Arial" w:hAnsi="Arial"/>
          <w:sz w:val="20"/>
        </w:rPr>
      </w:pPr>
      <w:r>
        <w:rPr>
          <w:rFonts w:ascii="Arial" w:hAnsi="Arial"/>
          <w:b/>
          <w:color w:val="000000"/>
          <w:sz w:val="20"/>
        </w:rPr>
        <w:t>Risks Related to Our Common Stock</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b/>
          <w:i/>
          <w:color w:val="000000"/>
          <w:sz w:val="20"/>
        </w:rPr>
        <w:t>If securities or industry analysts do not publish research or reports about our business, or if they issue an adverse or misleading opinion regarding our stock, our stock price and trading volume could decline, even if our business is doing well.</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trading market for our common stock is influenced by the research and reports that industry or securities analysts publish about us or our business. We currently have limited research coverage by securities and industry analysts. If any of the analysts who cover us, or may cover us, downgrades our common stock or issues an adverse or misleading opinion regarding us, our business model, our intellectual property or our stock performance, or if our preclinical studies, clinical trials, commercial opportunity prospects or operating results fail to meet the expectations of analysts, our stock price would likely decline. If one or more of these analysts ceases coverage of us (which has recently occurred) or fails to publish reports on us regularly, we could lose visibility in the financial markets, which in turn could cause our stock price or trading volume to decline.</w:t>
      </w:r>
    </w:p>
    <w:p>
      <w:pPr>
        <w:pStyle w:val="TextBody"/>
        <w:bidi w:val="0"/>
        <w:spacing w:before="240" w:after="283"/>
        <w:jc w:val="left"/>
        <w:rPr>
          <w:rFonts w:ascii="Arial" w:hAnsi="Arial"/>
          <w:sz w:val="20"/>
        </w:rPr>
      </w:pPr>
      <w:r>
        <w:rPr>
          <w:rFonts w:ascii="Arial" w:hAnsi="Arial"/>
          <w:b/>
          <w:i/>
          <w:color w:val="000000"/>
          <w:sz w:val="20"/>
        </w:rPr>
        <w:t>Provisions in our restated certificate of incorporation and amended and restated bylaws and under Delaware law could make an acquisition of our Company, which may be beneficial to our stockholders, more difficult and may prevent attempts by our stockholders to replace or remove our current management.</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Provisions in our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may also limit the price that investors are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no cumulative voting in the election of directors, which limits the ability of minority stockholders to elect director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exclusive right of our board of directors to elect a director to fill a vacancy created by the expansion of the board of directors or the resignation, death or removal of a director, which prevents stockholders from filling vacancies on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ability of our board of directors to alter our bylaws without obtaining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required approval of the holders of at least two-thirds of the shares entitled to vote at an election of directors to adopt, amend or repeal our bylaws or repeal the provisions of our restated certificate of incorporation regarding the election and removal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prohibition on stockholder action by written consent, which forces stockholder action to be taken at an annual or special meeting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 </w:t>
      </w:r>
    </w:p>
    <w:p>
      <w:pPr>
        <w:pStyle w:val="TextBody"/>
        <w:bidi w:val="0"/>
        <w:spacing w:before="24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w:t>
      </w:r>
    </w:p>
    <w:p>
      <w:pPr>
        <w:pStyle w:val="TextBody"/>
        <w:bidi w:val="0"/>
        <w:spacing w:before="120" w:after="283"/>
        <w:jc w:val="left"/>
        <w:rPr>
          <w:rFonts w:ascii="Arial" w:hAnsi="Arial"/>
          <w:color w:val="000000"/>
          <w:sz w:val="20"/>
        </w:rPr>
      </w:pPr>
      <w:r>
        <w:rPr>
          <w:rFonts w:ascii="Arial" w:hAnsi="Arial"/>
          <w:color w:val="000000"/>
          <w:sz w:val="20"/>
        </w:rPr>
        <w:t xml:space="preserve">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before="240" w:after="283"/>
        <w:jc w:val="left"/>
        <w:rPr>
          <w:rFonts w:ascii="Arial" w:hAnsi="Arial"/>
          <w:sz w:val="20"/>
        </w:rPr>
      </w:pPr>
      <w:r>
        <w:rPr>
          <w:rFonts w:ascii="Arial" w:hAnsi="Arial"/>
          <w:b/>
          <w:i/>
          <w:color w:val="000000"/>
          <w:sz w:val="20"/>
        </w:rPr>
        <w:t>Our restated certificate of incorporation designates specific courts as the exclusive forum for certain litigation that may be initiated by our stockholders, which could limit our stockholders’ ability to obtain a favorable judicial forum for disputes with us.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other than suits brought to enforce any liability or duty created by the Securities Exchange Act of 1934, as amended (the "Exchange Act") or any other claim for which the federal courts have exclusive jurisdiction and any action that the Court of Chancery of the State of Delaware has dismissed for lack of subject matter jurisdiction, which may be brought in another state or federal court sitting in the State of Delaware. Our restated certificate of incorporation also specifies that unless we consent in writing to the selection of an alternate forum, the federal district courts of the US shall be the exclusive forum for the resolution of any complaint asserting a cause of action arising under the Securities Act of 1933, as amended (the “Securities Act”). Any person or entity purchasing or otherwise acquiring any interest in shares of our capital stock shall be deemed to have notice of and to have consented to the provisions of our restated certificate of incorporation described above. </w:t>
      </w:r>
    </w:p>
    <w:p>
      <w:pPr>
        <w:pStyle w:val="TextBody"/>
        <w:bidi w:val="0"/>
        <w:spacing w:before="120" w:after="283"/>
        <w:jc w:val="left"/>
        <w:rPr>
          <w:rFonts w:ascii="Arial" w:hAnsi="Arial"/>
          <w:color w:val="000000"/>
          <w:sz w:val="20"/>
        </w:rPr>
      </w:pPr>
      <w:r>
        <w:rPr>
          <w:rFonts w:ascii="Arial" w:hAnsi="Arial"/>
          <w:color w:val="000000"/>
          <w:sz w:val="20"/>
        </w:rPr>
        <w:t xml:space="preserve">We believe this provision benefits us by providing increased consistency in the application of Delaware law by chancellors particularly experienced in resolving corporate disputes or federal judges experienced in resolving Securities Act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 </w:t>
      </w:r>
    </w:p>
    <w:p>
      <w:pPr>
        <w:pStyle w:val="TextBody"/>
        <w:bidi w:val="0"/>
        <w:spacing w:before="240" w:after="283"/>
        <w:jc w:val="left"/>
        <w:rPr>
          <w:rFonts w:ascii="Arial" w:hAnsi="Arial"/>
          <w:b/>
          <w:color w:val="000000"/>
          <w:sz w:val="20"/>
        </w:rPr>
      </w:pPr>
      <w:r>
        <w:rPr>
          <w:rFonts w:ascii="Arial" w:hAnsi="Arial"/>
          <w:b/>
          <w:color w:val="000000"/>
          <w:sz w:val="20"/>
        </w:rPr>
        <w:t>General Risk Factors</w:t>
      </w:r>
    </w:p>
    <w:p>
      <w:pPr>
        <w:pStyle w:val="TextBody"/>
        <w:bidi w:val="0"/>
        <w:spacing w:before="240" w:after="283"/>
        <w:jc w:val="left"/>
        <w:rPr>
          <w:rFonts w:ascii="Arial" w:hAnsi="Arial"/>
          <w:sz w:val="20"/>
        </w:rPr>
      </w:pPr>
      <w:r>
        <w:rPr>
          <w:rFonts w:ascii="Arial" w:hAnsi="Arial"/>
          <w:b/>
          <w:i/>
          <w:color w:val="000000"/>
          <w:sz w:val="20"/>
        </w:rPr>
        <w:t>Raising additional capital may cause additional dilution to our stockholders, restrict our operations, require us to relinquish rights to our technologies or product candidates, and could cause our share price to fall.</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Until such time, if ever, as we can generate substantial revenue from product sales, we may finance our cash needs through a combination of equity offerings, debt financings, marketing and distribution arrangements and other collaborations, strategic alliances and licensing arrangements. While we remain open to consideration of a broad range of strategic alternatives, including strategic partnerships, acquisition, merger, or other business combination, sale of assets or other strategic transactions, we believe that it is most likely that actionable alternatives may be available after we receive the results from our HCV Phase 3 clinical program. </w:t>
      </w:r>
    </w:p>
    <w:p>
      <w:pPr>
        <w:pStyle w:val="TextBody"/>
        <w:bidi w:val="0"/>
        <w:spacing w:before="120" w:after="283"/>
        <w:jc w:val="left"/>
        <w:rPr>
          <w:rFonts w:ascii="Arial" w:hAnsi="Arial"/>
          <w:color w:val="000000"/>
          <w:sz w:val="20"/>
        </w:rPr>
      </w:pPr>
      <w:r>
        <w:rPr>
          <w:rFonts w:ascii="Arial" w:hAnsi="Arial"/>
          <w:color w:val="000000"/>
          <w:sz w:val="20"/>
        </w:rPr>
        <w:t xml:space="preserve">In addition, even if we believe that we have sufficient funds for our current or future operating plans, we may seek additional capital due to favorable market conditions or strategic considerations.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operations, our ability to take specific actions, such as incurring </w:t>
      </w:r>
    </w:p>
    <w:p>
      <w:pPr>
        <w:pStyle w:val="TextBody"/>
        <w:bidi w:val="0"/>
        <w:spacing w:before="24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additional debt, making capital expenditures, declaring dividends, redeeming our stock, making certain investments and engaging in certain merger, consolidation or asset sale transactions, among other restrictions.</w:t>
      </w:r>
    </w:p>
    <w:p>
      <w:pPr>
        <w:pStyle w:val="TextBody"/>
        <w:bidi w:val="0"/>
        <w:spacing w:before="120" w:after="283"/>
        <w:jc w:val="left"/>
        <w:rPr>
          <w:rFonts w:ascii="Arial" w:hAnsi="Arial"/>
          <w:color w:val="000000"/>
          <w:sz w:val="20"/>
        </w:rPr>
      </w:pPr>
      <w:r>
        <w:rPr>
          <w:rFonts w:ascii="Arial" w:hAnsi="Arial"/>
          <w:color w:val="000000"/>
          <w:sz w:val="20"/>
        </w:rPr>
        <w:t xml:space="preserve">If we raise additional funds through collaborations, strategic alliances or marketing, distribution or licensing arrangements with third parties, we may be required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240" w:after="283"/>
        <w:jc w:val="left"/>
        <w:rPr>
          <w:rFonts w:ascii="Arial" w:hAnsi="Arial"/>
          <w:sz w:val="20"/>
        </w:rPr>
      </w:pPr>
      <w:r>
        <w:rPr>
          <w:rFonts w:ascii="Arial" w:hAnsi="Arial"/>
          <w:b/>
          <w:i/>
          <w:color w:val="000000"/>
          <w:sz w:val="20"/>
        </w:rPr>
        <w:t>We or the third parties upon whom we depend may be adversely affected by natural disasters or pandemics and our business continuity and disaster recovery plans may not adequately protect us from a serious disaster.</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Natural disasters (including, but not limited to earthquakes, fires, storms, floods, droughts, and extreme temperatures) or pandemics could severely disrupt our operations and have a material adverse effect on our business, results of operations, financial condition and prospects. Climate change may increase the frequency or intensity of such events. Moreover, climate change may result in various chronic changes in the physical environment, such as changes in temperature or precipitation patterns or sea-level rise, as well as changes to the availability of certain natural resources, that may also have an adverse impact on our operations. If a natural disaster, power outage, pandemic, such as the COVID-19 pandemic, or other event occurred that prevented us from using all or a significant portion of our headquarters or the virtual network capabilities upon which our employees depend to collaborate and access critical business records,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w:t>
      </w:r>
    </w:p>
    <w:p>
      <w:pPr>
        <w:pStyle w:val="TextBody"/>
        <w:bidi w:val="0"/>
        <w:spacing w:before="240" w:after="283"/>
        <w:jc w:val="left"/>
        <w:rPr>
          <w:rFonts w:ascii="Arial" w:hAnsi="Arial"/>
          <w:b/>
          <w:i/>
          <w:color w:val="000000"/>
          <w:sz w:val="20"/>
        </w:rPr>
      </w:pPr>
      <w:r>
        <w:rPr>
          <w:rFonts w:ascii="Arial" w:hAnsi="Arial"/>
          <w:b/>
          <w:i/>
          <w:color w:val="000000"/>
          <w:sz w:val="20"/>
        </w:rPr>
        <w:t>Evolving and varied expectations for ESG initiatives could increase our costs, harm our reputation, or otherwise adversely impact our business.</w:t>
      </w:r>
    </w:p>
    <w:p>
      <w:pPr>
        <w:pStyle w:val="TextBody"/>
        <w:bidi w:val="0"/>
        <w:spacing w:before="120" w:after="283"/>
        <w:jc w:val="left"/>
        <w:rPr>
          <w:rFonts w:ascii="Arial" w:hAnsi="Arial"/>
          <w:color w:val="000000"/>
          <w:sz w:val="20"/>
        </w:rPr>
      </w:pPr>
      <w:r>
        <w:rPr>
          <w:rFonts w:ascii="Arial" w:hAnsi="Arial"/>
          <w:color w:val="000000"/>
          <w:sz w:val="20"/>
        </w:rPr>
        <w:t xml:space="preserve">Companies across industries, including our industry, are facing evolving and varied expectations related to their ESG and sustainability practices from certain investors, government entities, customers, employees, and other stakeholders or third parties. Expectations regarding voluntary ESG initiatives and disclosures may result in increased costs (including but not limited to increased costs related to compliance, stakeholder engagement, contracting and insurance), enhanced compliance or disclosure obligations, increased litigation or reputational damage relating to ESG practices or performance, or other adverse impacts to our business, financial condition, or results of operations. </w:t>
      </w:r>
    </w:p>
    <w:p>
      <w:pPr>
        <w:pStyle w:val="TextBody"/>
        <w:bidi w:val="0"/>
        <w:spacing w:before="120" w:after="283"/>
        <w:jc w:val="left"/>
        <w:rPr>
          <w:rFonts w:ascii="Arial" w:hAnsi="Arial"/>
          <w:color w:val="000000"/>
          <w:sz w:val="20"/>
        </w:rPr>
      </w:pPr>
      <w:r>
        <w:rPr>
          <w:rFonts w:ascii="Arial" w:hAnsi="Arial"/>
          <w:color w:val="000000"/>
          <w:sz w:val="20"/>
        </w:rPr>
        <w:t>While we may at times engage in voluntary initiatives (such as voluntary disclosures, certifications, or goals, among others), such initiatives may be costly and may not have the desired effect. Moreover, we may not be able to successfully complete such initiatives due to factors that are within or outside of our control. Even if this is not the case, our actions may subsequently be determined to be insufficient by various stakeholders, and we may be subject to investor or regulator engagement relating to our ESG efforts, even if such initiatives are currently voluntary.</w:t>
      </w:r>
    </w:p>
    <w:p>
      <w:pPr>
        <w:pStyle w:val="TextBody"/>
        <w:bidi w:val="0"/>
        <w:spacing w:before="120" w:after="283"/>
        <w:jc w:val="left"/>
        <w:rPr>
          <w:rFonts w:ascii="Arial" w:hAnsi="Arial"/>
          <w:color w:val="000000"/>
          <w:sz w:val="20"/>
        </w:rPr>
      </w:pPr>
      <w:r>
        <w:rPr>
          <w:rFonts w:ascii="Arial" w:hAnsi="Arial"/>
          <w:color w:val="000000"/>
          <w:sz w:val="20"/>
        </w:rPr>
        <w:t>Certain market participants use third-party benchmarks and scores to assess companies’ ESG profiles in making investment or voting decisions. Unfavorable ESG ratings or other reputational issues could result in various negative impacts, including negative investor sentiment, decreased interest in our shares, changes in the cost of capital, or our ability to attract/retain employees, customers, or business partners. Simultaneously, some parties are seeking to restrict or eliminate companies’ attention to ESG matters, and any ESG initiatives we undertake may result in negative reputational impacts from these stakeholders. Both advocates and opponents to certain ESG matters are increasingly resorting to a range of activism forms, including media campaigns and litigation, to advance their perspectives. To the extent we are subject to such activism or litigation, it may require us to incur costs or otherwise adversely impact our business.</w:t>
      </w:r>
    </w:p>
    <w:p>
      <w:pPr>
        <w:pStyle w:val="TextBody"/>
        <w:bidi w:val="0"/>
        <w:spacing w:before="120" w:after="283"/>
        <w:jc w:val="left"/>
        <w:rPr>
          <w:rFonts w:ascii="Arial" w:hAnsi="Arial"/>
          <w:color w:val="000000"/>
          <w:sz w:val="20"/>
        </w:rPr>
      </w:pPr>
      <w:r>
        <w:rPr>
          <w:rFonts w:ascii="Arial" w:hAnsi="Arial"/>
          <w:color w:val="000000"/>
          <w:sz w:val="20"/>
        </w:rPr>
        <w:t xml:space="preserve">We may become subject to conflicting laws and regulations related to sustainability and ESG matters. There are requirements that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 </w:t>
      </w:r>
    </w:p>
    <w:p>
      <w:pPr>
        <w:pStyle w:val="TextBody"/>
        <w:bidi w:val="0"/>
        <w:spacing w:before="24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These and other changes in stakeholder expectations may lead to increased costs as well as scrutiny that could heighten all of the risks identified in this risk factor. Additionally, our suppliers and business partners may be subject to similar expectations, which may augment or create additional risks, including risks that may not be known to us.</w:t>
      </w:r>
    </w:p>
    <w:p>
      <w:pPr>
        <w:pStyle w:val="TextBody"/>
        <w:bidi w:val="0"/>
        <w:spacing w:before="240" w:after="283"/>
        <w:jc w:val="left"/>
        <w:rPr>
          <w:rFonts w:ascii="Arial" w:hAnsi="Arial"/>
          <w:b/>
          <w:i/>
          <w:color w:val="000000"/>
          <w:sz w:val="20"/>
        </w:rPr>
      </w:pPr>
      <w:r>
        <w:rPr>
          <w:rFonts w:ascii="Arial" w:hAnsi="Arial"/>
          <w:b/>
          <w:i/>
          <w:color w:val="000000"/>
          <w:sz w:val="20"/>
        </w:rPr>
        <w:t>Litigation against us could be costly and time-consuming to defend and could result in additional liabilities.</w:t>
      </w:r>
    </w:p>
    <w:p>
      <w:pPr>
        <w:pStyle w:val="TextBody"/>
        <w:bidi w:val="0"/>
        <w:spacing w:before="120" w:after="283"/>
        <w:jc w:val="left"/>
        <w:rPr>
          <w:rFonts w:ascii="Arial" w:hAnsi="Arial"/>
          <w:color w:val="000000"/>
          <w:sz w:val="20"/>
        </w:rPr>
      </w:pPr>
      <w:r>
        <w:rPr>
          <w:rFonts w:ascii="Arial" w:hAnsi="Arial"/>
          <w:color w:val="000000"/>
          <w:sz w:val="20"/>
        </w:rPr>
        <w:t xml:space="preserve">We may from time to time be subject to legal proceedings and claims that arise in the ordinary course of business or otherwise, such as claims brought by third parties in connection with commercial disputes and employment claims made by our current or former employees. Claims may also be asserted by or on behalf of a variety of other parties, including government agencies, patients or vendors of our customers, or stockholders. In the past, securities class action litigation has often been brought against a company following a decline in the market price of its securities. </w:t>
      </w:r>
    </w:p>
    <w:p>
      <w:pPr>
        <w:pStyle w:val="TextBody"/>
        <w:bidi w:val="0"/>
        <w:spacing w:before="120" w:after="283"/>
        <w:jc w:val="left"/>
        <w:rPr>
          <w:rFonts w:ascii="Arial" w:hAnsi="Arial"/>
          <w:color w:val="000000"/>
          <w:sz w:val="20"/>
        </w:rPr>
      </w:pPr>
      <w:r>
        <w:rPr>
          <w:rFonts w:ascii="Arial" w:hAnsi="Arial"/>
          <w:color w:val="000000"/>
          <w:sz w:val="20"/>
        </w:rPr>
        <w:t>Any litigation involving us may result in substantial costs, operationally restrict our business, and may divert management’s attention and resources, which may seriously harm our business, overall financial condition and results of operations.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impacting our results of operations and resulting in a reduction in the trading price of our stock.</w:t>
      </w:r>
    </w:p>
    <w:p>
      <w:pPr>
        <w:pStyle w:val="TextBody"/>
        <w:bidi w:val="0"/>
        <w:spacing w:before="240" w:after="283"/>
        <w:jc w:val="left"/>
        <w:rPr>
          <w:rFonts w:ascii="Arial" w:hAnsi="Arial"/>
          <w:sz w:val="20"/>
        </w:rPr>
      </w:pPr>
      <w:r>
        <w:rPr>
          <w:rFonts w:ascii="Arial" w:hAnsi="Arial"/>
          <w:b/>
          <w:i/>
          <w:color w:val="000000"/>
          <w:sz w:val="20"/>
        </w:rPr>
        <w:t>The market price of our common stock has been volatile and may fluctuate substantially.</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Our stock price has been and is likely to remain volatile. Extreme fluctuations have occurred in our stock price. Additionally, the stock market in general, and The Nasdaq Global Select Market-listed companies and biopharmaceutical companies in particular have experienced extreme volatility in trading volume that exacerbates, is disproportionate to or in some cases has been unrelated to the operating performance of particular companies. As a result of this volatility, you may not be able to sell your common stock at a profit. The market price for our common stock may be influenced by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success of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actual or expected changes in our growth rate relative to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results of our ongoing, planned or any future preclinical studies, clinical trials or clinical development of our product candidates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unanticipated serious safety concerns related to the use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developments related to our existing or any future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developments concerning our manufacturers or our manufacturing plans;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inability to obtain adequate product supply for any approved product or inability to do so at acceptable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regulatory actions with respect to our product candidates or our competitors’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regulatory or legal developments in the US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 of third-party product candidates that may address our markets and make our product candidates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physician, hospital or healthcare provider practices that may make our product candidates less useful;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decision to initiate a clinical trial, not to initiate a clinical trial or to terminate an existing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failure to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announcements by us, our partners or our competitors of significant acquisitions, strategic partnerships, joint ventures, collaborations or capital commitments; </w:t>
      </w:r>
    </w:p>
    <w:p>
      <w:pPr>
        <w:pStyle w:val="TextBody"/>
        <w:bidi w:val="0"/>
        <w:spacing w:before="24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developments or disputes concerning patent applications, issued patents or other intellectual property or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recruitment or departure of key scientific or management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level of expenses related to any of our product candidates or clinical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failure to meet or exceed financial estimates and projections of the investment community or that we provide to the public;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accounting practices;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trading volume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cash and investments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effectively manage our growth;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sales of our common stock by us or our stockholders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publication of research reports about us or our industry, or positive or negative recommendations or withdrawal of research coverage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ineffectiveness of our internal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significant lawsuits, including intellectual property or stockholder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results of our efforts to discover, develop, acquire or in-license additional product candidates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actual or expected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actual or anticipated 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general economic, industry and market conditions, including rising inflation and interest rates;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other factors described in this “Risk Factors” section. </w:t>
      </w:r>
    </w:p>
    <w:p>
      <w:pPr>
        <w:pStyle w:val="TextBody"/>
        <w:bidi w:val="0"/>
        <w:spacing w:before="120" w:after="283"/>
        <w:jc w:val="left"/>
        <w:rPr>
          <w:rFonts w:ascii="Arial" w:hAnsi="Arial"/>
          <w:color w:val="000000"/>
          <w:sz w:val="20"/>
        </w:rPr>
      </w:pPr>
      <w:r>
        <w:rPr>
          <w:rFonts w:ascii="Arial" w:hAnsi="Arial"/>
          <w:color w:val="000000"/>
          <w:sz w:val="20"/>
        </w:rPr>
        <w:t>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and results of operations.</w:t>
      </w:r>
    </w:p>
    <w:p>
      <w:pPr>
        <w:pStyle w:val="TextBody"/>
        <w:bidi w:val="0"/>
        <w:spacing w:before="240" w:after="283"/>
        <w:jc w:val="left"/>
        <w:rPr>
          <w:rFonts w:ascii="Arial" w:hAnsi="Arial"/>
          <w:sz w:val="20"/>
        </w:rPr>
      </w:pPr>
      <w:r>
        <w:rPr>
          <w:rFonts w:ascii="Arial" w:hAnsi="Arial"/>
          <w:b/>
          <w:i/>
          <w:color w:val="000000"/>
          <w:sz w:val="20"/>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In addition, we have in the past and may in the future be required to include an attestation report on internal control over financial reporting issued by our independent registered public accounting firm and our independent registered public accounting firm has in the past and may be required to attest to the effectiveness of our internal control over financial reporting pursuant to Section 404. Our independent registered public accounting firm may issue a report that is adverse in the event material weaknesses have been identified in our internal control over financial reporting.</w:t>
      </w:r>
    </w:p>
    <w:p>
      <w:pPr>
        <w:pStyle w:val="TextBody"/>
        <w:bidi w:val="0"/>
        <w:spacing w:before="120" w:after="283"/>
        <w:jc w:val="left"/>
        <w:rPr>
          <w:rFonts w:ascii="Arial" w:hAnsi="Arial"/>
          <w:color w:val="000000"/>
          <w:sz w:val="20"/>
        </w:rPr>
      </w:pPr>
      <w:r>
        <w:rPr>
          <w:rFonts w:ascii="Arial" w:hAnsi="Arial"/>
          <w:color w:val="000000"/>
          <w:sz w:val="20"/>
        </w:rPr>
        <w:t xml:space="preserve">To comply with the requirements of Section 404, we may need to undertake additional actions, such as implementing new internal controls and procedures and hiring additional accounting or internal audit staff. We will need to continue to dedicate internal resources, engage outside consultants, adopt a detailed work plan to assess </w:t>
      </w:r>
    </w:p>
    <w:p>
      <w:pPr>
        <w:pStyle w:val="TextBody"/>
        <w:bidi w:val="0"/>
        <w:spacing w:before="24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Testing and maintaining internal control can divert our management’s attention from other matters that are also important to the operation of our business. Despite our efforts, there is a risk that we will not be able to conclude, within the prescribed timeframe or at all, that our internal control over financial reporting is effective as required by Section 404.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controls over financial reporting or we are unable to comply with the requirements of Section 404 in a timely manner or assert that our internal control over financial reporting is effective, or if our independent registered public accounting firm, if required, is unable to express an opinion as to the effectiveness of our internal control over financial reporting, investors may lose confidence in the accuracy and completeness of our financial reports. As a result, the market price of our common stock could be materially adversely affected. </w:t>
      </w:r>
    </w:p>
    <w:p>
      <w:pPr>
        <w:pStyle w:val="TextBody"/>
        <w:bidi w:val="0"/>
        <w:spacing w:before="240" w:after="283"/>
        <w:jc w:val="left"/>
        <w:rPr>
          <w:rFonts w:ascii="Arial" w:hAnsi="Arial"/>
          <w:sz w:val="20"/>
        </w:rPr>
      </w:pPr>
      <w:r>
        <w:rPr>
          <w:rFonts w:ascii="Arial" w:hAnsi="Arial"/>
          <w:b/>
          <w:i/>
          <w:color w:val="000000"/>
          <w:sz w:val="20"/>
        </w:rPr>
        <w:t>Our disclosure controls and procedures may not prevent or detect all errors or acts of fraud.</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are subject to the periodic reporting requirements of the Exchange Act. We are continuing to refine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w:t>
      </w:r>
    </w:p>
    <w:p>
      <w:pPr>
        <w:pStyle w:val="TextBody"/>
        <w:bidi w:val="0"/>
        <w:spacing w:before="120" w:after="283"/>
        <w:jc w:val="left"/>
        <w:rPr>
          <w:rFonts w:ascii="Arial" w:hAnsi="Arial"/>
          <w:color w:val="000000"/>
          <w:sz w:val="20"/>
        </w:rPr>
      </w:pPr>
      <w:r>
        <w:rPr>
          <w:rFonts w:ascii="Arial" w:hAnsi="Arial"/>
          <w:color w:val="000000"/>
          <w:sz w:val="20"/>
        </w:rPr>
        <w:t xml:space="preserve">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120" w:after="283"/>
        <w:jc w:val="left"/>
        <w:rPr/>
      </w:pPr>
      <w:r>
        <w:rPr/>
        <w:t> </w:t>
      </w:r>
    </w:p>
    <w:p>
      <w:pPr>
        <w:pStyle w:val="TextBody"/>
        <w:bidi w:val="0"/>
        <w:jc w:val="left"/>
        <w:rPr>
          <w:rFonts w:ascii="Arial" w:hAnsi="Arial"/>
          <w:b/>
          <w:color w:val="000000"/>
          <w:sz w:val="20"/>
        </w:rPr>
      </w:pPr>
      <w:bookmarkStart w:id="19" w:name="item_2_unregistered_sales_equity_securit"/>
      <w:bookmarkEnd w:id="19"/>
      <w:r>
        <w:rPr>
          <w:rFonts w:ascii="Arial" w:hAnsi="Arial"/>
          <w:b/>
          <w:color w:val="000000"/>
          <w:sz w:val="20"/>
        </w:rPr>
        <w:t>Item 2. Unregistered Sales of Equity Securities and Use of Proceeds</w:t>
      </w:r>
    </w:p>
    <w:p>
      <w:pPr>
        <w:pStyle w:val="TextBody"/>
        <w:bidi w:val="0"/>
        <w:spacing w:before="240" w:after="283"/>
        <w:jc w:val="left"/>
        <w:rPr>
          <w:rFonts w:ascii="Arial" w:hAnsi="Arial"/>
          <w:b/>
          <w:color w:val="000000"/>
          <w:sz w:val="20"/>
        </w:rPr>
      </w:pPr>
      <w:r>
        <w:rPr>
          <w:rFonts w:ascii="Arial" w:hAnsi="Arial"/>
          <w:b/>
          <w:color w:val="000000"/>
          <w:sz w:val="20"/>
        </w:rPr>
        <w:t>Issuer Purchases of Equity Securities</w:t>
      </w:r>
    </w:p>
    <w:p>
      <w:pPr>
        <w:pStyle w:val="TextBody"/>
        <w:bidi w:val="0"/>
        <w:spacing w:before="0" w:after="160"/>
        <w:jc w:val="left"/>
        <w:rPr/>
      </w:pPr>
      <w:r>
        <w:rPr/>
        <w:t> </w:t>
      </w:r>
    </w:p>
    <w:p>
      <w:pPr>
        <w:pStyle w:val="TextBody"/>
        <w:bidi w:val="0"/>
        <w:spacing w:before="0" w:after="160"/>
        <w:jc w:val="left"/>
        <w:rPr>
          <w:rFonts w:ascii="Arial" w:hAnsi="Arial"/>
          <w:color w:val="000000"/>
          <w:sz w:val="20"/>
        </w:rPr>
      </w:pPr>
      <w:r>
        <w:rPr>
          <w:rFonts w:ascii="Arial" w:hAnsi="Arial"/>
          <w:color w:val="000000"/>
          <w:sz w:val="20"/>
        </w:rPr>
        <w:t xml:space="preserve">The Company did not repurchase any equity securities in the three months ended June 30, 2026. </w:t>
      </w:r>
    </w:p>
    <w:p>
      <w:pPr>
        <w:pStyle w:val="TextBody"/>
        <w:bidi w:val="0"/>
        <w:spacing w:before="80" w:after="283"/>
        <w:jc w:val="left"/>
        <w:rPr>
          <w:rFonts w:ascii="Arial" w:hAnsi="Arial"/>
          <w:b/>
          <w:color w:val="000000"/>
          <w:sz w:val="20"/>
        </w:rPr>
      </w:pPr>
      <w:r>
        <w:rPr>
          <w:rFonts w:ascii="Arial" w:hAnsi="Arial"/>
          <w:b/>
          <w:color w:val="000000"/>
          <w:sz w:val="20"/>
        </w:rPr>
        <w:t>Recent Sales of Unregistered Securities</w:t>
      </w:r>
    </w:p>
    <w:p>
      <w:pPr>
        <w:pStyle w:val="TextBody"/>
        <w:bidi w:val="0"/>
        <w:spacing w:before="120" w:after="283"/>
        <w:jc w:val="left"/>
        <w:rPr>
          <w:rFonts w:ascii="Arial" w:hAnsi="Arial"/>
          <w:color w:val="000000"/>
          <w:sz w:val="20"/>
        </w:rPr>
      </w:pPr>
      <w:r>
        <w:rPr>
          <w:rFonts w:ascii="Arial" w:hAnsi="Arial"/>
          <w:color w:val="000000"/>
          <w:sz w:val="20"/>
        </w:rPr>
        <w:t>None.</w:t>
      </w:r>
    </w:p>
    <w:p>
      <w:pPr>
        <w:pStyle w:val="TextBody"/>
        <w:bidi w:val="0"/>
        <w:spacing w:before="240" w:after="283"/>
        <w:jc w:val="left"/>
        <w:rPr>
          <w:rFonts w:ascii="Arial" w:hAnsi="Arial"/>
          <w:sz w:val="20"/>
        </w:rPr>
      </w:pPr>
      <w:bookmarkStart w:id="20" w:name="item_5_or_information"/>
      <w:bookmarkEnd w:id="20"/>
      <w:r>
        <w:rPr>
          <w:rFonts w:ascii="Arial" w:hAnsi="Arial"/>
          <w:b/>
          <w:color w:val="000000"/>
          <w:sz w:val="20"/>
        </w:rPr>
        <w:t>Item 5. Other</w:t>
      </w:r>
      <w:r>
        <w:rPr>
          <w:rFonts w:ascii="Arial" w:hAnsi="Arial"/>
          <w:color w:val="000000"/>
          <w:sz w:val="20"/>
        </w:rPr>
        <w:t xml:space="preserve"> </w:t>
      </w:r>
      <w:r>
        <w:rPr>
          <w:rFonts w:ascii="Arial" w:hAnsi="Arial"/>
          <w:b/>
          <w:color w:val="000000"/>
          <w:sz w:val="20"/>
        </w:rPr>
        <w:t>Information.</w:t>
      </w:r>
    </w:p>
    <w:p>
      <w:pPr>
        <w:pStyle w:val="TextBody"/>
        <w:bidi w:val="0"/>
        <w:jc w:val="left"/>
        <w:rPr/>
      </w:pPr>
      <w:r>
        <w:rPr/>
        <w:t> </w:t>
      </w:r>
    </w:p>
    <w:p>
      <w:pPr>
        <w:pStyle w:val="TextBody"/>
        <w:bidi w:val="0"/>
        <w:spacing w:before="120" w:after="160"/>
        <w:jc w:val="left"/>
        <w:rPr>
          <w:rFonts w:ascii="Arial" w:hAnsi="Arial"/>
          <w:color w:val="000000"/>
          <w:sz w:val="20"/>
        </w:rPr>
      </w:pPr>
      <w:r>
        <w:rPr>
          <w:rFonts w:ascii="Arial" w:hAnsi="Arial"/>
          <w:color w:val="000000"/>
          <w:sz w:val="20"/>
        </w:rPr>
        <w:t xml:space="preserve">During the three months ended June 30, 2026, no director or “officer” (as defined in Rule 16a-1(f) under the Exchange Act) of the Company adopted or terminated a “Rule 10b5-1 trading arrangement” or “non-Rule 10b5-1 trading arrangement”, as each term is defined in Item 408(a) of Regulation S-K. </w:t>
      </w:r>
    </w:p>
    <w:p>
      <w:pPr>
        <w:pStyle w:val="TextBody"/>
        <w:bidi w:val="0"/>
        <w:spacing w:before="0" w:after="16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sz w:val="20"/>
        </w:rPr>
      </w:pPr>
      <w:bookmarkStart w:id="21" w:name="item_6_exhibits"/>
      <w:bookmarkEnd w:id="21"/>
      <w:r>
        <w:rPr>
          <w:rFonts w:ascii="Arial" w:hAnsi="Arial"/>
          <w:b/>
          <w:color w:val="000000"/>
          <w:sz w:val="20"/>
        </w:rPr>
        <w:t>Item 6. Exhibits.</w:t>
      </w:r>
      <w:r>
        <w:rPr>
          <w:rFonts w:ascii="Arial" w:hAnsi="Arial"/>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9"/>
        <w:gridCol w:w="146"/>
        <w:gridCol w:w="4923"/>
        <w:gridCol w:w="146"/>
        <w:gridCol w:w="526"/>
        <w:gridCol w:w="146"/>
        <w:gridCol w:w="727"/>
        <w:gridCol w:w="146"/>
        <w:gridCol w:w="661"/>
        <w:gridCol w:w="146"/>
        <w:gridCol w:w="121"/>
        <w:gridCol w:w="619"/>
        <w:gridCol w:w="146"/>
        <w:gridCol w:w="963"/>
      </w:tblGrid>
      <w:tr>
        <w:trPr/>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7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92" w:type="dxa"/>
            <w:gridSpan w:val="8"/>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Filed/</w:t>
            </w:r>
          </w:p>
        </w:tc>
      </w:tr>
      <w:tr>
        <w:trPr/>
        <w:tc>
          <w:tcPr>
            <w:tcW w:w="789" w:type="dxa"/>
            <w:tcBorders>
              <w:bottom w:val="single" w:sz="4" w:space="0" w:color="000000"/>
            </w:tcBorders>
            <w:tcMar>
              <w:top w:w="0" w:type="dxa"/>
              <w:left w:w="0" w:type="dxa"/>
              <w:right w:w="0" w:type="dxa"/>
            </w:tcMar>
            <w:vAlign w:val="center"/>
          </w:tcPr>
          <w:p>
            <w:pPr>
              <w:pStyle w:val="TableContents"/>
              <w:bidi w:val="0"/>
              <w:jc w:val="left"/>
              <w:rPr>
                <w:rFonts w:ascii="Arial" w:hAnsi="Arial"/>
                <w:b/>
                <w:color w:val="000000"/>
                <w:sz w:val="16"/>
              </w:rPr>
            </w:pPr>
            <w:r>
              <w:rPr>
                <w:rFonts w:ascii="Arial" w:hAnsi="Arial"/>
                <w:b/>
                <w:color w:val="000000"/>
                <w:sz w:val="16"/>
              </w:rPr>
              <w:t>Exhibit</w:t>
            </w:r>
          </w:p>
          <w:p>
            <w:pPr>
              <w:pStyle w:val="TableContents"/>
              <w:bidi w:val="0"/>
              <w:spacing w:before="0" w:after="283"/>
              <w:jc w:val="left"/>
              <w:rPr>
                <w:rFonts w:ascii="Arial" w:hAnsi="Arial"/>
                <w:b/>
                <w:color w:val="000000"/>
                <w:sz w:val="16"/>
              </w:rPr>
            </w:pPr>
            <w:r>
              <w:rPr>
                <w:rFonts w:ascii="Arial" w:hAnsi="Arial"/>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2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w:t>
            </w:r>
          </w:p>
        </w:tc>
        <w:tc>
          <w:tcPr>
            <w:tcW w:w="26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9"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Filing</w:t>
            </w:r>
          </w:p>
          <w:p>
            <w:pPr>
              <w:pStyle w:val="TableContents"/>
              <w:bidi w:val="0"/>
              <w:spacing w:before="0" w:after="283"/>
              <w:jc w:val="center"/>
              <w:rPr>
                <w:rFonts w:ascii="Arial" w:hAnsi="Arial"/>
                <w:b/>
                <w:color w:val="000000"/>
                <w:sz w:val="16"/>
              </w:rPr>
            </w:pPr>
            <w:r>
              <w:rPr>
                <w:rFonts w:ascii="Arial" w:hAnsi="Arial"/>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63"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Furnished</w:t>
            </w:r>
          </w:p>
          <w:p>
            <w:pPr>
              <w:pStyle w:val="TableContents"/>
              <w:bidi w:val="0"/>
              <w:spacing w:before="0" w:after="283"/>
              <w:jc w:val="center"/>
              <w:rPr>
                <w:rFonts w:ascii="Arial" w:hAnsi="Arial"/>
                <w:b/>
                <w:color w:val="000000"/>
                <w:sz w:val="16"/>
              </w:rPr>
            </w:pPr>
            <w:r>
              <w:rPr>
                <w:rFonts w:ascii="Arial" w:hAnsi="Arial"/>
                <w:b/>
                <w:color w:val="000000"/>
                <w:sz w:val="16"/>
              </w:rPr>
              <w:t>Herewith</w:t>
            </w:r>
          </w:p>
        </w:tc>
      </w:tr>
      <w:tr>
        <w:trPr/>
        <w:tc>
          <w:tcPr>
            <w:tcW w:w="7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2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4343EB"/>
                  <w:sz w:val="20"/>
                  <w:u w:val="single"/>
                </w:rPr>
                <w:t>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001-39661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11/5/2020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23"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4343EB"/>
                  <w:sz w:val="20"/>
                  <w:u w:val="single"/>
                </w:rPr>
                <w:t>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001-39661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6/21/2023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23" w:type="dxa"/>
            <w:tcBorders/>
            <w:tcMar>
              <w:top w:w="0" w:type="dxa"/>
              <w:left w:w="0" w:type="dxa"/>
              <w:bottom w:w="0" w:type="dxa"/>
              <w:right w:w="0" w:type="dxa"/>
            </w:tcMar>
            <w:vAlign w:val="center"/>
          </w:tcPr>
          <w:p>
            <w:pPr>
              <w:pStyle w:val="TableContents"/>
              <w:bidi w:val="0"/>
              <w:spacing w:before="0" w:after="283"/>
              <w:jc w:val="left"/>
              <w:rPr/>
            </w:pPr>
            <w:hyperlink w:anchor="avir-ex10_1.htm">
              <w:r>
                <w:rPr>
                  <w:rStyle w:val="InternetLink"/>
                  <w:rFonts w:ascii="Arial" w:hAnsi="Arial"/>
                  <w:color w:val="0000FF"/>
                  <w:sz w:val="20"/>
                  <w:u w:val="single"/>
                </w:rPr>
                <w:t>Non-Employee Director Compensation Program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w:t>
            </w:r>
          </w:p>
          <w:p>
            <w:pPr>
              <w:pStyle w:val="TableContents"/>
              <w:bidi w:val="0"/>
              <w:spacing w:before="0" w:after="283"/>
              <w:jc w:val="left"/>
              <w:rPr/>
            </w:pPr>
            <w:r>
              <w:rPr/>
              <w:t> </w:t>
            </w:r>
          </w:p>
        </w:tc>
      </w:tr>
      <w:tr>
        <w:trPr/>
        <w:tc>
          <w:tcPr>
            <w:tcW w:w="78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23" w:type="dxa"/>
            <w:tcBorders/>
            <w:tcMar>
              <w:top w:w="0" w:type="dxa"/>
              <w:left w:w="0" w:type="dxa"/>
              <w:bottom w:w="0" w:type="dxa"/>
              <w:right w:w="0" w:type="dxa"/>
            </w:tcMar>
            <w:vAlign w:val="center"/>
          </w:tcPr>
          <w:p>
            <w:pPr>
              <w:pStyle w:val="TableContents"/>
              <w:bidi w:val="0"/>
              <w:spacing w:before="0" w:after="283"/>
              <w:jc w:val="left"/>
              <w:rPr/>
            </w:pPr>
            <w:hyperlink w:anchor="avir-ex10_2.htm">
              <w:r>
                <w:rPr>
                  <w:rStyle w:val="InternetLink"/>
                  <w:rFonts w:ascii="Arial" w:hAnsi="Arial"/>
                  <w:color w:val="0000FF"/>
                  <w:sz w:val="20"/>
                  <w:u w:val="single"/>
                </w:rPr>
                <w:t>Consulting Agreement dated June 1, 2026, by and between the Company and Bruno Lucidi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w:t>
            </w:r>
          </w:p>
          <w:p>
            <w:pPr>
              <w:pStyle w:val="TableContents"/>
              <w:bidi w:val="0"/>
              <w:spacing w:before="0" w:after="283"/>
              <w:jc w:val="left"/>
              <w:rPr/>
            </w:pPr>
            <w:r>
              <w:rPr/>
              <w:t> </w:t>
            </w:r>
          </w:p>
        </w:tc>
      </w:tr>
      <w:tr>
        <w:trPr/>
        <w:tc>
          <w:tcPr>
            <w:tcW w:w="78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23" w:type="dxa"/>
            <w:tcBorders/>
            <w:tcMar>
              <w:top w:w="0" w:type="dxa"/>
              <w:left w:w="0" w:type="dxa"/>
              <w:bottom w:w="0" w:type="dxa"/>
              <w:right w:w="0" w:type="dxa"/>
            </w:tcMar>
            <w:vAlign w:val="center"/>
          </w:tcPr>
          <w:p>
            <w:pPr>
              <w:pStyle w:val="TableContents"/>
              <w:bidi w:val="0"/>
              <w:spacing w:before="0" w:after="283"/>
              <w:jc w:val="left"/>
              <w:rPr/>
            </w:pPr>
            <w:hyperlink w:anchor="avir-ex31_1.htm">
              <w:r>
                <w:rPr>
                  <w:rStyle w:val="InternetLink"/>
                  <w:rFonts w:ascii="Arial" w:hAnsi="Arial"/>
                  <w:color w:val="4343EB"/>
                  <w:sz w:val="20"/>
                  <w:u w:val="single"/>
                </w:rPr>
                <w:t>Certification of Chief Executive Officer pursuant to Rule 13a-14(a)/15d-14(a).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r>
      <w:tr>
        <w:trPr/>
        <w:tc>
          <w:tcPr>
            <w:tcW w:w="78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23" w:type="dxa"/>
            <w:tcBorders/>
            <w:tcMar>
              <w:top w:w="0" w:type="dxa"/>
              <w:left w:w="0" w:type="dxa"/>
              <w:bottom w:w="0" w:type="dxa"/>
              <w:right w:w="0" w:type="dxa"/>
            </w:tcMar>
            <w:vAlign w:val="center"/>
          </w:tcPr>
          <w:p>
            <w:pPr>
              <w:pStyle w:val="TableContents"/>
              <w:bidi w:val="0"/>
              <w:spacing w:before="0" w:after="283"/>
              <w:jc w:val="left"/>
              <w:rPr/>
            </w:pPr>
            <w:hyperlink w:anchor="avir-ex31_2.htm">
              <w:r>
                <w:rPr>
                  <w:rStyle w:val="InternetLink"/>
                  <w:rFonts w:ascii="Arial" w:hAnsi="Arial"/>
                  <w:color w:val="4343EB"/>
                  <w:sz w:val="20"/>
                  <w:u w:val="single"/>
                </w:rPr>
                <w:t>Certification of Chief Financial Officer pursuant to Rule 13a-14(a)/15d-14(a).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r>
      <w:tr>
        <w:trPr/>
        <w:tc>
          <w:tcPr>
            <w:tcW w:w="78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23" w:type="dxa"/>
            <w:tcBorders/>
            <w:tcMar>
              <w:top w:w="0" w:type="dxa"/>
              <w:left w:w="0" w:type="dxa"/>
              <w:bottom w:w="0" w:type="dxa"/>
              <w:right w:w="0" w:type="dxa"/>
            </w:tcMar>
            <w:vAlign w:val="center"/>
          </w:tcPr>
          <w:p>
            <w:pPr>
              <w:pStyle w:val="TableContents"/>
              <w:bidi w:val="0"/>
              <w:spacing w:before="0" w:after="283"/>
              <w:jc w:val="left"/>
              <w:rPr/>
            </w:pPr>
            <w:hyperlink w:anchor="avir-ex32_1.htm">
              <w:r>
                <w:rPr>
                  <w:rStyle w:val="InternetLink"/>
                  <w:rFonts w:ascii="Arial" w:hAnsi="Arial"/>
                  <w:color w:val="4343EB"/>
                  <w:sz w:val="20"/>
                  <w:u w:val="single"/>
                </w:rPr>
                <w:t>Certification of Chief Executive Officer pursuant to 18 U.S.C. Section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r>
      <w:tr>
        <w:trPr/>
        <w:tc>
          <w:tcPr>
            <w:tcW w:w="78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23" w:type="dxa"/>
            <w:tcBorders/>
            <w:tcMar>
              <w:top w:w="0" w:type="dxa"/>
              <w:left w:w="0" w:type="dxa"/>
              <w:bottom w:w="0" w:type="dxa"/>
              <w:right w:w="0" w:type="dxa"/>
            </w:tcMar>
            <w:vAlign w:val="center"/>
          </w:tcPr>
          <w:p>
            <w:pPr>
              <w:pStyle w:val="TableContents"/>
              <w:bidi w:val="0"/>
              <w:spacing w:before="0" w:after="283"/>
              <w:jc w:val="left"/>
              <w:rPr/>
            </w:pPr>
            <w:hyperlink w:anchor="avir-ex32_2.htm">
              <w:r>
                <w:rPr>
                  <w:rStyle w:val="InternetLink"/>
                  <w:rFonts w:ascii="Arial" w:hAnsi="Arial"/>
                  <w:color w:val="4343EB"/>
                  <w:sz w:val="20"/>
                  <w:u w:val="single"/>
                </w:rPr>
                <w:t>Certification of Chief Financial Officer pursuant to 18 U.S.C. Section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r>
      <w:tr>
        <w:trPr/>
        <w:tc>
          <w:tcPr>
            <w:tcW w:w="78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2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r>
      <w:tr>
        <w:trPr/>
        <w:tc>
          <w:tcPr>
            <w:tcW w:w="78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2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r>
      <w:tr>
        <w:trPr/>
        <w:tc>
          <w:tcPr>
            <w:tcW w:w="78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2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r>
    </w:tbl>
    <w:p>
      <w:pPr>
        <w:pStyle w:val="TextBody"/>
        <w:pBdr>
          <w:bottom w:val="single" w:sz="4" w:space="1" w:color="000000"/>
        </w:pBdr>
        <w:bidi w:val="0"/>
        <w:jc w:val="left"/>
        <w:rPr/>
      </w:pPr>
      <w:r>
        <w:rPr/>
        <w:t> </w:t>
      </w:r>
    </w:p>
    <w:p>
      <w:pPr>
        <w:pStyle w:val="TextBody"/>
        <w:bidi w:val="0"/>
        <w:jc w:val="left"/>
        <w:rPr>
          <w:rFonts w:ascii="Arial" w:hAnsi="Arial"/>
          <w:color w:val="000000"/>
          <w:sz w:val="20"/>
        </w:rPr>
      </w:pPr>
      <w:r>
        <w:rPr>
          <w:rFonts w:ascii="Arial" w:hAnsi="Arial"/>
          <w:color w:val="000000"/>
          <w:sz w:val="20"/>
        </w:rPr>
        <w:t>* Filed herewith.</w:t>
      </w:r>
    </w:p>
    <w:p>
      <w:pPr>
        <w:pStyle w:val="TextBody"/>
        <w:bidi w:val="0"/>
        <w:jc w:val="left"/>
        <w:rPr>
          <w:rFonts w:ascii="Arial" w:hAnsi="Arial"/>
          <w:color w:val="000000"/>
          <w:sz w:val="20"/>
        </w:rPr>
      </w:pPr>
      <w:r>
        <w:rPr>
          <w:rFonts w:ascii="Arial" w:hAnsi="Arial"/>
          <w:color w:val="000000"/>
          <w:sz w:val="20"/>
        </w:rPr>
        <w:t>** Furnished herewith.</w:t>
      </w:r>
    </w:p>
    <w:p>
      <w:pPr>
        <w:pStyle w:val="TextBody"/>
        <w:bidi w:val="0"/>
        <w:jc w:val="left"/>
        <w:rPr/>
      </w:pPr>
      <w:r>
        <w:rPr/>
        <w:t> </w:t>
      </w:r>
    </w:p>
    <w:p>
      <w:pPr>
        <w:pStyle w:val="TextBody"/>
        <w:bidi w:val="0"/>
        <w:spacing w:before="0" w:after="24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2" w:name="signatures"/>
      <w:bookmarkEnd w:id="22"/>
      <w:r>
        <w:rPr>
          <w:rFonts w:ascii="Arial" w:hAnsi="Arial"/>
          <w:b/>
          <w:color w:val="000000"/>
          <w:sz w:val="20"/>
        </w:rPr>
        <w:t>SIGNATURES</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9202" w:type="dxa"/>
        <w:jc w:val="left"/>
        <w:tblInd w:w="0" w:type="dxa"/>
        <w:tblLayout w:type="fixed"/>
        <w:tblCellMar>
          <w:top w:w="28" w:type="dxa"/>
          <w:left w:w="28" w:type="dxa"/>
          <w:bottom w:w="28" w:type="dxa"/>
          <w:right w:w="28" w:type="dxa"/>
        </w:tblCellMar>
      </w:tblPr>
      <w:tblGrid>
        <w:gridCol w:w="2071"/>
        <w:gridCol w:w="109"/>
        <w:gridCol w:w="406"/>
        <w:gridCol w:w="661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61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ATEA PHARMACEUTICALS, INC.</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66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Jean-Pierre Sommadossi, Ph.D.</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Jean-Pierre Sommadossi, Ph.D.</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6" w:type="dxa"/>
            <w:tcBorders/>
            <w:shd w:fill="FFFFFF" w:val="clear"/>
            <w:tcMar>
              <w:top w:w="0" w:type="dxa"/>
              <w:left w:w="0" w:type="dxa"/>
              <w:bottom w:w="0" w:type="dxa"/>
              <w:right w:w="0" w:type="dxa"/>
            </w:tcMar>
            <w:vAlign w:val="center"/>
          </w:tcPr>
          <w:p>
            <w:pPr>
              <w:pStyle w:val="TableContents"/>
              <w:bidi w:val="0"/>
              <w:jc w:val="center"/>
              <w:rPr>
                <w:rFonts w:ascii="Arial" w:hAnsi="Arial"/>
                <w:sz w:val="20"/>
              </w:rPr>
            </w:pPr>
            <w:r>
              <w:rPr>
                <w:rFonts w:ascii="Arial" w:hAnsi="Arial"/>
                <w:b/>
                <w:color w:val="000000"/>
                <w:sz w:val="20"/>
              </w:rPr>
              <w:t>President and Chief Executive Officer</w:t>
            </w:r>
            <w:r>
              <w:rPr>
                <w:rFonts w:ascii="Arial" w:hAnsi="Arial"/>
                <w:color w:val="000000"/>
                <w:sz w:val="20"/>
              </w:rPr>
              <w:t xml:space="preserve"> </w:t>
            </w:r>
          </w:p>
          <w:p>
            <w:pPr>
              <w:pStyle w:val="TableContents"/>
              <w:bidi w:val="0"/>
              <w:spacing w:before="0" w:after="283"/>
              <w:jc w:val="center"/>
              <w:rPr>
                <w:rFonts w:ascii="Arial" w:hAnsi="Arial"/>
                <w:b/>
                <w:color w:val="000000"/>
                <w:sz w:val="20"/>
              </w:rPr>
            </w:pPr>
            <w:r>
              <w:rPr>
                <w:rFonts w:ascii="Arial" w:hAnsi="Arial"/>
                <w:b/>
                <w:color w:val="000000"/>
                <w:sz w:val="20"/>
              </w:rPr>
              <w:t>(principal executive officer)</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66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Andrea Corcoran</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Andrea Corcoran</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6"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Chief Financial Officer, Executive Vice President, Legal and Secretary</w:t>
            </w:r>
          </w:p>
          <w:p>
            <w:pPr>
              <w:pStyle w:val="TableContents"/>
              <w:bidi w:val="0"/>
              <w:spacing w:before="0" w:after="283"/>
              <w:jc w:val="center"/>
              <w:rPr>
                <w:rFonts w:ascii="Arial" w:hAnsi="Arial"/>
                <w:b/>
                <w:color w:val="000000"/>
                <w:sz w:val="20"/>
              </w:rPr>
            </w:pPr>
            <w:r>
              <w:rPr>
                <w:rFonts w:ascii="Arial" w:hAnsi="Arial"/>
                <w:b/>
                <w:color w:val="000000"/>
                <w:sz w:val="20"/>
              </w:rPr>
              <w:t>(principal financial officer)</w:t>
            </w:r>
          </w:p>
        </w:tc>
      </w:tr>
    </w:tbl>
    <w:p>
      <w:pPr>
        <w:pStyle w:val="TextBody"/>
        <w:bidi w:val="0"/>
        <w:jc w:val="right"/>
        <w:rPr/>
      </w:pPr>
      <w:r>
        <w:rPr/>
        <w:t> </w:t>
      </w:r>
    </w:p>
    <w:p>
      <w:pPr>
        <w:pStyle w:val="TextBody"/>
        <w:bidi w:val="0"/>
        <w:spacing w:before="24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3" w:name="avir-ex10_1.htm"/>
      <w:bookmarkStart w:id="24" w:name="ksavirex10_1"/>
      <w:bookmarkEnd w:id="23"/>
      <w:bookmarkEnd w:id="24"/>
      <w:r>
        <w:rPr>
          <w:rFonts w:ascii="Arial" w:hAnsi="Arial"/>
          <w:b/>
          <w:color w:val="000000"/>
          <w:sz w:val="20"/>
        </w:rPr>
        <w:t>Exhibit 10.1</w:t>
      </w:r>
      <w:r>
        <w:br w:type="page"/>
      </w:r>
    </w:p>
    <w:p>
      <w:pPr>
        <w:pStyle w:val="TextBody"/>
        <w:bidi w:val="0"/>
        <w:jc w:val="left"/>
        <w:rPr/>
      </w:pPr>
      <w:r>
        <w:rPr/>
        <w:t> </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Atea Pharmaceuticals, Inc.</w:t>
      </w:r>
    </w:p>
    <w:p>
      <w:pPr>
        <w:pStyle w:val="TextBody"/>
        <w:bidi w:val="0"/>
        <w:spacing w:before="46" w:after="283"/>
        <w:jc w:val="left"/>
        <w:rPr/>
      </w:pPr>
      <w:r>
        <w:rPr/>
        <w:t> </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Non-Employee Director Compensation Program</w:t>
      </w:r>
    </w:p>
    <w:p>
      <w:pPr>
        <w:pStyle w:val="TextBody"/>
        <w:bidi w:val="0"/>
        <w:spacing w:before="47" w:after="283"/>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(Effective June 18, 2026)</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Non-employee members of 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of Atea Pharmaceuticals,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shall receive cash and equity compensation as set forth in this Non-Employee Director Compensation Program (this “</w:t>
      </w:r>
      <w:r>
        <w:rPr>
          <w:rFonts w:ascii="Times New Roman" w:hAnsi="Times New Roman"/>
          <w:b/>
          <w:i/>
          <w:color w:val="000000"/>
          <w:sz w:val="22"/>
        </w:rPr>
        <w:t>Program</w:t>
      </w:r>
      <w:r>
        <w:rPr>
          <w:rFonts w:ascii="Times New Roman" w:hAnsi="Times New Roman"/>
          <w:color w:val="000000"/>
          <w:sz w:val="20"/>
        </w:rPr>
        <w:t>”</w:t>
      </w:r>
      <w:r>
        <w:rPr>
          <w:rFonts w:ascii="Times New Roman" w:hAnsi="Times New Roman"/>
          <w:color w:val="000000"/>
          <w:sz w:val="22"/>
        </w:rPr>
        <w:t>). The cash and equity compensation described in this Program shall be paid or be made, as applicable, automatically and without further action of the Board, to each member of the Board who is not an employee of the Company or any subsidiary of the Company (each, a “</w:t>
      </w:r>
      <w:r>
        <w:rPr>
          <w:rFonts w:ascii="Times New Roman" w:hAnsi="Times New Roman"/>
          <w:b/>
          <w:i/>
          <w:color w:val="000000"/>
          <w:sz w:val="22"/>
        </w:rPr>
        <w:t>Non-Employee Director</w:t>
      </w:r>
      <w:r>
        <w:rPr>
          <w:rFonts w:ascii="Times New Roman" w:hAnsi="Times New Roman"/>
          <w:color w:val="000000"/>
          <w:sz w:val="20"/>
        </w:rPr>
        <w:t>”</w:t>
      </w:r>
      <w:r>
        <w:rPr>
          <w:rFonts w:ascii="Times New Roman" w:hAnsi="Times New Roman"/>
          <w:color w:val="000000"/>
          <w:sz w:val="22"/>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As of the effective date stated above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 the terms and conditions of this Program shall supersede any prior cash and/or equity compensation arrangements for service as a member of the Board between the Company and any of its Non-Employee Directors.</w:t>
      </w:r>
    </w:p>
    <w:p>
      <w:pPr>
        <w:pStyle w:val="TextBody"/>
        <w:bidi w:val="0"/>
        <w:spacing w:before="243" w:after="283"/>
        <w:jc w:val="left"/>
        <w:rPr>
          <w:rFonts w:ascii="Times New Roman" w:hAnsi="Times New Roman"/>
          <w:b/>
          <w:color w:val="000000"/>
          <w:sz w:val="22"/>
        </w:rPr>
      </w:pPr>
      <w:r>
        <w:rPr>
          <w:rFonts w:ascii="Times New Roman" w:hAnsi="Times New Roman"/>
          <w:b/>
          <w:color w:val="000000"/>
          <w:sz w:val="22"/>
        </w:rPr>
        <w:t>I.</w:t>
      </w:r>
    </w:p>
    <w:p>
      <w:pPr>
        <w:pStyle w:val="TextBody"/>
        <w:bidi w:val="0"/>
        <w:spacing w:before="243" w:after="283"/>
        <w:jc w:val="left"/>
        <w:rPr>
          <w:rFonts w:ascii="Times New Roman" w:hAnsi="Times New Roman"/>
          <w:b/>
          <w:smallCaps/>
          <w:color w:val="000000"/>
          <w:sz w:val="22"/>
        </w:rPr>
      </w:pPr>
      <w:r>
        <w:rPr>
          <w:rFonts w:ascii="Times New Roman" w:hAnsi="Times New Roman"/>
          <w:b/>
          <w:smallCaps/>
          <w:color w:val="000000"/>
          <w:sz w:val="22"/>
        </w:rPr>
        <w:t>Cash Compensation</w:t>
      </w:r>
    </w:p>
    <w:p>
      <w:pPr>
        <w:pStyle w:val="TextBody"/>
        <w:bidi w:val="0"/>
        <w:spacing w:before="30" w:after="283"/>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w:t>
      </w:r>
    </w:p>
    <w:p>
      <w:pPr>
        <w:pStyle w:val="TextBody"/>
        <w:bidi w:val="0"/>
        <w:jc w:val="left"/>
        <w:rPr/>
      </w:pPr>
      <w:r>
        <w:rPr>
          <w:rFonts w:ascii="Times New Roman" w:hAnsi="Times New Roman"/>
          <w:color w:val="000000"/>
          <w:sz w:val="22"/>
          <w:u w:val="single"/>
        </w:rPr>
        <w:t>Annual Retainers</w:t>
      </w:r>
      <w:r>
        <w:rPr>
          <w:rFonts w:ascii="Times New Roman" w:hAnsi="Times New Roman"/>
          <w:color w:val="000000"/>
          <w:sz w:val="22"/>
        </w:rPr>
        <w:t>. Each Non-Employee Director shall receive an annual retainer of</w:t>
      </w:r>
    </w:p>
    <w:p>
      <w:pPr>
        <w:pStyle w:val="TextBody"/>
        <w:bidi w:val="0"/>
        <w:spacing w:before="4" w:after="283"/>
        <w:jc w:val="left"/>
        <w:rPr>
          <w:rFonts w:ascii="Times New Roman" w:hAnsi="Times New Roman"/>
          <w:color w:val="000000"/>
          <w:sz w:val="22"/>
        </w:rPr>
      </w:pPr>
      <w:r>
        <w:rPr>
          <w:rFonts w:ascii="Times New Roman" w:hAnsi="Times New Roman"/>
          <w:color w:val="000000"/>
          <w:sz w:val="22"/>
        </w:rPr>
        <w:t>$45,000 for service on the Board.</w:t>
      </w:r>
    </w:p>
    <w:p>
      <w:pPr>
        <w:pStyle w:val="TextBody"/>
        <w:bidi w:val="0"/>
        <w:spacing w:before="236"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36" w:after="283"/>
        <w:jc w:val="left"/>
        <w:rPr/>
      </w:pPr>
      <w:r>
        <w:rPr>
          <w:rFonts w:ascii="Times New Roman" w:hAnsi="Times New Roman"/>
          <w:color w:val="000000"/>
          <w:sz w:val="22"/>
          <w:u w:val="single"/>
        </w:rPr>
        <w:t>Additional Annual Retainers</w:t>
      </w:r>
      <w:r>
        <w:rPr>
          <w:rFonts w:ascii="Times New Roman" w:hAnsi="Times New Roman"/>
          <w:color w:val="000000"/>
          <w:sz w:val="22"/>
        </w:rPr>
        <w:t>. In addition, each Non-Employee Director shall receive the following annual retainers: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1" w:after="283"/>
        <w:jc w:val="both"/>
        <w:rPr/>
      </w:pPr>
      <w:r>
        <w:rPr>
          <w:rFonts w:ascii="Times New Roman" w:hAnsi="Times New Roman"/>
          <w:i/>
          <w:color w:val="000000"/>
          <w:sz w:val="22"/>
        </w:rPr>
        <w:t>Chairman of the Board or Lead Independent Director</w:t>
      </w:r>
      <w:r>
        <w:rPr>
          <w:rFonts w:ascii="Times New Roman" w:hAnsi="Times New Roman"/>
          <w:color w:val="000000"/>
          <w:sz w:val="22"/>
        </w:rPr>
        <w:t>. A Non-Employee Director serving as Chairman of the Board or Lead Independent Director shall receive an additional annual retainer of $26,000 for such service.</w:t>
      </w:r>
    </w:p>
    <w:p>
      <w:pPr>
        <w:pStyle w:val="TextBody"/>
        <w:bidi w:val="0"/>
        <w:spacing w:before="231"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31" w:after="283"/>
        <w:jc w:val="both"/>
        <w:rPr/>
      </w:pPr>
      <w:r>
        <w:rPr>
          <w:rFonts w:ascii="Times New Roman" w:hAnsi="Times New Roman"/>
          <w:i/>
          <w:color w:val="000000"/>
          <w:sz w:val="22"/>
        </w:rPr>
        <w:t>Audit Committee</w:t>
      </w:r>
      <w:r>
        <w:rPr>
          <w:rFonts w:ascii="Times New Roman" w:hAnsi="Times New Roman"/>
          <w:color w:val="000000"/>
          <w:sz w:val="22"/>
        </w:rPr>
        <w:t>. A Non-Employee Director serving as Chairperson of the Audit Committee shall receive an additional annual retainer of $20,000 for such service. A Non-Employee Director serving as a member other than the Chairperson of the Audit Committee shall receive an additional annual retainer of $10,000 for such service.</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41" w:after="283"/>
        <w:jc w:val="both"/>
        <w:rPr/>
      </w:pPr>
      <w:r>
        <w:rPr>
          <w:rFonts w:ascii="Times New Roman" w:hAnsi="Times New Roman"/>
          <w:i/>
          <w:color w:val="000000"/>
          <w:sz w:val="22"/>
        </w:rPr>
        <w:t>Compensation Committee</w:t>
      </w:r>
      <w:r>
        <w:rPr>
          <w:rFonts w:ascii="Times New Roman" w:hAnsi="Times New Roman"/>
          <w:color w:val="000000"/>
          <w:sz w:val="22"/>
        </w:rPr>
        <w:t>. A Non-Employee Director serving as Chairperson of the Compensation Committee shall receive an additional annual retainer of $15,000 for such service. A Non-Employee Director serving as a member other than the Chairperson of the Compensation Committee shall receive an additional annual retainer of $7,500 for such service.</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38" w:after="283"/>
        <w:jc w:val="both"/>
        <w:rPr/>
      </w:pPr>
      <w:r>
        <w:rPr>
          <w:rFonts w:ascii="Times New Roman" w:hAnsi="Times New Roman"/>
          <w:i/>
          <w:color w:val="000000"/>
          <w:sz w:val="22"/>
        </w:rPr>
        <w:t>Nominating and Corporate Governance Committee</w:t>
      </w:r>
      <w:r>
        <w:rPr>
          <w:rFonts w:ascii="Times New Roman" w:hAnsi="Times New Roman"/>
          <w:color w:val="000000"/>
          <w:sz w:val="22"/>
        </w:rPr>
        <w:t>. A Non-Employee Director serving as Chairperson of the Nominating and Corporate Governance Committee shall receive an additional annual retainer of $10,000 for such service. A Non-Employee Director serving as a member other than the Chairperson of the Nominating and Corporate Governance Committee shall receive an additional annual retainer of $5,000 for such service.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0" w:after="283"/>
        <w:jc w:val="both"/>
        <w:rPr/>
      </w:pPr>
      <w:r>
        <w:rPr>
          <w:rFonts w:ascii="Times New Roman" w:hAnsi="Times New Roman"/>
          <w:i/>
          <w:color w:val="000000"/>
          <w:sz w:val="22"/>
        </w:rPr>
        <w:t>Strategy and Public Policy Committee</w:t>
      </w:r>
      <w:r>
        <w:rPr>
          <w:rFonts w:ascii="Times New Roman" w:hAnsi="Times New Roman"/>
          <w:color w:val="000000"/>
          <w:sz w:val="22"/>
        </w:rPr>
        <w:t>. A Non-Employee Director serving as Chairperson of the Strategy and Public Policy Committee shall receive an additional annual retainer of $20,000</w:t>
      </w:r>
    </w:p>
    <w:p>
      <w:pPr>
        <w:pStyle w:val="TextBody"/>
        <w:bidi w:val="0"/>
        <w:spacing w:before="79" w:after="283"/>
        <w:jc w:val="left"/>
        <w:rPr>
          <w:rFonts w:ascii="Times New Roman" w:hAnsi="Times New Roman"/>
          <w:color w:val="000000"/>
          <w:sz w:val="22"/>
        </w:rPr>
      </w:pPr>
      <w:r>
        <w:rPr>
          <w:rFonts w:ascii="Times New Roman" w:hAnsi="Times New Roman"/>
          <w:color w:val="000000"/>
          <w:sz w:val="22"/>
        </w:rPr>
        <w:t>for such service. A Non-Employee Director serving as a member other than the Chairperson of the Strategy and Public Policy Committee shall receive an additional annual retainer of $10,000 for such service.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38" w:after="283"/>
        <w:jc w:val="both"/>
        <w:rPr/>
      </w:pPr>
      <w:r>
        <w:rPr>
          <w:rFonts w:ascii="Times New Roman" w:hAnsi="Times New Roman"/>
          <w:color w:val="000000"/>
          <w:sz w:val="22"/>
          <w:u w:val="single"/>
        </w:rPr>
        <w:t>Payment of Retainers</w:t>
      </w:r>
      <w:r>
        <w:rPr>
          <w:rFonts w:ascii="Times New Roman" w:hAnsi="Times New Roman"/>
          <w:color w:val="000000"/>
          <w:sz w:val="22"/>
        </w:rPr>
        <w:t>. The retainers described in Sections I(A) and (B)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pStyle w:val="TextBody"/>
        <w:bidi w:val="0"/>
        <w:spacing w:before="3" w:after="283"/>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II.</w:t>
      </w:r>
    </w:p>
    <w:p>
      <w:pPr>
        <w:pStyle w:val="TextBody"/>
        <w:bidi w:val="0"/>
        <w:jc w:val="left"/>
        <w:rPr>
          <w:rFonts w:ascii="Times New Roman" w:hAnsi="Times New Roman"/>
          <w:b/>
          <w:smallCaps/>
          <w:color w:val="000000"/>
          <w:sz w:val="22"/>
        </w:rPr>
      </w:pPr>
      <w:r>
        <w:rPr>
          <w:rFonts w:ascii="Times New Roman" w:hAnsi="Times New Roman"/>
          <w:b/>
          <w:smallCaps/>
          <w:color w:val="000000"/>
          <w:sz w:val="22"/>
        </w:rPr>
        <w:t>Equity Compensation</w:t>
      </w:r>
    </w:p>
    <w:p>
      <w:pPr>
        <w:pStyle w:val="TextBody"/>
        <w:bidi w:val="0"/>
        <w:spacing w:before="32" w:after="283"/>
        <w:jc w:val="left"/>
        <w:rPr/>
      </w:pPr>
      <w:r>
        <w:rPr/>
        <w:t> </w:t>
      </w:r>
    </w:p>
    <w:p>
      <w:pPr>
        <w:pStyle w:val="TextBody"/>
        <w:bidi w:val="0"/>
        <w:jc w:val="both"/>
        <w:rPr>
          <w:rFonts w:ascii="Times New Roman" w:hAnsi="Times New Roman"/>
          <w:sz w:val="20"/>
        </w:rPr>
      </w:pPr>
      <w:r>
        <w:rPr>
          <w:rFonts w:ascii="Times New Roman" w:hAnsi="Times New Roman"/>
          <w:color w:val="000000"/>
          <w:sz w:val="22"/>
        </w:rPr>
        <w:t>Non-Employee Directors shall be granted the equity awards described below. The awards described below shall be granted under and shall be subject to the terms and provisions of the Company’s 2020 Incentive Award Plan or any other applicable Company equity incentive plan then-maintained by the Company (the “</w:t>
      </w:r>
      <w:r>
        <w:rPr>
          <w:rFonts w:ascii="Times New Roman" w:hAnsi="Times New Roman"/>
          <w:b/>
          <w:i/>
          <w:color w:val="000000"/>
          <w:sz w:val="22"/>
        </w:rPr>
        <w:t>Equity Plan</w:t>
      </w:r>
      <w:r>
        <w:rPr>
          <w:rFonts w:ascii="Times New Roman" w:hAnsi="Times New Roman"/>
          <w:color w:val="000000"/>
          <w:sz w:val="20"/>
        </w:rPr>
        <w:t>”</w:t>
      </w:r>
      <w:r>
        <w:rPr>
          <w:rFonts w:ascii="Times New Roman" w:hAnsi="Times New Roman"/>
          <w:color w:val="000000"/>
          <w:sz w:val="22"/>
        </w:rPr>
        <w:t>) and shall be granted subject to award agreements, including attached exhibits, in substantially the form previously approved by the Board. All applicable terms of the Equity Plan apply to this Program as if fully set forth herein, and all grants of stock options hereby are subject in all respects to the terms of the Equity Plan and the applicable award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Initial Awards</w:t>
      </w:r>
      <w:r>
        <w:rPr>
          <w:rFonts w:ascii="Times New Roman" w:hAnsi="Times New Roman"/>
          <w:color w:val="000000"/>
          <w:sz w:val="22"/>
        </w:rPr>
        <w:t>. Each Non-Employee Director who is initially elected or appointed to the Board after the Effective Date shall receive on the date of such initial election or appointment an option to purchase 129,200 shares of the Company’s common stock. The award described in this Section II(A) shall be referred to as an “</w:t>
      </w:r>
      <w:r>
        <w:rPr>
          <w:rFonts w:ascii="Times New Roman" w:hAnsi="Times New Roman"/>
          <w:b/>
          <w:i/>
          <w:color w:val="000000"/>
          <w:sz w:val="22"/>
        </w:rPr>
        <w:t>Initial Award</w:t>
      </w:r>
      <w:r>
        <w:rPr>
          <w:rFonts w:ascii="Times New Roman" w:hAnsi="Times New Roman"/>
          <w:color w:val="000000"/>
          <w:sz w:val="22"/>
        </w:rPr>
        <w:t>.” No Non-Employee Director shall be granted more than one Initial Award.</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u w:val="single"/>
        </w:rPr>
        <w:t>Subsequent Awards</w:t>
      </w:r>
      <w:r>
        <w:rPr>
          <w:rFonts w:ascii="Times New Roman" w:hAnsi="Times New Roman"/>
          <w:color w:val="000000"/>
          <w:sz w:val="22"/>
        </w:rPr>
        <w:t>. A Non-Employee Director who (i) has been serving as a Non-Employee Director on the Board for at least six months as of the date of any annual meeting of the Company’s stockholders after the Effective Date and (ii) will continue to serve as a Non-Employee Director immediately following such meeting, shall receive on the date of such annual meeting (1) an option to purchase 37,700 shares of the Company’s common stock and (2) a number of restricted stock units equal to 26,700 shares of the Company’s common stock. The awards described in this Section II(B) shall be referred to as “</w:t>
      </w:r>
      <w:r>
        <w:rPr>
          <w:rFonts w:ascii="Times New Roman" w:hAnsi="Times New Roman"/>
          <w:b/>
          <w:i/>
          <w:color w:val="000000"/>
          <w:sz w:val="22"/>
        </w:rPr>
        <w:t>Subsequent Awards</w:t>
      </w:r>
      <w:r>
        <w:rPr>
          <w:rFonts w:ascii="Times New Roman" w:hAnsi="Times New Roman"/>
          <w:color w:val="000000"/>
          <w:sz w:val="22"/>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pStyle w:val="TextBody"/>
        <w:bidi w:val="0"/>
        <w:spacing w:before="21" w:after="283"/>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1" w:after="283"/>
        <w:jc w:val="both"/>
        <w:rPr/>
      </w:pPr>
      <w:r>
        <w:rPr>
          <w:rFonts w:ascii="Times New Roman" w:hAnsi="Times New Roman"/>
          <w:color w:val="000000"/>
          <w:sz w:val="22"/>
          <w:u w:val="single"/>
        </w:rPr>
        <w:t>Termination of Employment of Employee Directors</w:t>
      </w:r>
      <w:r>
        <w:rPr>
          <w:rFonts w:ascii="Times New Roman" w:hAnsi="Times New Roman"/>
          <w:color w:val="000000"/>
          <w:sz w:val="22"/>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II(A) above, but to the extent that they are otherwise entitled, will receive, after termination of employment with the Company and any parent or subsidiary of the Company, Subsequent Awards as described in Section II(B) above.</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Terms of Awards Granted to Non-Employee Directors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i/>
          <w:color w:val="000000"/>
          <w:sz w:val="22"/>
        </w:rPr>
        <w:t xml:space="preserve">Exercise Price. </w:t>
      </w:r>
      <w:r>
        <w:rPr>
          <w:rFonts w:ascii="Times New Roman" w:hAnsi="Times New Roman"/>
          <w:color w:val="000000"/>
          <w:sz w:val="22"/>
        </w:rPr>
        <w:t>The per share exercise price of each option granted to a Non-Employee Director shall equal the Fair Market Value of a share of the Company’s common stock on the date the option is granted.</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pPr>
      <w:r>
        <w:rPr>
          <w:rFonts w:ascii="Times New Roman" w:hAnsi="Times New Roman"/>
          <w:i/>
          <w:color w:val="000000"/>
          <w:sz w:val="22"/>
        </w:rPr>
        <w:t>Vesting</w:t>
      </w:r>
      <w:r>
        <w:rPr>
          <w:rFonts w:ascii="Times New Roman" w:hAnsi="Times New Roman"/>
          <w:color w:val="000000"/>
          <w:sz w:val="22"/>
        </w:rPr>
        <w:t>. Each Initial Award shall vest and become exercisable in thirty-six (36) substantially equal monthly installments following the date of grant, such that the Initial Award shall be fully vested on the third anniversary of the date of grant, subject to the Non-Employee Director continuing in service</w:t>
      </w:r>
    </w:p>
    <w:p>
      <w:pPr>
        <w:pStyle w:val="TextBody"/>
        <w:bidi w:val="0"/>
        <w:spacing w:before="79" w:after="283"/>
        <w:jc w:val="both"/>
        <w:rPr>
          <w:rFonts w:ascii="Times New Roman" w:hAnsi="Times New Roman"/>
          <w:sz w:val="20"/>
        </w:rPr>
      </w:pPr>
      <w:r>
        <w:rPr>
          <w:rFonts w:ascii="Times New Roman" w:hAnsi="Times New Roman"/>
          <w:color w:val="000000"/>
          <w:sz w:val="22"/>
        </w:rPr>
        <w:t>as a Non-Employee Director through each such vesting date. Each Subsequent Award that is a stock option shall vest and become exercisable in twelve substantially equal monthly installments following the date of grant, such that the Subsequent Award shall be fully vested on the first anniversary of the date of grant, subject to the Non-Employee Director continuing in service on the Board as a Non-Employee Director through each such vesting date. Each Subsequent Award that is a restricted stock unit award shall vest in a single installment on the earlier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79" w:after="283"/>
        <w:jc w:val="both"/>
        <w:rPr>
          <w:rFonts w:ascii="Times New Roman" w:hAnsi="Times New Roman"/>
          <w:color w:val="000000"/>
          <w:sz w:val="22"/>
        </w:rPr>
      </w:pPr>
      <w:r>
        <w:rPr>
          <w:rFonts w:ascii="Times New Roman" w:hAnsi="Times New Roman"/>
          <w:color w:val="000000"/>
          <w:sz w:val="22"/>
        </w:rPr>
        <w:t>of (i) the date of the next annual meeting of the Company’s stockholders occurring after the date of grant or (ii) the first anniversary of the date of grant, in each case, subject to the Non-Employee Director continuing in service on the Board as a Non-Employee Director through the applicable vesting date. Unless the Board otherwise determines, any portion of an Initial Award or Subsequent Award which is unvested or unexercisable at the time of a Non-Employee Director’s termination of service on the Board as a Non-Employee Director shall be immediately forfeited upon such termination of service and shall not thereafter become vested and exercisable. All of a Non-Employee Director’s outstanding Initial Awards and Subsequent Awards shall vest in full immediately prior to the occurrence of a Change in Control (as defined in the Equity Plan), to the extent outstanding at such time.</w:t>
      </w:r>
    </w:p>
    <w:p>
      <w:pPr>
        <w:pStyle w:val="TextBody"/>
        <w:bidi w:val="0"/>
        <w:spacing w:before="1"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3.</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i/>
          <w:color w:val="000000"/>
          <w:sz w:val="22"/>
        </w:rPr>
        <w:t>Term</w:t>
      </w:r>
      <w:r>
        <w:rPr>
          <w:rFonts w:ascii="Times New Roman" w:hAnsi="Times New Roman"/>
          <w:color w:val="000000"/>
          <w:sz w:val="22"/>
        </w:rPr>
        <w:t>. The maximum term of each stock option granted to a Non-Employee Director hereunder shall be ten (10) years from the date the option is granted.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spacing w:before="161"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 *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5" w:name="avir-ex10_2.htm"/>
      <w:bookmarkStart w:id="26" w:name="ksavirex10_2"/>
      <w:bookmarkEnd w:id="25"/>
      <w:bookmarkEnd w:id="26"/>
      <w:r>
        <w:rPr>
          <w:rFonts w:ascii="Arial" w:hAnsi="Arial"/>
          <w:b/>
          <w:color w:val="000000"/>
          <w:sz w:val="20"/>
        </w:rPr>
        <w:t>Exhibit 10.2</w:t>
      </w:r>
      <w:r>
        <w:br w:type="page"/>
      </w:r>
    </w:p>
    <w:p>
      <w:pPr>
        <w:pStyle w:val="Heading1"/>
        <w:bidi w:val="0"/>
        <w:spacing w:before="60" w:after="283"/>
        <w:jc w:val="center"/>
        <w:rPr>
          <w:rFonts w:ascii="Times New Roman" w:hAnsi="Times New Roman"/>
          <w:color w:val="000000"/>
          <w:sz w:val="24"/>
        </w:rPr>
      </w:pPr>
      <w:r>
        <w:rPr>
          <w:rFonts w:ascii="Times New Roman" w:hAnsi="Times New Roman"/>
          <w:color w:val="000000"/>
          <w:sz w:val="24"/>
        </w:rPr>
        <w:t>CONSULTING AGREEMENT</w:t>
      </w:r>
    </w:p>
    <w:p>
      <w:pPr>
        <w:pStyle w:val="TextBody"/>
        <w:bidi w:val="0"/>
        <w:spacing w:before="240" w:after="283"/>
        <w:jc w:val="left"/>
        <w:rPr>
          <w:rFonts w:ascii="Times New Roman" w:hAnsi="Times New Roman"/>
          <w:sz w:val="20"/>
        </w:rPr>
      </w:pPr>
      <w:r>
        <w:rPr>
          <w:rFonts w:ascii="Times New Roman" w:hAnsi="Times New Roman"/>
          <w:color w:val="000000"/>
          <w:sz w:val="24"/>
        </w:rPr>
        <w:t>This CONSULTING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made this 1st day of June, 2026 by Atea Pharmaceuticals,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Bruno Lucidi (the “</w:t>
      </w:r>
      <w:r>
        <w:rPr>
          <w:rFonts w:ascii="Times New Roman" w:hAnsi="Times New Roman"/>
          <w:color w:val="000000"/>
          <w:sz w:val="24"/>
          <w:u w:val="single"/>
        </w:rPr>
        <w:t>Consultant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INTRODUCTION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Company and the Consultant desire to establish the terms and conditions under which the Consultant will provide services to the Company. In consideration of the mutual covenants and promises contained herein and other good and valuable consideration, the receipt and sufficiency of which are hereby acknowledged by the parties hereto, the parties agree as follows: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u w:val="single"/>
        </w:rPr>
        <w:t>Services</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Consultant agrees to perform such consulting, advisory and related services to and for the Company as may be reasonably requested from time to time by the Company, including without limitation with respect to the commercialization, pricing and reimbursement of the Company’s products outside of the United States.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Consultant represents and warrants that the Consultant will provide the services in a timely, professional and workmanlike manner in accordance with reasonable and safe methods of practices of the Consultant’s profession and in accordance with all applicable laws, rules and regulations and recognized professional standards, ethics and customs. All Services will be performed outside the United States.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u w:val="single"/>
        </w:rPr>
        <w:t>Term</w:t>
      </w:r>
      <w:r>
        <w:rPr>
          <w:rFonts w:ascii="Times New Roman" w:hAnsi="Times New Roman"/>
          <w:color w:val="000000"/>
          <w:sz w:val="24"/>
        </w:rPr>
        <w:t xml:space="preserve">. This Agreement shall commence on the date hereof and shall continue until terminated in accordance with the provisions of </w:t>
      </w:r>
      <w:r>
        <w:rPr>
          <w:rFonts w:ascii="Times New Roman" w:hAnsi="Times New Roman"/>
          <w:color w:val="000000"/>
          <w:sz w:val="24"/>
          <w:u w:val="single"/>
        </w:rPr>
        <w:t>Section 4</w:t>
      </w:r>
      <w:r>
        <w:rPr>
          <w:color w:val="000000"/>
        </w:rPr>
        <w:t xml:space="preserve"> </w:t>
      </w:r>
      <w:r>
        <w:rPr>
          <w:rFonts w:ascii="Times New Roman" w:hAnsi="Times New Roman"/>
          <w:color w:val="000000"/>
          <w:sz w:val="24"/>
        </w:rPr>
        <w:t>(such period, the “</w:t>
      </w:r>
      <w:r>
        <w:rPr>
          <w:rFonts w:ascii="Times New Roman" w:hAnsi="Times New Roman"/>
          <w:color w:val="000000"/>
          <w:sz w:val="24"/>
          <w:u w:val="single"/>
        </w:rPr>
        <w:t>Consultation</w:t>
      </w:r>
      <w:r>
        <w:rPr>
          <w:color w:val="000000"/>
        </w:rPr>
        <w:t xml:space="preserve"> </w:t>
      </w:r>
      <w:r>
        <w:rPr>
          <w:rFonts w:ascii="Times New Roman" w:hAnsi="Times New Roman"/>
          <w:color w:val="000000"/>
          <w:sz w:val="24"/>
          <w:u w:val="single"/>
        </w:rPr>
        <w:t>Period</w:t>
      </w:r>
      <w:r>
        <w:rPr>
          <w:color w:val="000000"/>
        </w:rPr>
        <w:t>”</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u w:val="single"/>
        </w:rPr>
        <w:t>Compensation</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u w:val="single"/>
        </w:rPr>
        <w:t>Consulting Fees</w:t>
      </w:r>
      <w:r>
        <w:rPr>
          <w:rFonts w:ascii="Times New Roman" w:hAnsi="Times New Roman"/>
          <w:color w:val="000000"/>
          <w:sz w:val="24"/>
        </w:rPr>
        <w:t>. The Company shall pay to the Consultant consulting fees of $25,000 per calendar quarter (3 month period) of service, payable in arrears on a quarterly basis. Payment for any partial month of service shall be prorated.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left"/>
        <w:rPr/>
      </w:pPr>
      <w:r>
        <w:rPr>
          <w:rFonts w:ascii="Times New Roman" w:hAnsi="Times New Roman"/>
          <w:color w:val="000000"/>
          <w:sz w:val="24"/>
          <w:u w:val="single"/>
        </w:rPr>
        <w:t>Reimbursement of Expenses</w:t>
      </w:r>
      <w:r>
        <w:rPr>
          <w:rFonts w:ascii="Times New Roman" w:hAnsi="Times New Roman"/>
          <w:color w:val="000000"/>
          <w:sz w:val="24"/>
        </w:rPr>
        <w:t>. The Company shall reimburse the Consultant for all reasonable and necessary documented out of pocket expenses incurred or paid by the Consultant in connection with, or related to, the performance of the Consultant’s services under this Agreement with the prior written approval of the Company in accordance with the Company’s expense reimbursement policies and/or standard practice for consultants.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4"/>
          <w:u w:val="single"/>
        </w:rPr>
        <w:t>Benefits</w:t>
      </w:r>
      <w:r>
        <w:rPr>
          <w:rFonts w:ascii="Times New Roman" w:hAnsi="Times New Roman"/>
          <w:color w:val="000000"/>
          <w:sz w:val="24"/>
        </w:rPr>
        <w:t xml:space="preserve">. The Consultant shall not be entitled to any benefits, coverages or privileges, including, without limitation, social security, unemployment, medical or pension payments, made available to employees of the Company. If the Consultant is reclassified by a state or federal agency or court as the Company’s employee, the Consultant will become a reclassified employee and will receive no benefits from the Company, except those mandated by state or federal law, even if by the terms of the Company’s benefit plans or programs in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color w:val="000000"/>
          <w:sz w:val="24"/>
        </w:rPr>
      </w:pPr>
      <w:r>
        <w:rPr>
          <w:rFonts w:ascii="Times New Roman" w:hAnsi="Times New Roman"/>
          <w:color w:val="000000"/>
          <w:sz w:val="24"/>
        </w:rPr>
        <w:t>effect at the time of such reclassification, the Consultant would otherwise be eligible for such benefits.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u w:val="single"/>
        </w:rPr>
        <w:t>Termination</w:t>
      </w:r>
      <w:r>
        <w:rPr>
          <w:rFonts w:ascii="Times New Roman" w:hAnsi="Times New Roman"/>
          <w:color w:val="000000"/>
          <w:sz w:val="24"/>
        </w:rPr>
        <w:t>. The Company may, without prejudice to any right or remedy it may have due to any failure of the Consultant to perform the Consultant’s obligations under this Agreement, terminate the Consultation Period effective immediately upon written notice to the Consultant. The Consultant may terminate the Consultation Period by giving at least thirty days’ prior written notice to the Company. In the event of such termination, the Consultant shall be entitled to compensation earned hereunder and payment for expenses paid or incurred, in each case, prior to the effective date of termination, subject to any limitation or other restriction set forth herein. Such payments shall constitute full settlement of any and all claims of the Consultant under this Agreement against the Company.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u w:val="single"/>
        </w:rPr>
        <w:t>Cooperation</w:t>
      </w:r>
      <w:r>
        <w:rPr>
          <w:rFonts w:ascii="Times New Roman" w:hAnsi="Times New Roman"/>
          <w:color w:val="000000"/>
          <w:sz w:val="24"/>
        </w:rPr>
        <w:t>. The Consultant shall use the Consultant’s best efforts in the performance of the Consultant’s obligations under this Agreement. The Consultant shall cooperate with the Company’s personnel, shall not interfere with the conduct of the Company’s business and shall observe all rules, regulations and security requirements of the Company concerning the safety of persons and property.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u w:val="single"/>
        </w:rPr>
        <w:t>Inventions and Proprietary Information</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u w:val="single"/>
        </w:rPr>
        <w:t>Inventions</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jc w:val="left"/>
        <w:rPr/>
      </w:pPr>
      <w:r>
        <w:rPr>
          <w:rFonts w:ascii="Times New Roman" w:hAnsi="Times New Roman"/>
          <w:color w:val="000000"/>
          <w:sz w:val="24"/>
        </w:rPr>
        <w:t>All ideas, inventions, discoveries, computer programs, data, technology, designs, innovations, improvements, work product, works of authorship, materials, and other deliverables (whether or not patentable and whether or not copyrightable) which are made, conceived, reduced to practice, created, written, worked on, designed or developed by the Consultant, solely or jointly with others and whether during normal business hours or otherwise, (i) during the Consultation Period if related to the business of the Company or (ii) after the Consultation Period if resulting or directly derived from Proprietary Information (as defined below) (collectively under clauses (i) and (ii), “</w:t>
      </w:r>
      <w:r>
        <w:rPr>
          <w:rFonts w:ascii="Times New Roman" w:hAnsi="Times New Roman"/>
          <w:color w:val="000000"/>
          <w:sz w:val="24"/>
          <w:u w:val="single"/>
        </w:rPr>
        <w:t>Inventions</w:t>
      </w:r>
      <w:r>
        <w:rPr>
          <w:color w:val="000000"/>
        </w:rPr>
        <w:t>”</w:t>
      </w:r>
      <w:r>
        <w:rPr>
          <w:rFonts w:ascii="Times New Roman" w:hAnsi="Times New Roman"/>
          <w:color w:val="000000"/>
          <w:sz w:val="24"/>
        </w:rPr>
        <w:t>), shall be the sole property of the Company. The Consultant hereby assigns to the Company all Inventions and any and all related patents, copyrights, trademarks, trade names, and other industrial and intellectual property rights and applications therefor, in the United States and elsewhere. Upon the request of the Company and at the Company’s reasonable expense, the Consultant shall execute such further assignments, documents and other instruments, including patent applications, invention assignments and copyright assignments, as may be necessary or desirable to fully and completely assign all Inventions to the Company and to assist the Company in applying for, obtaining and enforcing patents or copyrights or other rights in the United States and in any foreign country with respect to any Invention. The Consultant also hereby waives all claims to moral rights in any Inventions. If the Company is unable for any reason, after reasonable effort, to secure the Consultant’s signature on any document needed in connection with the actions specified above, the Consultant hereby irrevocably designates and appoints the Company as the Consultant’s agent and attorney-in-fact, which appointment is coupled with an interest, to act for and, on the Consultant’s behalf, to execute, verify and file any such documents and to do all other lawfully permitted acts to further the purposes of the preceding paragraph with the same legal force and effect as if executed by the Consultant.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The Consultant shall promptly disclose to the Company all Inventions and will maintain adequate and current written records (in the form of notes, sketches,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drawings and as may be specified by the Company) to document the conception and/or first actual reduction to practice of any Invention. Such written records shall be available to and remain the sole property of the Company at all times.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rPr>
        <w:t>The Consultant hereby grants to the Company a non-exclusive, royalty-free, fully paid perpetual, irrevocable, worldwide right and license, with right of sublicense, under and to the Consultant’s Background IP (as defined below) for the purpose of developing, marketing, selling and supporting products and services of the Company or its affiliates or subsidiaries, either directly or through multiple tiers of distribution, but not for the purpose of licensing Background IP separately from products and services of the Company or its affiliates or subsidiaries. For purposes of this Agreement, “</w:t>
      </w:r>
      <w:r>
        <w:rPr>
          <w:rFonts w:ascii="Times New Roman" w:hAnsi="Times New Roman"/>
          <w:color w:val="000000"/>
          <w:sz w:val="24"/>
          <w:u w:val="single"/>
        </w:rPr>
        <w:t>Background IP</w:t>
      </w:r>
      <w:r>
        <w:rPr>
          <w:color w:val="000000"/>
        </w:rPr>
        <w:t xml:space="preserve">” </w:t>
      </w:r>
      <w:r>
        <w:rPr>
          <w:rFonts w:ascii="Times New Roman" w:hAnsi="Times New Roman"/>
          <w:color w:val="000000"/>
          <w:sz w:val="24"/>
        </w:rPr>
        <w:t>means any and all technology and intellectual property rights that do not constitute Inventions and that are owned by the Consultant or are licensed by a third party to the Consultant with a right to sublicense, and which exist prior to the date of this Agreement or which are developed independently by the Consultant outside of the services but are used in provision of the services or are applicable to the Inventions.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u w:val="single"/>
        </w:rPr>
        <w:t>Proprietary Information</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Consultant acknowledges that the Consultant’s relationship with the Company is one of high trust and confidence and that in the course of the Consultant’s service to the Company the Consultant will have access to and contact with Proprietary Information. Consultant acknowledges the confidential and secret character of the Proprietary Information, and agrees that the Proprietary Information is the sole, exclusive and extremely valuable property of the Company. The Consultant agrees that the Consultant will not, during the Consultation Period or at any time thereafter, publish, lecture upon, disclose to others, or use for the Consultant’s benefit or the benefit of others, any Proprietary Information or Invention. The Consultant agrees to institute measures to protect the Proprietary Information in a manner consistent with the measures it uses to protect its own most sensitive proprietary and confidential information, which shall not be less than a reasonable standard of care. The Consultant shall immediately notify the Company upon discovery of any actual or suspected loss or unauthorized disclosure of the Proprietary Information and shall take all reasonable steps requested by the Company to prevent, control or remedy any such loss or disclosure.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jc w:val="left"/>
        <w:rPr/>
      </w:pPr>
      <w:r>
        <w:rPr>
          <w:rFonts w:ascii="Times New Roman" w:hAnsi="Times New Roman"/>
          <w:color w:val="000000"/>
          <w:sz w:val="24"/>
        </w:rPr>
        <w:t>For purposes of this Agreement, “</w:t>
      </w:r>
      <w:r>
        <w:rPr>
          <w:rFonts w:ascii="Times New Roman" w:hAnsi="Times New Roman"/>
          <w:color w:val="000000"/>
          <w:sz w:val="24"/>
          <w:u w:val="single"/>
        </w:rPr>
        <w:t>Proprietary Information</w:t>
      </w:r>
      <w:r>
        <w:rPr>
          <w:color w:val="000000"/>
        </w:rPr>
        <w:t xml:space="preserve">” </w:t>
      </w:r>
      <w:r>
        <w:rPr>
          <w:rFonts w:ascii="Times New Roman" w:hAnsi="Times New Roman"/>
          <w:color w:val="000000"/>
          <w:sz w:val="24"/>
        </w:rPr>
        <w:t>shall mean, by way of illustration and not limitation, all information (whether or not patentable and whether or not copyrightable) owned, possessed or used by the Company, including, without limitation, any Invention, formula, vendor information, customer information, apparatus, equipment, trade secret, process, research, report, technical data, know-how, computer program, software, software documentation, hardware design, technology, marketing or business plan, forecast, unpublished financial statement, budget, license, price, cost and employee list that is communicated to, learned of, developed or otherwise acquired by the Consultant in the course of the Consultant’s service as a consultant to the Company. Proprietary Information may be labeled or identified at the time of disclosure as confidential or proprietary, or equivalent, but Proprietary Information also includes information which by its context would reasonably be deemed to be confidential and proprietary.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rPr>
        <w:t xml:space="preserve">The Consultant’s obligations under this </w:t>
      </w:r>
      <w:r>
        <w:rPr>
          <w:rFonts w:ascii="Times New Roman" w:hAnsi="Times New Roman"/>
          <w:color w:val="000000"/>
          <w:sz w:val="24"/>
          <w:u w:val="single"/>
        </w:rPr>
        <w:t>Section 6.2</w:t>
      </w:r>
      <w:r>
        <w:rPr>
          <w:color w:val="000000"/>
        </w:rPr>
        <w:t xml:space="preserve"> </w:t>
      </w:r>
      <w:r>
        <w:rPr>
          <w:rFonts w:ascii="Times New Roman" w:hAnsi="Times New Roman"/>
          <w:color w:val="000000"/>
          <w:sz w:val="24"/>
        </w:rPr>
        <w:t xml:space="preserve">shall not apply to any information that the Consultant can establish by competent proof (i) is or becomes known to the general public under circumstances involving no breach by the Consultant or others of the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pPr>
      <w:r>
        <w:rPr>
          <w:rFonts w:ascii="Times New Roman" w:hAnsi="Times New Roman"/>
          <w:color w:val="000000"/>
          <w:sz w:val="24"/>
        </w:rPr>
        <w:t xml:space="preserve">terms of this </w:t>
      </w:r>
      <w:r>
        <w:rPr>
          <w:rFonts w:ascii="Times New Roman" w:hAnsi="Times New Roman"/>
          <w:color w:val="000000"/>
          <w:sz w:val="24"/>
          <w:u w:val="single"/>
        </w:rPr>
        <w:t>Section 6.2</w:t>
      </w:r>
      <w:r>
        <w:rPr>
          <w:rFonts w:ascii="Times New Roman" w:hAnsi="Times New Roman"/>
          <w:color w:val="000000"/>
          <w:sz w:val="24"/>
        </w:rPr>
        <w:t>, (ii) is generally disclosed to third parties by the Company without restriction on such third parties, or (iii) is approved for release by written authorization of an officer of the Company. In the event a court or governmental agency legally compels the Consultant to disclose Proprietary Information, the Consultant will provide reasonable prior written notice of such required disclosure to the Company and take reasonable and lawful actions to avoid and/or minimize the extent of such disclosure. The Consultant will cooperate reasonably with the Company in any proceeding to obtain a protective order or other remedy. If such protective order or other remedy is not obtained, the Consultant will limit any compelled disclosure of Proprietary Information to that legally required, in the opinion of the Consultant’s legal counsel. The Consultant will request that confidential treatment be accorded such Proprietary Information, where available. Compulsory disclosures made pursuant to this section will not relieve the Consultant of its obligations of confidentiality and non-use with respect to non-compulsory disclosures.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Upon termination or expiration of this Agreement or at any other time upon request by the Company, the Consultant agrees to cease using and shall promptly deliver to the Company all records, files, memoranda, notes, designs, data, reports, price lists, customer lists, drawings, plans, computer programs, software, software documentation, sketches, laboratory and research notebooks and other documents (and all copies or reproductions of such materials) relating to the business of the Company.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Consultant represents that the Consultant’s retention as a consultant with the Company and the Consultant’s performance under this Agreement does not, and shall not, breach any agreement that obligates the Consultant to keep in confidence any trade secrets or confidential or proprietary information of the Consultant or of any other party or to refrain from competing, directly or indirectly, with the business of any other party or otherwise conflict with any of his agreements or obligations to any other party. The Consultant shall not disclose to the Company any trade secrets or confidential or proprietary information of any other party.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The Consultant acknowledges that the Company from time to time may have agreements with other persons or with the United States government, or agencies thereof, that impose obligations or restrictions on the Company regarding inventions made during the course of work under such agreements or regarding the confidential nature of such work. The Consultant agrees to be bound by all such obligations and restrictions that are known to the Consultant and to take all action necessary to discharge the obligations of the Company under such agreements.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In accordance with 18 U.S.C. §1833, the Company hereby notifies the Consultant that, notwithstanding anything to the contrary in this Agreement: (i) the Consultant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(ii) if the Consultant files a lawsuit for retaliation by the Company for reporting a suspected violation of law, the Consultant may disclose the trade secret to the Consultant’s attorney, and may use the trade secret information in the court proceeding, if the Consultant files any document containing the trade secret under seal, and does not disclose the trade secret, except pursuant to court order. Furthermore, the Company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and the Consultant agree that nothing in this Agreement prohibits the Consultant from reporting possible violations of federal law or regulation to any governmental agency or entity in accordance with the provisions of and rules promulgated under any whistleblower protection provisions of state or federal law or regulation or releases or restrains the Consultant’s right to receive an award for information provided to any such government agencies or entities.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Consultant agrees to submit to the Company for review any proposed publication that contains any discussion relating to the Company, its Proprietary Information, the Inventions, the services, or any results of the services. The Consultant agrees that it may not publish any such information without, on a case-by-case basis, the prior written consent of the Company.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jc w:val="left"/>
        <w:rPr/>
      </w:pPr>
      <w:bookmarkStart w:id="27" w:name="x__non_solicitation__during_the_consulta"/>
      <w:bookmarkEnd w:id="27"/>
      <w:r>
        <w:rPr>
          <w:rFonts w:ascii="Times New Roman" w:hAnsi="Times New Roman"/>
          <w:color w:val="000000"/>
          <w:sz w:val="24"/>
          <w:u w:val="single"/>
        </w:rPr>
        <w:t>Remedies</w:t>
      </w:r>
      <w:r>
        <w:rPr>
          <w:rFonts w:ascii="Times New Roman" w:hAnsi="Times New Roman"/>
          <w:color w:val="000000"/>
          <w:sz w:val="24"/>
        </w:rPr>
        <w:t xml:space="preserve">. The Consultant acknowledges that any breach of the provisions of </w:t>
      </w:r>
      <w:r>
        <w:rPr>
          <w:rFonts w:ascii="Times New Roman" w:hAnsi="Times New Roman"/>
          <w:color w:val="000000"/>
          <w:sz w:val="24"/>
          <w:u w:val="single"/>
        </w:rPr>
        <w:t>Section 6</w:t>
      </w:r>
      <w:r>
        <w:rPr>
          <w:color w:val="000000"/>
        </w:rPr>
        <w:t xml:space="preserve"> </w:t>
      </w:r>
      <w:r>
        <w:rPr>
          <w:rFonts w:ascii="Times New Roman" w:hAnsi="Times New Roman"/>
          <w:color w:val="000000"/>
          <w:sz w:val="24"/>
        </w:rPr>
        <w:t>shall result in serious and irreparable injury to the Company for which the Company cannot be adequately compensated by monetary damages alone. The Consultant agrees, therefore, that, in addition to any other remedy it may have, the Company shall be entitled to enforce the specific performance of this Agreement by the Consultant and to seek both temporary and permanent injunctive relief (to the extent permitted by law) without the necessity of proving actual damages or posting bonds.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u w:val="single"/>
        </w:rPr>
        <w:t>Other Agreements</w:t>
      </w:r>
      <w:r>
        <w:rPr>
          <w:rFonts w:ascii="Times New Roman" w:hAnsi="Times New Roman"/>
          <w:color w:val="000000"/>
          <w:sz w:val="24"/>
        </w:rPr>
        <w:t>. The Consultant hereby represents that the Consultant is not prevented or limited in any way from providing services to the Company. Further the Consultant represents that the performance of the Consultant’s obligations hereunder will not violate or conflict with any agreement to which the Consultant or any person engaged by Consultant is bound, including without limitation, any agreement with any third party to refrain from using or disclosing any trade secret or confidential or proprietary information in the course of the Consultant’s relationship with the Company, to refrain from competing, directly or indirectly, with the business of such third party or to refrain from soliciting employees, customers or suppliers of such third party. The Consultant agrees to furnish the Company with a copy of any such agreement upon request.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u w:val="single"/>
        </w:rPr>
        <w:t>Independent Contractor Status</w:t>
      </w:r>
      <w:r>
        <w:rPr>
          <w:rFonts w:ascii="Times New Roman" w:hAnsi="Times New Roman"/>
          <w:color w:val="000000"/>
          <w:sz w:val="24"/>
        </w:rPr>
        <w:t>. The Consultant shall perform all services under this Agreement as an “independent contractor” and not as an employee or agent of the Company and, as an independent contractor, the Consultant will be solely responsible for complying with all applicable laws, rules and regulations concerning income, employment and other tax withholding, social security contributions, unemployment contributions and similar matters, and the Company shall not be required to withhold income, employment or other taxes from payments to the Consultant. The Consultant is not authorized to assume or create any obligation or responsibility, express or implied, on behalf of, or in the name of, the Company or to bind the Company in any manner.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u w:val="single"/>
        </w:rPr>
        <w:t>Notices</w:t>
      </w:r>
      <w:r>
        <w:rPr>
          <w:rFonts w:ascii="Times New Roman" w:hAnsi="Times New Roman"/>
          <w:color w:val="000000"/>
          <w:sz w:val="24"/>
        </w:rPr>
        <w:t xml:space="preserve">. All notices required or permitted under this Agreement shall be in writing and shall be deemed effective upon personal delivery, upon transmission by electronic mail or upon deposit in the United States Post Office, by registered or certified mail, postage prepaid, addressed to the Company at its principal executive office or to the Consultant at the most recent address of the Consultant shown in the records of the Company, as applicable, or at such other address or addresses as either party shall designate to the other in accordance with this </w:t>
      </w:r>
      <w:r>
        <w:rPr>
          <w:rFonts w:ascii="Times New Roman" w:hAnsi="Times New Roman"/>
          <w:color w:val="000000"/>
          <w:sz w:val="24"/>
          <w:u w:val="single"/>
        </w:rPr>
        <w:t>Section 10</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u w:val="single"/>
        </w:rPr>
        <w:t>Pronouns</w:t>
      </w:r>
      <w:r>
        <w:rPr>
          <w:rFonts w:ascii="Times New Roman" w:hAnsi="Times New Roman"/>
          <w:color w:val="000000"/>
          <w:sz w:val="24"/>
        </w:rPr>
        <w:t xml:space="preserve">. Whenever the context may require, any pronouns used in this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Agreement shall include the corresponding masculine, feminine or neuter forms, and the singular forms of nouns and pronouns shall include the plural, and vice versa.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Entire Agreement</w:t>
      </w:r>
      <w:r>
        <w:rPr>
          <w:rFonts w:ascii="Times New Roman" w:hAnsi="Times New Roman"/>
          <w:color w:val="000000"/>
          <w:sz w:val="24"/>
        </w:rPr>
        <w:t>. This Agreement constitutes the entire agreement between the parties and supersedes all prior agreements and understandings, whether written or oral, relating to the subject matter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u w:val="single"/>
        </w:rPr>
        <w:t>Amendment</w:t>
      </w:r>
      <w:r>
        <w:rPr>
          <w:rFonts w:ascii="Times New Roman" w:hAnsi="Times New Roman"/>
          <w:color w:val="000000"/>
          <w:sz w:val="24"/>
        </w:rPr>
        <w:t>. This Agreement may be amended or modified only by a written instrument executed by both the Company and the Consultant.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bookmarkStart w:id="28" w:name="x6__successors_and_assigns__this_agreeme"/>
      <w:bookmarkEnd w:id="28"/>
      <w:r>
        <w:rPr>
          <w:rFonts w:ascii="Times New Roman" w:hAnsi="Times New Roman"/>
          <w:color w:val="000000"/>
          <w:sz w:val="24"/>
          <w:u w:val="single"/>
        </w:rPr>
        <w:t>Successors and Assigns</w:t>
      </w:r>
      <w:r>
        <w:rPr>
          <w:rFonts w:ascii="Times New Roman" w:hAnsi="Times New Roman"/>
          <w:color w:val="000000"/>
          <w:sz w:val="24"/>
        </w:rPr>
        <w:t>. This Agreement shall be binding upon, and inure to the benefit of, both parties and their respective successors and assigns, including any corporation with which, or into which, the Company may be merged or which may succeed to its assets or business, provided, however, that the obligations of the Consultant shall not be assigned by it.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bookmarkStart w:id="29" w:name="x8__miscellaneous_"/>
      <w:bookmarkEnd w:id="29"/>
      <w:r>
        <w:rPr>
          <w:rFonts w:ascii="Times New Roman" w:hAnsi="Times New Roman"/>
          <w:color w:val="000000"/>
          <w:sz w:val="24"/>
          <w:u w:val="single"/>
        </w:rPr>
        <w:t>Miscellaneous</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 delay or omission by either party in exercising any right under this Agreement shall operate as a waiver of that or any other right. A waiver or consent given by either party on any one occasion shall be effective only in that instance and shall not be construed as a bar or waiver of any right on any other occasion.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captions of the sections of this Agreement are for convenience of reference only and in no way define, limit or affect the scope or substance of any section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that any provision of this Agreement shall be invalid, illegal or otherwise unenforceable, the validity, legality and enforceability of the remaining provisions shall in no way be affected or impaired thereby.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This Agreement may be executed in multiple counterparts by facsimile or other reliable electronic reproduction (including, without limitation, transmission by pdf), each of which shall be taken together as one and the same instrument.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IN WITNESS WHEREOF, the parties hereto have executed this Consulting Agreement as of the day and year set forth above.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ATEA PHARMACEUTICALS, INC.</w:t>
      </w:r>
    </w:p>
    <w:p>
      <w:pPr>
        <w:pStyle w:val="TextBody"/>
        <w:bidi w:val="0"/>
        <w:spacing w:before="240" w:after="283"/>
        <w:jc w:val="left"/>
        <w:rPr>
          <w:rFonts w:ascii="Times New Roman" w:hAnsi="Times New Roman"/>
          <w:sz w:val="20"/>
        </w:rPr>
      </w:pPr>
      <w:r>
        <w:rPr>
          <w:rFonts w:ascii="Times New Roman" w:hAnsi="Times New Roman"/>
          <w:color w:val="000000"/>
          <w:sz w:val="24"/>
        </w:rPr>
        <w:t>By: /s/ Jean-Pierre Sommadossi</w:t>
      </w:r>
      <w:r>
        <w:rPr>
          <w:rFonts w:ascii="Times New Roman" w:hAnsi="Times New Roman"/>
          <w:color w:val="000000"/>
          <w:sz w:val="20"/>
          <w:u w:val="single"/>
        </w:rPr>
        <w:t xml:space="preserve"> </w:t>
      </w:r>
      <w:r>
        <w:rPr>
          <w:rFonts w:ascii="Times New Roman" w:hAnsi="Times New Roman"/>
          <w:color w:val="000000"/>
          <w:sz w:val="24"/>
        </w:rPr>
        <w:t xml:space="preserve">Name: Jean-Pierre Sommadossi, PhD </w:t>
        <w:br/>
        <w:t>Title: Chairman and CEO</w:t>
      </w:r>
    </w:p>
    <w:p>
      <w:pPr>
        <w:pStyle w:val="TextBody"/>
        <w:bidi w:val="0"/>
        <w:spacing w:before="239" w:after="283"/>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CONSULTANT</w:t>
      </w:r>
    </w:p>
    <w:p>
      <w:pPr>
        <w:pStyle w:val="TextBody"/>
        <w:bidi w:val="0"/>
        <w:spacing w:before="275"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 w:after="283"/>
        <w:jc w:val="left"/>
        <w:rPr>
          <w:rFonts w:ascii="Times New Roman" w:hAnsi="Times New Roman"/>
          <w:sz w:val="20"/>
        </w:rPr>
      </w:pPr>
      <w:r>
        <w:rPr>
          <w:rFonts w:ascii="Times New Roman" w:hAnsi="Times New Roman"/>
          <w:color w:val="000000"/>
          <w:sz w:val="24"/>
        </w:rPr>
        <w:t>By: /s/ Bruno Lucidi Name: Bruno Lucidi</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avir-ex31_1.htm"/>
      <w:bookmarkStart w:id="31" w:name="ksavirex31_1"/>
      <w:bookmarkEnd w:id="30"/>
      <w:bookmarkEnd w:id="31"/>
      <w:r>
        <w:rPr/>
        <w:t> </w:t>
      </w:r>
      <w:r>
        <w:br w:type="page"/>
      </w:r>
    </w:p>
    <w:p>
      <w:pPr>
        <w:pStyle w:val="TextBody"/>
        <w:bidi w:val="0"/>
        <w:jc w:val="right"/>
        <w:rPr>
          <w:rFonts w:ascii="Arial" w:hAnsi="Arial"/>
          <w:b/>
          <w:color w:val="000000"/>
          <w:sz w:val="20"/>
        </w:rPr>
      </w:pPr>
      <w:r>
        <w:rPr>
          <w:rFonts w:ascii="Arial" w:hAnsi="Arial"/>
          <w:b/>
          <w:color w:val="000000"/>
          <w:sz w:val="20"/>
        </w:rPr>
        <w:t>Exhibit 31.1</w:t>
      </w:r>
    </w:p>
    <w:p>
      <w:pPr>
        <w:pStyle w:val="TextBody"/>
        <w:bidi w:val="0"/>
        <w:spacing w:before="240" w:after="283"/>
        <w:jc w:val="center"/>
        <w:rPr>
          <w:rFonts w:ascii="Times New Roman" w:hAnsi="Times New Roman"/>
          <w:sz w:val="20"/>
        </w:rPr>
      </w:pPr>
      <w:r>
        <w:rPr>
          <w:rFonts w:ascii="Arial" w:hAnsi="Arial"/>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 Jean-Pierre Sommadossi, certify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I have reviewed this Quarterly Report on Form 10-Q of Atea Pharmaceuticals, Inc.;</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Arial" w:hAnsi="Arial"/>
          <w:color w:val="000000"/>
          <w:sz w:val="20"/>
        </w:rPr>
      </w:pPr>
      <w:r>
        <w:rPr>
          <w:rFonts w:ascii="Arial" w:hAnsi="Arial"/>
          <w:color w:val="000000"/>
          <w:sz w:val="20"/>
        </w:rPr>
        <w:t>3.</w:t>
      </w:r>
    </w:p>
    <w:p>
      <w:pPr>
        <w:pStyle w:val="TextBody"/>
        <w:bidi w:val="0"/>
        <w:spacing w:before="24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Arial" w:hAnsi="Arial"/>
          <w:color w:val="000000"/>
          <w:sz w:val="20"/>
        </w:rPr>
      </w:pPr>
      <w:r>
        <w:rPr>
          <w:rFonts w:ascii="Arial" w:hAnsi="Arial"/>
          <w:color w:val="000000"/>
          <w:sz w:val="20"/>
        </w:rPr>
        <w:t>4.</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Arial" w:hAnsi="Arial"/>
          <w:color w:val="000000"/>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Arial" w:hAnsi="Arial"/>
          <w:color w:val="000000"/>
          <w:sz w:val="20"/>
        </w:rPr>
      </w:pPr>
      <w:r>
        <w:rPr>
          <w:rFonts w:ascii="Arial" w:hAnsi="Arial"/>
          <w:color w:val="000000"/>
          <w:sz w:val="20"/>
        </w:rPr>
        <w:t>5.</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20"/>
        </w:rPr>
      </w:pPr>
      <w:r>
        <w:rPr>
          <w:rFonts w:ascii="Arial" w:hAnsi="Arial"/>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202" w:type="dxa"/>
        <w:jc w:val="left"/>
        <w:tblInd w:w="0" w:type="dxa"/>
        <w:tblLayout w:type="fixed"/>
        <w:tblCellMar>
          <w:top w:w="28" w:type="dxa"/>
          <w:left w:w="28" w:type="dxa"/>
          <w:bottom w:w="28" w:type="dxa"/>
          <w:right w:w="28" w:type="dxa"/>
        </w:tblCellMar>
      </w:tblPr>
      <w:tblGrid>
        <w:gridCol w:w="2071"/>
        <w:gridCol w:w="109"/>
        <w:gridCol w:w="406"/>
        <w:gridCol w:w="361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6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Jean-Pierre Sommadossi</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Jean-Pierre Sommadossi, Ph.D.</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President and Chief Executive Officer</w:t>
            </w:r>
          </w:p>
          <w:p>
            <w:pPr>
              <w:pStyle w:val="TableContents"/>
              <w:bidi w:val="0"/>
              <w:spacing w:before="0" w:after="283"/>
              <w:jc w:val="center"/>
              <w:rPr>
                <w:rFonts w:ascii="Arial" w:hAnsi="Arial"/>
                <w:b/>
                <w:color w:val="000000"/>
                <w:sz w:val="20"/>
              </w:rPr>
            </w:pPr>
            <w:r>
              <w:rPr>
                <w:rFonts w:ascii="Arial" w:hAnsi="Arial"/>
                <w:b/>
                <w:color w:val="000000"/>
                <w:sz w:val="20"/>
              </w:rPr>
              <w:t>(principal executive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avir-ex31_2.htm"/>
      <w:bookmarkStart w:id="33" w:name="ksavirex31_2"/>
      <w:bookmarkEnd w:id="32"/>
      <w:bookmarkEnd w:id="33"/>
      <w:r>
        <w:rPr/>
        <w:t> </w:t>
      </w:r>
      <w:r>
        <w:br w:type="page"/>
      </w:r>
    </w:p>
    <w:p>
      <w:pPr>
        <w:pStyle w:val="TextBody"/>
        <w:bidi w:val="0"/>
        <w:jc w:val="right"/>
        <w:rPr>
          <w:rFonts w:ascii="Arial" w:hAnsi="Arial"/>
          <w:b/>
          <w:color w:val="000000"/>
          <w:sz w:val="20"/>
        </w:rPr>
      </w:pPr>
      <w:r>
        <w:rPr>
          <w:rFonts w:ascii="Arial" w:hAnsi="Arial"/>
          <w:b/>
          <w:color w:val="000000"/>
          <w:sz w:val="20"/>
        </w:rPr>
        <w:t>Exhibit 31.2</w:t>
      </w:r>
    </w:p>
    <w:p>
      <w:pPr>
        <w:pStyle w:val="TextBody"/>
        <w:bidi w:val="0"/>
        <w:jc w:val="right"/>
        <w:rPr/>
      </w:pPr>
      <w:r>
        <w:rPr/>
        <w:t> </w:t>
      </w:r>
    </w:p>
    <w:p>
      <w:pPr>
        <w:pStyle w:val="TextBody"/>
        <w:bidi w:val="0"/>
        <w:jc w:val="center"/>
        <w:rPr>
          <w:rFonts w:ascii="Times New Roman" w:hAnsi="Times New Roman"/>
          <w:sz w:val="20"/>
        </w:rPr>
      </w:pPr>
      <w:r>
        <w:rPr>
          <w:rFonts w:ascii="Arial" w:hAnsi="Arial"/>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 Andrea Corcoran, certify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I have reviewed this Quarterly Report on Form 10-Q of Atea Pharmaceuticals, Inc.;</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Arial" w:hAnsi="Arial"/>
          <w:color w:val="000000"/>
          <w:sz w:val="20"/>
        </w:rPr>
      </w:pPr>
      <w:r>
        <w:rPr>
          <w:rFonts w:ascii="Arial" w:hAnsi="Arial"/>
          <w:color w:val="000000"/>
          <w:sz w:val="20"/>
        </w:rPr>
        <w:t>3.</w:t>
      </w:r>
    </w:p>
    <w:p>
      <w:pPr>
        <w:pStyle w:val="TextBody"/>
        <w:bidi w:val="0"/>
        <w:spacing w:before="24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Arial" w:hAnsi="Arial"/>
          <w:color w:val="000000"/>
          <w:sz w:val="20"/>
        </w:rPr>
      </w:pPr>
      <w:r>
        <w:rPr>
          <w:rFonts w:ascii="Arial" w:hAnsi="Arial"/>
          <w:color w:val="000000"/>
          <w:sz w:val="20"/>
        </w:rPr>
        <w:t>4.</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Arial" w:hAnsi="Arial"/>
          <w:color w:val="000000"/>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Arial" w:hAnsi="Arial"/>
          <w:color w:val="000000"/>
          <w:sz w:val="20"/>
        </w:rPr>
      </w:pPr>
      <w:r>
        <w:rPr>
          <w:rFonts w:ascii="Arial" w:hAnsi="Arial"/>
          <w:color w:val="000000"/>
          <w:sz w:val="20"/>
        </w:rPr>
        <w:t>5.</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20"/>
        </w:rPr>
      </w:pPr>
      <w:r>
        <w:rPr>
          <w:rFonts w:ascii="Arial" w:hAnsi="Arial"/>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9262" w:type="dxa"/>
        <w:jc w:val="left"/>
        <w:tblInd w:w="0" w:type="dxa"/>
        <w:tblLayout w:type="fixed"/>
        <w:tblCellMar>
          <w:top w:w="28" w:type="dxa"/>
          <w:left w:w="28" w:type="dxa"/>
          <w:bottom w:w="28" w:type="dxa"/>
          <w:right w:w="28" w:type="dxa"/>
        </w:tblCellMar>
      </w:tblPr>
      <w:tblGrid>
        <w:gridCol w:w="2071"/>
        <w:gridCol w:w="109"/>
        <w:gridCol w:w="406"/>
        <w:gridCol w:w="667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67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66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Andrea Corcoran</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Andrea Corcoran</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6"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Chief Financial Officer, Executive Vice President, Legal, and Secretary</w:t>
            </w:r>
          </w:p>
          <w:p>
            <w:pPr>
              <w:pStyle w:val="TableContents"/>
              <w:bidi w:val="0"/>
              <w:spacing w:before="0" w:after="283"/>
              <w:jc w:val="center"/>
              <w:rPr>
                <w:rFonts w:ascii="Arial" w:hAnsi="Arial"/>
                <w:b/>
                <w:color w:val="000000"/>
                <w:sz w:val="20"/>
              </w:rPr>
            </w:pPr>
            <w:r>
              <w:rPr>
                <w:rFonts w:ascii="Arial" w:hAnsi="Arial"/>
                <w:b/>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avir-ex32_1.htm"/>
      <w:bookmarkStart w:id="35" w:name="ksavirex32_1"/>
      <w:bookmarkEnd w:id="34"/>
      <w:bookmarkEnd w:id="35"/>
      <w:r>
        <w:rPr/>
        <w:t> </w:t>
      </w:r>
      <w:r>
        <w:br w:type="page"/>
      </w:r>
    </w:p>
    <w:p>
      <w:pPr>
        <w:pStyle w:val="TextBody"/>
        <w:bidi w:val="0"/>
        <w:jc w:val="right"/>
        <w:rPr>
          <w:rFonts w:ascii="Arial" w:hAnsi="Arial"/>
          <w:b/>
          <w:color w:val="000000"/>
          <w:sz w:val="20"/>
        </w:rPr>
      </w:pPr>
      <w:r>
        <w:rPr>
          <w:rFonts w:ascii="Arial" w:hAnsi="Arial"/>
          <w:b/>
          <w:color w:val="000000"/>
          <w:sz w:val="20"/>
        </w:rPr>
        <w:t>Exhibit 32.1</w:t>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In connection with the Quarterly Report on Form 10-Q of Atea Pharmaceuticals, Inc. (the “Company”) for the period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The Report fully complies with the requirements of section 13(a) or 15(d) of the Securities Exchange Act of 1934; and</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6202" w:type="dxa"/>
        <w:jc w:val="left"/>
        <w:tblInd w:w="0" w:type="dxa"/>
        <w:tblLayout w:type="fixed"/>
        <w:tblCellMar>
          <w:top w:w="28" w:type="dxa"/>
          <w:left w:w="28" w:type="dxa"/>
          <w:bottom w:w="28" w:type="dxa"/>
          <w:right w:w="28" w:type="dxa"/>
        </w:tblCellMar>
      </w:tblPr>
      <w:tblGrid>
        <w:gridCol w:w="2071"/>
        <w:gridCol w:w="109"/>
        <w:gridCol w:w="406"/>
        <w:gridCol w:w="361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6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Jean-Pierre Sommadossi, Ph.D.</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Jean-Pierre Sommadossi, Ph.D.</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President and Chief Executive Officer</w:t>
            </w:r>
          </w:p>
          <w:p>
            <w:pPr>
              <w:pStyle w:val="TableContents"/>
              <w:bidi w:val="0"/>
              <w:spacing w:before="0" w:after="283"/>
              <w:jc w:val="center"/>
              <w:rPr>
                <w:rFonts w:ascii="Arial" w:hAnsi="Arial"/>
                <w:b/>
                <w:color w:val="000000"/>
                <w:sz w:val="20"/>
              </w:rPr>
            </w:pPr>
            <w:r>
              <w:rPr>
                <w:rFonts w:ascii="Arial" w:hAnsi="Arial"/>
                <w:b/>
                <w:color w:val="000000"/>
                <w:sz w:val="20"/>
              </w:rPr>
              <w:t>(principal executive officer)</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6" w:name="avir-ex32_2.htm"/>
      <w:bookmarkStart w:id="37" w:name="ksavirex32_2"/>
      <w:bookmarkEnd w:id="36"/>
      <w:bookmarkEnd w:id="37"/>
      <w:r>
        <w:rPr/>
        <w:t> </w:t>
      </w:r>
      <w:r>
        <w:br w:type="page"/>
      </w:r>
    </w:p>
    <w:p>
      <w:pPr>
        <w:pStyle w:val="TextBody"/>
        <w:bidi w:val="0"/>
        <w:jc w:val="right"/>
        <w:rPr>
          <w:rFonts w:ascii="Arial" w:hAnsi="Arial"/>
          <w:b/>
          <w:color w:val="000000"/>
          <w:sz w:val="20"/>
        </w:rPr>
      </w:pPr>
      <w:r>
        <w:rPr>
          <w:rFonts w:ascii="Arial" w:hAnsi="Arial"/>
          <w:b/>
          <w:color w:val="000000"/>
          <w:sz w:val="20"/>
        </w:rPr>
        <w:t>Exhibit 32.2</w:t>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In connection with the Quarterly Report on Form 10-Q of Atea Pharmaceuticals, Inc. (the “Company”) for the period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The Report fully complies with the requirements of section 13(a) or 15(d) of the Securities Exchange Act of 1934; and</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9262" w:type="dxa"/>
        <w:jc w:val="left"/>
        <w:tblInd w:w="0" w:type="dxa"/>
        <w:tblLayout w:type="fixed"/>
        <w:tblCellMar>
          <w:top w:w="28" w:type="dxa"/>
          <w:left w:w="28" w:type="dxa"/>
          <w:bottom w:w="28" w:type="dxa"/>
          <w:right w:w="28" w:type="dxa"/>
        </w:tblCellMar>
      </w:tblPr>
      <w:tblGrid>
        <w:gridCol w:w="2071"/>
        <w:gridCol w:w="109"/>
        <w:gridCol w:w="406"/>
        <w:gridCol w:w="667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67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66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Andrea Corcoran</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Andrea Corcoran</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6"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Chief Financial Officer, Executive Vice President, Legal, and Secretary</w:t>
            </w:r>
          </w:p>
          <w:p>
            <w:pPr>
              <w:pStyle w:val="TableContents"/>
              <w:bidi w:val="0"/>
              <w:spacing w:before="0" w:after="283"/>
              <w:jc w:val="center"/>
              <w:rPr>
                <w:rFonts w:ascii="Arial" w:hAnsi="Arial"/>
                <w:b/>
                <w:color w:val="000000"/>
                <w:sz w:val="20"/>
              </w:rPr>
            </w:pPr>
            <w:r>
              <w:rPr>
                <w:rFonts w:ascii="Arial" w:hAnsi="Arial"/>
                <w:b/>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93899/000119312520286850/d97355dex31.htm" TargetMode="External"/><Relationship Id="rId3" Type="http://schemas.openxmlformats.org/officeDocument/2006/relationships/hyperlink" Target="https://www.sec.gov/Archives/edgar/data/1593899/000119312523171257/d467534d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69145</Words>
  <Characters>384826</Characters>
  <CharactersWithSpaces>454329</CharactersWithSpaces>
  <Paragraphs>5595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