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177800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460" w:right="1540" w:hanging="3439"/>
        <w:spacing w:after="0" w:line="297"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2700" w:right="1540" w:hanging="2679"/>
        <w:spacing w:after="0" w:line="313" w:lineRule="auto"/>
        <w:tabs>
          <w:tab w:leader="none" w:pos="48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 to _______________</w:t>
      </w:r>
    </w:p>
    <w:p>
      <w:pPr>
        <w:ind w:left="40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001-39661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189230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ATEA PHARMACEUTICALS,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177800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p>
      <w:pPr>
        <w:spacing w:after="0" w:line="200" w:lineRule="exact"/>
        <w:rPr>
          <w:sz w:val="24"/>
          <w:szCs w:val="24"/>
          <w:color w:val="auto"/>
        </w:rPr>
      </w:pPr>
    </w:p>
    <w:p>
      <w:pPr>
        <w:spacing w:after="0" w:line="291"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Delaware</w:t>
      </w:r>
    </w:p>
    <w:p>
      <w:pPr>
        <w:spacing w:after="0" w:line="5"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46-0574869</w:t>
      </w:r>
    </w:p>
    <w:p>
      <w:pPr>
        <w:spacing w:after="0" w:line="7"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7" w:lineRule="exact"/>
        <w:rPr>
          <w:sz w:val="24"/>
          <w:szCs w:val="24"/>
          <w:color w:val="auto"/>
        </w:rPr>
      </w:pPr>
    </w:p>
    <w:p>
      <w:pPr>
        <w:sectPr>
          <w:pgSz w:w="11900" w:h="16838" w:orient="portrait"/>
          <w:cols w:equalWidth="0" w:num="2">
            <w:col w:w="7180" w:space="720"/>
            <w:col w:w="3340"/>
          </w:cols>
          <w:pgMar w:left="320" w:top="690" w:right="339" w:bottom="1440" w:gutter="0" w:footer="0" w:header="0"/>
          <w:type w:val="continuous"/>
        </w:sectPr>
      </w:pPr>
    </w:p>
    <w:tbl>
      <w:tblPr>
        <w:tblLayout w:type="fixed"/>
        <w:tblInd w:w="1520" w:type="dxa"/>
        <w:tblCellMar>
          <w:top w:w="0" w:type="dxa"/>
          <w:left w:w="0" w:type="dxa"/>
          <w:bottom w:w="0" w:type="dxa"/>
          <w:right w:w="0" w:type="dxa"/>
        </w:tblCellMar>
      </w:tblPr>
      <w:tr>
        <w:trPr>
          <w:trHeight w:val="207"/>
        </w:trPr>
        <w:tc>
          <w:tcPr>
            <w:tcW w:w="4600" w:type="dxa"/>
            <w:vAlign w:val="bottom"/>
          </w:tcPr>
          <w:p>
            <w:pPr>
              <w:jc w:val="center"/>
              <w:ind w:right="1919"/>
              <w:spacing w:after="0"/>
              <w:rPr>
                <w:sz w:val="20"/>
                <w:szCs w:val="20"/>
                <w:color w:val="auto"/>
              </w:rPr>
            </w:pPr>
            <w:r>
              <w:rPr>
                <w:rFonts w:ascii="Arial" w:cs="Arial" w:eastAsia="Arial" w:hAnsi="Arial"/>
                <w:sz w:val="18"/>
                <w:szCs w:val="18"/>
                <w:b w:val="1"/>
                <w:bCs w:val="1"/>
                <w:color w:val="auto"/>
                <w:w w:val="99"/>
              </w:rPr>
              <w:t>225 Franklin Street, Suite 2100</w:t>
            </w:r>
          </w:p>
        </w:tc>
        <w:tc>
          <w:tcPr>
            <w:tcW w:w="2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02110</w:t>
            </w:r>
          </w:p>
        </w:tc>
        <w:tc>
          <w:tcPr>
            <w:tcW w:w="0" w:type="dxa"/>
            <w:vAlign w:val="bottom"/>
          </w:tcPr>
          <w:p>
            <w:pPr>
              <w:spacing w:after="0"/>
              <w:rPr>
                <w:sz w:val="1"/>
                <w:szCs w:val="1"/>
                <w:color w:val="auto"/>
              </w:rPr>
            </w:pPr>
          </w:p>
        </w:tc>
      </w:tr>
      <w:tr>
        <w:trPr>
          <w:trHeight w:val="217"/>
        </w:trPr>
        <w:tc>
          <w:tcPr>
            <w:tcW w:w="4600" w:type="dxa"/>
            <w:vAlign w:val="bottom"/>
          </w:tcPr>
          <w:p>
            <w:pPr>
              <w:ind w:left="780"/>
              <w:spacing w:after="0"/>
              <w:rPr>
                <w:sz w:val="20"/>
                <w:szCs w:val="20"/>
                <w:color w:val="auto"/>
              </w:rPr>
            </w:pPr>
            <w:r>
              <w:rPr>
                <w:rFonts w:ascii="Arial" w:cs="Arial" w:eastAsia="Arial" w:hAnsi="Arial"/>
                <w:sz w:val="18"/>
                <w:szCs w:val="18"/>
                <w:b w:val="1"/>
                <w:bCs w:val="1"/>
                <w:color w:val="auto"/>
              </w:rPr>
              <w:t>Boston, MA</w:t>
            </w:r>
          </w:p>
        </w:tc>
        <w:tc>
          <w:tcPr>
            <w:tcW w:w="2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600" w:type="dxa"/>
            <w:vAlign w:val="bottom"/>
          </w:tcPr>
          <w:p>
            <w:pPr>
              <w:jc w:val="center"/>
              <w:ind w:right="1919"/>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620" w:type="dxa"/>
            <w:vAlign w:val="bottom"/>
          </w:tcPr>
          <w:p>
            <w:pPr>
              <w:jc w:val="center"/>
              <w:ind w:left="1924"/>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(857) 284-8891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rPr>
                <w:sz w:val="20"/>
                <w:szCs w:val="20"/>
                <w:color w:val="auto"/>
              </w:rPr>
            </w:pPr>
            <w:r>
              <w:rPr>
                <w:rFonts w:ascii="Arial" w:cs="Arial" w:eastAsia="Arial" w:hAnsi="Arial"/>
                <w:sz w:val="16"/>
                <w:szCs w:val="16"/>
                <w:color w:val="auto"/>
              </w:rPr>
              <w:t>Common Stock, $0.001 par value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6"/>
              </w:rPr>
              <w:t>AVIR</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bl>
    <w:p>
      <w:pPr>
        <w:spacing w:after="0" w:line="176" w:lineRule="exact"/>
        <w:rPr>
          <w:sz w:val="24"/>
          <w:szCs w:val="24"/>
          <w:color w:val="auto"/>
        </w:rPr>
      </w:pPr>
    </w:p>
    <w:p>
      <w:pPr>
        <w:ind w:right="120" w:firstLine="599"/>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jc w:val="both"/>
        <w:ind w:right="40" w:firstLine="599"/>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 w:lineRule="exact"/>
        <w:rPr>
          <w:sz w:val="24"/>
          <w:szCs w:val="24"/>
          <w:color w:val="auto"/>
        </w:rPr>
      </w:pPr>
    </w:p>
    <w:p>
      <w:pPr>
        <w:ind w:right="12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9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2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jc w:val="both"/>
        <w:ind w:right="60" w:firstLine="599"/>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3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4, 2022, the registrant had 83,287,639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This Quarterly Report on Form 10-Q contains forward-looking statements. We make such forward-looking statements pursuant to the safe harbor provisions of the Private Securities Litigation Reform Act of 1995 and other federal securities laws. Forward-looking statements are neither historical facts nor assurances of future performance. Instead, they are based on our current beliefs, expectations and assumptions regarding the future of our business, future plans and strategies, our clinical results and other future conditions. The words “aim,” “anticipate,”</w:t>
      </w:r>
    </w:p>
    <w:p>
      <w:pPr>
        <w:ind w:right="100"/>
        <w:spacing w:after="0" w:line="226" w:lineRule="auto"/>
        <w:rPr>
          <w:sz w:val="20"/>
          <w:szCs w:val="20"/>
          <w:color w:val="auto"/>
        </w:rPr>
      </w:pPr>
      <w:r>
        <w:rPr>
          <w:rFonts w:ascii="Arial" w:cs="Arial" w:eastAsia="Arial" w:hAnsi="Arial"/>
          <w:sz w:val="18"/>
          <w:szCs w:val="18"/>
          <w:color w:val="auto"/>
        </w:rPr>
        <w:t>“believe,” “contemplate,” “continue,” “could,” “estimate,” “expect,” “goal,” “intend,” “may,” "on track," “plan,” “possible,” “potential,” “predict,” “project,” “seek,” “should,” “target,” “will,” “would” or the negative of these terms or other similar expressions are intended to identify forward-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looking statements, although not all forward-looking statements contain these identifying words.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198" w:lineRule="exact"/>
        <w:rPr>
          <w:sz w:val="20"/>
          <w:szCs w:val="20"/>
          <w:color w:val="auto"/>
        </w:rPr>
      </w:pPr>
    </w:p>
    <w:p>
      <w:pPr>
        <w:ind w:left="760" w:right="580" w:hanging="378"/>
        <w:spacing w:after="0" w:line="244"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relating to clinical trials for our product candidates, including projected costs, study designs or the timing for initiation, recruitment, completion, or reporting top-line data;</w:t>
      </w:r>
    </w:p>
    <w:p>
      <w:pPr>
        <w:spacing w:after="0" w:line="1" w:lineRule="exact"/>
        <w:rPr>
          <w:rFonts w:ascii="Times New Roman" w:cs="Times New Roman" w:eastAsia="Times New Roman" w:hAnsi="Times New Roman"/>
          <w:sz w:val="18"/>
          <w:szCs w:val="18"/>
          <w:color w:val="auto"/>
        </w:rPr>
      </w:pPr>
    </w:p>
    <w:p>
      <w:pPr>
        <w:ind w:left="760" w:hanging="378"/>
        <w:spacing w:after="0" w:line="21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therapeutic benefits of our product candidates and the potential indications and market opportunities therefor;</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of bemnifosbuvir to retain antiviral activity against circulating COVID-19 variants of concern and to treat COVID-19;</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profile and related adverse events of our product candidates;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to research, develop and commercialize our current and future product candidates;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any future collaboration we may enter into;</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and clinical utility of any products for which we may receive marketing approval;</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ind w:left="760" w:hanging="378"/>
        <w:spacing w:after="0" w:line="21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future revenue, expenses and results of operations;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of, timing of and amount of expenses associated with our research, development and commercialization activities;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financial position, capital requirements, needs for additional financing and the availability of such financing;</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strategy;</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competing treatments and vaccines and our industry;</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federal, state and foreign laws and regulations;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motivate, and retain key personnel; and</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COVID-19 on our business, including in particular the impact on our preclinical studies and clinical trials.</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the initiation, execution and completion of clinical trials, uncertainties surrounding the timing of availability of data from our clinical trials, ongoing discussions with and actions by regulatory authorities, our development activities and those other factors we discuss in Part II, Item 1A. “Risk Factors.” You should read these Risk Factors and the other cautionary statements made in this report as being applicable to all related forward-looking statements</w:t>
      </w:r>
    </w:p>
    <w:p>
      <w:pPr>
        <w:spacing w:after="0" w:line="4"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wherever they appear in this report. The Risk Factors are not exhaustive and other sections of this report may include additional factors which could adversely impact our business and financial performance. Given these uncertainties, you should not rely on these forward-</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looking statements as predictions of future events. Except as required by law, we assume no obligation to update or revise these forward-looking statements for any reason, even if new information becomes available in the future.</w:t>
      </w:r>
    </w:p>
    <w:p>
      <w:pPr>
        <w:spacing w:after="0" w:line="158"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As used in this Quarterly Report on Form 10-Q, unless otherwise specified or the context otherwise requires, the terms “we,” “our,” “us,” and the “Company” refer to Atea Pharmaceuticals, Inc. and its subsidiary. All brand names or trademarks appearing in this Quarterly Report on Form 10-Q are the property of their respective owners.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9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Quarterly Report on Form 10-Q. The principal risks and uncertainties affecting our business include the following:</w:t>
      </w:r>
    </w:p>
    <w:p>
      <w:pPr>
        <w:spacing w:after="0" w:line="18"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There is significant uncertainty around our development of bemnifosbuvir as a potential treatment for COVID-19.</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highly dependent on our management, directors and other key personnel.</w:t>
      </w:r>
    </w:p>
    <w:p>
      <w:pPr>
        <w:spacing w:after="0" w:line="89" w:lineRule="exact"/>
        <w:rPr>
          <w:rFonts w:ascii="Times New Roman" w:cs="Times New Roman" w:eastAsia="Times New Roman" w:hAnsi="Times New Roman"/>
          <w:sz w:val="18"/>
          <w:szCs w:val="18"/>
          <w:color w:val="auto"/>
        </w:rPr>
      </w:pPr>
    </w:p>
    <w:p>
      <w:pPr>
        <w:ind w:left="1020" w:right="18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expend resources in anticipation of potential clinical trials and commercialization of bemnifosbuvir, which we may not be able to recover if bemnifosbuvir is not approved for the treatment of COVID-19, we are not successful at commercializing bemnifosbuvir or bemnifosbuvir is rendered inferior or obsolete due to rapid changes in COVID -19 epidemiology as a result of the emergence of new SARS-CoV-2 variants or subvariants.</w:t>
      </w:r>
    </w:p>
    <w:p>
      <w:pPr>
        <w:spacing w:after="0" w:line="55" w:lineRule="exact"/>
        <w:rPr>
          <w:rFonts w:ascii="Times New Roman" w:cs="Times New Roman" w:eastAsia="Times New Roman" w:hAnsi="Times New Roman"/>
          <w:sz w:val="18"/>
          <w:szCs w:val="18"/>
          <w:color w:val="auto"/>
        </w:rPr>
      </w:pPr>
    </w:p>
    <w:p>
      <w:pPr>
        <w:ind w:left="1020" w:right="22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for new therapeutics for the treatment of COVID-19 may be reduced, perhaps significantly, if vaccines and current therapeutics remain effective in minimizing serious consequences of the disease.</w:t>
      </w:r>
    </w:p>
    <w:p>
      <w:pPr>
        <w:spacing w:after="0" w:line="18" w:lineRule="exact"/>
        <w:rPr>
          <w:rFonts w:ascii="Times New Roman" w:cs="Times New Roman" w:eastAsia="Times New Roman" w:hAnsi="Times New Roman"/>
          <w:sz w:val="18"/>
          <w:szCs w:val="18"/>
          <w:color w:val="auto"/>
        </w:rPr>
      </w:pPr>
    </w:p>
    <w:p>
      <w:pPr>
        <w:ind w:left="1020" w:right="74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Bemnifosbuvir will face significant competition from other treatments for COVID-19 that are currently marketed or are in development.</w:t>
      </w:r>
    </w:p>
    <w:p>
      <w:pPr>
        <w:spacing w:after="0" w:line="32" w:lineRule="exact"/>
        <w:rPr>
          <w:rFonts w:ascii="Times New Roman" w:cs="Times New Roman" w:eastAsia="Times New Roman" w:hAnsi="Times New Roman"/>
          <w:sz w:val="18"/>
          <w:szCs w:val="18"/>
          <w:color w:val="auto"/>
        </w:rPr>
      </w:pPr>
    </w:p>
    <w:p>
      <w:pPr>
        <w:ind w:left="1020" w:right="84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COVID-19 pandemic and future variant fueled pandemic surges may materially and adversely affect our business opportunities, clinical trials and financial results.</w:t>
      </w:r>
    </w:p>
    <w:p>
      <w:pPr>
        <w:spacing w:after="0" w:line="32"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operating history and no organizational history of successfully developing or commercializing any approved antiviral products, which may make it difficult to evaluate the success of our business to date and to assess the prospects for our future viability.</w:t>
      </w:r>
    </w:p>
    <w:p>
      <w:pPr>
        <w:spacing w:after="0" w:line="41" w:lineRule="exact"/>
        <w:rPr>
          <w:rFonts w:ascii="Times New Roman" w:cs="Times New Roman" w:eastAsia="Times New Roman" w:hAnsi="Times New Roman"/>
          <w:sz w:val="18"/>
          <w:szCs w:val="18"/>
          <w:color w:val="auto"/>
        </w:rPr>
      </w:pPr>
    </w:p>
    <w:p>
      <w:pPr>
        <w:jc w:val="both"/>
        <w:ind w:left="1020" w:right="180" w:hanging="503"/>
        <w:spacing w:after="0" w:line="300"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incurred significant operating expenses since inception. We expect our expenditures will increase for the foreseeable future. We have no products that have generated any commercial revenue and we may never achieve or maintain profitability.</w:t>
      </w:r>
    </w:p>
    <w:p>
      <w:pPr>
        <w:spacing w:after="0" w:line="9" w:lineRule="exact"/>
        <w:rPr>
          <w:rFonts w:ascii="Times New Roman" w:cs="Times New Roman" w:eastAsia="Times New Roman" w:hAnsi="Times New Roman"/>
          <w:sz w:val="17"/>
          <w:szCs w:val="17"/>
          <w:color w:val="auto"/>
        </w:rPr>
      </w:pPr>
    </w:p>
    <w:p>
      <w:pPr>
        <w:jc w:val="both"/>
        <w:ind w:left="1020" w:right="4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require substantial additional financing, which may not be available on acceptable terms, or at all. A failure to obtain this necessary capital when needed could force us to delay, limit, reduce or terminate our product development or commercialization efforts.</w:t>
      </w:r>
    </w:p>
    <w:p>
      <w:pPr>
        <w:spacing w:after="0" w:line="41"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use our net operating loss carryforwards and other tax attributes to offset taxable income may be subject to certain limitations.</w:t>
      </w:r>
    </w:p>
    <w:p>
      <w:pPr>
        <w:spacing w:after="0" w:line="32"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highly dependent on the success of our most advanced product candidates, including bemnifosbuvir. If we fail to successfully develop bemnifosbuvir for the treatment of COVID-19 or if our other product candidates for the treatment of hepatitis C ("HCV") or dengue fail in nonclinical or clinical development, or we are unable to obtain regulatory approval or successfully commercialize any of our product candidates, or are significantly delayed in doing so, our business will be harmed.</w:t>
      </w:r>
    </w:p>
    <w:p>
      <w:pPr>
        <w:spacing w:after="0" w:line="47" w:lineRule="exact"/>
        <w:rPr>
          <w:rFonts w:ascii="Times New Roman" w:cs="Times New Roman" w:eastAsia="Times New Roman" w:hAnsi="Times New Roman"/>
          <w:sz w:val="18"/>
          <w:szCs w:val="18"/>
          <w:color w:val="auto"/>
        </w:rPr>
      </w:pPr>
    </w:p>
    <w:p>
      <w:pPr>
        <w:ind w:left="1020" w:right="40" w:hanging="503"/>
        <w:spacing w:after="0" w:line="24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approval processes of the U.S. Food and Drug Administration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 Even if we complete the necessary preclinical studies and clinical trials, the marketing approval process is expensive, time-consuming and uncertain and may prevent us, or any future collaboration partners from obtaining approvals for and/or commercializing any product candidate we develop.</w:t>
      </w:r>
    </w:p>
    <w:p>
      <w:pPr>
        <w:spacing w:after="0" w:line="54" w:lineRule="exact"/>
        <w:rPr>
          <w:rFonts w:ascii="Times New Roman" w:cs="Times New Roman" w:eastAsia="Times New Roman" w:hAnsi="Times New Roman"/>
          <w:sz w:val="18"/>
          <w:szCs w:val="18"/>
          <w:color w:val="auto"/>
        </w:rPr>
      </w:pPr>
    </w:p>
    <w:p>
      <w:pPr>
        <w:ind w:left="1020" w:right="16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including enrollment of patients in clinical trials, is an expensive, lengthy and uncertain process. We may encounter substantial delays and costs in our clinical trials, or may not be able to conduct or complete our clinical trials on the timelines we expect, if at all.</w:t>
      </w:r>
    </w:p>
    <w:p>
      <w:pPr>
        <w:spacing w:after="0" w:line="4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intend to develop certain of our product candidates in combination with other therapies, which exposes us to additional risks.</w:t>
      </w:r>
    </w:p>
    <w:p>
      <w:pPr>
        <w:spacing w:after="0" w:line="89" w:lineRule="exact"/>
        <w:rPr>
          <w:rFonts w:ascii="Times New Roman" w:cs="Times New Roman" w:eastAsia="Times New Roman" w:hAnsi="Times New Roman"/>
          <w:sz w:val="18"/>
          <w:szCs w:val="18"/>
          <w:color w:val="auto"/>
        </w:rPr>
      </w:pPr>
    </w:p>
    <w:p>
      <w:pPr>
        <w:ind w:left="1020" w:right="22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p>
      <w:pPr>
        <w:ind w:left="503" w:hanging="503"/>
        <w:spacing w:after="0" w:line="27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conduct clinical trials, and may in the future choose to conduct additional clinical trials, of our product candidates in sites outside the United States, and the FDA may not accept data from trials conducted in foreign locations.</w:t>
      </w:r>
    </w:p>
    <w:p>
      <w:pPr>
        <w:spacing w:after="0" w:line="32" w:lineRule="exact"/>
        <w:rPr>
          <w:rFonts w:ascii="Times New Roman" w:cs="Times New Roman" w:eastAsia="Times New Roman" w:hAnsi="Times New Roman"/>
          <w:sz w:val="18"/>
          <w:szCs w:val="18"/>
          <w:color w:val="auto"/>
        </w:rPr>
      </w:pPr>
    </w:p>
    <w:p>
      <w:pPr>
        <w:ind w:left="503" w:hanging="503"/>
        <w:spacing w:after="0" w:line="314"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data become available and are subject to audit and verification procedures that could result in material changes in the final data.</w:t>
      </w: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successful in our efforts to identify and successfully develop additional product candidates.</w:t>
      </w:r>
    </w:p>
    <w:p>
      <w:pPr>
        <w:spacing w:after="0" w:line="89" w:lineRule="exact"/>
        <w:rPr>
          <w:rFonts w:ascii="Times New Roman" w:cs="Times New Roman" w:eastAsia="Times New Roman" w:hAnsi="Times New Roman"/>
          <w:sz w:val="18"/>
          <w:szCs w:val="18"/>
          <w:color w:val="auto"/>
        </w:rPr>
      </w:pPr>
    </w:p>
    <w:p>
      <w:pPr>
        <w:ind w:left="503" w:right="500" w:hanging="503"/>
        <w:spacing w:after="0" w:line="27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healthcare laws and other legal compliance matters may materially and adversely affect our business and financial results.</w:t>
      </w:r>
    </w:p>
    <w:p>
      <w:pPr>
        <w:spacing w:after="0" w:line="3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commercialization may materially and adversely affect our business and financial results.</w:t>
      </w:r>
    </w:p>
    <w:p>
      <w:pPr>
        <w:spacing w:after="0" w:line="89" w:lineRule="exact"/>
        <w:rPr>
          <w:rFonts w:ascii="Times New Roman" w:cs="Times New Roman" w:eastAsia="Times New Roman" w:hAnsi="Times New Roman"/>
          <w:sz w:val="18"/>
          <w:szCs w:val="18"/>
          <w:color w:val="auto"/>
        </w:rPr>
      </w:pPr>
    </w:p>
    <w:p>
      <w:pPr>
        <w:ind w:left="503" w:right="520" w:hanging="503"/>
        <w:spacing w:after="0" w:line="27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manufacturing and our dependence on third parties may materially and adversely affect our business and financial results.</w:t>
      </w:r>
    </w:p>
    <w:p>
      <w:pPr>
        <w:spacing w:after="0" w:line="32" w:lineRule="exact"/>
        <w:rPr>
          <w:rFonts w:ascii="Times New Roman" w:cs="Times New Roman" w:eastAsia="Times New Roman" w:hAnsi="Times New Roman"/>
          <w:sz w:val="18"/>
          <w:szCs w:val="18"/>
          <w:color w:val="auto"/>
        </w:rPr>
      </w:pPr>
    </w:p>
    <w:p>
      <w:pPr>
        <w:ind w:left="503" w:hanging="503"/>
        <w:spacing w:after="0" w:line="247"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intellectual property may materially and adversely affect our business and financial results, including 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54"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have only a limited number of employees which may be inadequate to manage and operate our business.</w:t>
      </w:r>
    </w:p>
    <w:p>
      <w:pPr>
        <w:spacing w:after="0" w:line="89" w:lineRule="exact"/>
        <w:rPr>
          <w:rFonts w:ascii="Times New Roman" w:cs="Times New Roman" w:eastAsia="Times New Roman" w:hAnsi="Times New Roman"/>
          <w:sz w:val="18"/>
          <w:szCs w:val="18"/>
          <w:color w:val="auto"/>
        </w:rPr>
      </w:pPr>
    </w:p>
    <w:p>
      <w:pPr>
        <w:ind w:left="503" w:right="180" w:hanging="503"/>
        <w:spacing w:after="0" w:line="286"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and operations may suffer in the event of system failures, deficiencies or intrusions which could materially affect our results.</w:t>
      </w:r>
    </w:p>
    <w:p>
      <w:pPr>
        <w:spacing w:after="0" w:line="18" w:lineRule="exact"/>
        <w:rPr>
          <w:rFonts w:ascii="Times New Roman" w:cs="Times New Roman" w:eastAsia="Times New Roman" w:hAnsi="Times New Roman"/>
          <w:sz w:val="18"/>
          <w:szCs w:val="18"/>
          <w:color w:val="auto"/>
        </w:rPr>
      </w:pPr>
    </w:p>
    <w:p>
      <w:pPr>
        <w:ind w:left="503" w:right="240" w:hanging="503"/>
        <w:spacing w:after="0" w:line="27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will need to expand our organization, and we may experience difficulties in managing this growth, which could disrupt our operations.</w:t>
      </w:r>
    </w:p>
    <w:p>
      <w:pPr>
        <w:spacing w:after="0" w:line="32" w:lineRule="exact"/>
        <w:rPr>
          <w:rFonts w:ascii="Times New Roman" w:cs="Times New Roman" w:eastAsia="Times New Roman" w:hAnsi="Times New Roman"/>
          <w:sz w:val="18"/>
          <w:szCs w:val="18"/>
          <w:color w:val="auto"/>
        </w:rPr>
      </w:pPr>
    </w:p>
    <w:p>
      <w:pPr>
        <w:ind w:left="503" w:right="400" w:hanging="503"/>
        <w:spacing w:after="0" w:line="300"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We may engage in acquisitions or strategic partnerships that could disrupt our business, cause dilution to our stockholders, reduce our financial resources, cause us to incur debt or assume contingent liabilities, and subject us to other risks.</w:t>
      </w:r>
    </w:p>
    <w:p>
      <w:pPr>
        <w:spacing w:after="0" w:line="9" w:lineRule="exact"/>
        <w:rPr>
          <w:rFonts w:ascii="Times New Roman" w:cs="Times New Roman" w:eastAsia="Times New Roman" w:hAnsi="Times New Roman"/>
          <w:sz w:val="17"/>
          <w:szCs w:val="17"/>
          <w:color w:val="auto"/>
        </w:rPr>
      </w:pPr>
    </w:p>
    <w:p>
      <w:pPr>
        <w:ind w:left="503" w:right="160" w:hanging="503"/>
        <w:spacing w:after="0" w:line="26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or the third parties upon whom we depend may be adversely affected by natural disasters or other unforeseen events resulting in business interruptions and our business continuity and disaster recovery plans may not adequately protect us from such business interruptions.</w:t>
      </w:r>
    </w:p>
    <w:p>
      <w:pPr>
        <w:spacing w:after="0" w:line="4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against us could be costly and time-consuming to defend and could result in additional liabilities.</w:t>
      </w:r>
    </w:p>
    <w:p>
      <w:pPr>
        <w:spacing w:after="0" w:line="89" w:lineRule="exact"/>
        <w:rPr>
          <w:rFonts w:ascii="Times New Roman" w:cs="Times New Roman" w:eastAsia="Times New Roman" w:hAnsi="Times New Roman"/>
          <w:sz w:val="18"/>
          <w:szCs w:val="18"/>
          <w:color w:val="auto"/>
        </w:rPr>
      </w:pPr>
    </w:p>
    <w:p>
      <w:pPr>
        <w:ind w:left="503" w:right="280" w:hanging="503"/>
        <w:spacing w:after="0" w:line="27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Unstable market and economic conditions may have serious adverse consequences on our business, financial condition and share price.</w:t>
      </w:r>
    </w:p>
    <w:p>
      <w:pPr>
        <w:spacing w:after="0" w:line="3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our common stock may materially and adversely affect our stock price.</w:t>
      </w:r>
    </w:p>
    <w:p>
      <w:pPr>
        <w:spacing w:after="0" w:line="89" w:lineRule="exact"/>
        <w:rPr>
          <w:rFonts w:ascii="Times New Roman" w:cs="Times New Roman" w:eastAsia="Times New Roman" w:hAnsi="Times New Roman"/>
          <w:sz w:val="18"/>
          <w:szCs w:val="18"/>
          <w:color w:val="auto"/>
        </w:rPr>
      </w:pPr>
    </w:p>
    <w:p>
      <w:pPr>
        <w:ind w:left="503" w:right="140" w:hanging="503"/>
        <w:spacing w:after="0" w:line="26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28" w:lineRule="exact"/>
        <w:rPr>
          <w:rFonts w:ascii="Times New Roman" w:cs="Times New Roman" w:eastAsia="Times New Roman" w:hAnsi="Times New Roman"/>
          <w:sz w:val="18"/>
          <w:szCs w:val="18"/>
          <w:color w:val="auto"/>
        </w:rPr>
      </w:pPr>
    </w:p>
    <w:p>
      <w:pPr>
        <w:ind w:left="503" w:right="80" w:hanging="503"/>
        <w:spacing w:after="0" w:line="252"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If our information systems, or those maintained on our behalf, fail or suffer security breaches, such events could result in, without limitation, the following: a significant disruption of our product development programs; an inability to operate our business effectively; unauthorized access to or disclosure of the personal information we process; and other adverse effects on our business, financial condition, results of operations and prospects.</w:t>
      </w:r>
    </w:p>
    <w:p>
      <w:pPr>
        <w:spacing w:after="0" w:line="4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subject to securities class action litigation.</w:t>
      </w:r>
    </w:p>
    <w:p>
      <w:pPr>
        <w:spacing w:after="0" w:line="200" w:lineRule="exact"/>
        <w:rPr>
          <w:sz w:val="20"/>
          <w:szCs w:val="20"/>
          <w:color w:val="auto"/>
        </w:rPr>
      </w:pPr>
    </w:p>
    <w:p>
      <w:pPr>
        <w:spacing w:after="0" w:line="321" w:lineRule="exact"/>
        <w:rPr>
          <w:sz w:val="20"/>
          <w:szCs w:val="20"/>
          <w:color w:val="auto"/>
        </w:rPr>
      </w:pPr>
    </w:p>
    <w:p>
      <w:pPr>
        <w:jc w:val="center"/>
        <w:ind w:right="457"/>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418" w:right="3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40" w:type="dxa"/>
            <w:vAlign w:val="bottom"/>
            <w:gridSpan w:val="24"/>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440" w:type="dxa"/>
            <w:vAlign w:val="bottom"/>
            <w:gridSpan w:val="24"/>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SUMMARY RISK FACTORS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2"/>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68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15"/>
                <w:szCs w:val="15"/>
                <w:color w:val="auto"/>
              </w:rPr>
            </w:pPr>
          </w:p>
        </w:tc>
        <w:tc>
          <w:tcPr>
            <w:tcW w:w="6600" w:type="dxa"/>
            <w:vAlign w:val="bottom"/>
            <w:gridSpan w:val="11"/>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700" w:type="dxa"/>
            <w:vAlign w:val="bottom"/>
            <w:gridSpan w:val="11"/>
          </w:tcPr>
          <w:p>
            <w:pPr>
              <w:spacing w:after="0" w:line="182" w:lineRule="exact"/>
              <w:rPr>
                <w:sz w:val="20"/>
                <w:szCs w:val="20"/>
                <w:color w:val="auto"/>
              </w:rPr>
            </w:pPr>
            <w:r>
              <w:rPr>
                <w:rFonts w:ascii="Arial" w:cs="Arial" w:eastAsia="Arial" w:hAnsi="Arial"/>
                <w:sz w:val="18"/>
                <w:szCs w:val="18"/>
                <w:color w:val="0000FF"/>
                <w:w w:val="98"/>
              </w:rPr>
              <w:t>Condensed Consolidated Balance</w:t>
            </w:r>
          </w:p>
        </w:tc>
        <w:tc>
          <w:tcPr>
            <w:tcW w:w="6600" w:type="dxa"/>
            <w:vAlign w:val="bottom"/>
            <w:gridSpan w:val="11"/>
          </w:tcPr>
          <w:p>
            <w:pPr>
              <w:ind w:left="80"/>
              <w:spacing w:after="0" w:line="182" w:lineRule="exact"/>
              <w:rPr>
                <w:sz w:val="20"/>
                <w:szCs w:val="20"/>
                <w:color w:val="auto"/>
              </w:rPr>
            </w:pPr>
            <w:r>
              <w:rPr>
                <w:rFonts w:ascii="Arial" w:cs="Arial" w:eastAsia="Arial" w:hAnsi="Arial"/>
                <w:sz w:val="18"/>
                <w:szCs w:val="18"/>
                <w:color w:val="0000FF"/>
              </w:rPr>
              <w:t>Sheets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34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5960" w:type="dxa"/>
            <w:vAlign w:val="bottom"/>
            <w:gridSpan w:val="10"/>
          </w:tcPr>
          <w:p>
            <w:pPr>
              <w:spacing w:after="0" w:line="182" w:lineRule="exact"/>
              <w:rPr>
                <w:sz w:val="20"/>
                <w:szCs w:val="20"/>
                <w:color w:val="auto"/>
              </w:rPr>
            </w:pPr>
            <w:r>
              <w:rPr>
                <w:rFonts w:ascii="Arial" w:cs="Arial" w:eastAsia="Arial" w:hAnsi="Arial"/>
                <w:sz w:val="18"/>
                <w:szCs w:val="18"/>
                <w:color w:val="0000FF"/>
              </w:rPr>
              <w:t>Operations and Comprehensive Income (Loss)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98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w:t>
            </w: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680" w:type="dxa"/>
            <w:vAlign w:val="bottom"/>
            <w:tcBorders>
              <w:top w:val="single" w:sz="8" w:color="0000FF"/>
            </w:tcBorders>
            <w:gridSpan w:val="4"/>
          </w:tcPr>
          <w:p>
            <w:pPr>
              <w:spacing w:after="0"/>
              <w:rPr>
                <w:sz w:val="15"/>
                <w:szCs w:val="15"/>
                <w:color w:val="auto"/>
              </w:rPr>
            </w:pPr>
          </w:p>
        </w:tc>
        <w:tc>
          <w:tcPr>
            <w:tcW w:w="480" w:type="dxa"/>
            <w:vAlign w:val="bottom"/>
          </w:tcPr>
          <w:p>
            <w:pPr>
              <w:spacing w:after="0"/>
              <w:rPr>
                <w:sz w:val="15"/>
                <w:szCs w:val="15"/>
                <w:color w:val="auto"/>
              </w:rPr>
            </w:pPr>
          </w:p>
        </w:tc>
        <w:tc>
          <w:tcPr>
            <w:tcW w:w="1720" w:type="dxa"/>
            <w:vAlign w:val="bottom"/>
            <w:gridSpan w:val="2"/>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300" w:type="dxa"/>
            <w:vAlign w:val="bottom"/>
            <w:gridSpan w:val="22"/>
          </w:tcPr>
          <w:p>
            <w:pPr>
              <w:spacing w:after="0" w:line="182" w:lineRule="exact"/>
              <w:rPr>
                <w:sz w:val="20"/>
                <w:szCs w:val="20"/>
                <w:color w:val="auto"/>
              </w:rPr>
            </w:pPr>
            <w:r>
              <w:rPr>
                <w:rFonts w:ascii="Arial" w:cs="Arial" w:eastAsia="Arial" w:hAnsi="Arial"/>
                <w:sz w:val="18"/>
                <w:szCs w:val="18"/>
                <w:color w:val="0000FF"/>
              </w:rPr>
              <w:t>Notes to Unaudited Condensed Consolidated Financial Statements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536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w:t>
            </w:r>
          </w:p>
        </w:tc>
        <w:tc>
          <w:tcPr>
            <w:tcW w:w="3940" w:type="dxa"/>
            <w:vAlign w:val="bottom"/>
            <w:gridSpan w:val="3"/>
          </w:tcPr>
          <w:p>
            <w:pPr>
              <w:spacing w:after="0" w:line="182" w:lineRule="exact"/>
              <w:rPr>
                <w:sz w:val="20"/>
                <w:szCs w:val="20"/>
                <w:color w:val="auto"/>
              </w:rPr>
            </w:pPr>
            <w:r>
              <w:rPr>
                <w:rFonts w:ascii="Arial" w:cs="Arial" w:eastAsia="Arial" w:hAnsi="Arial"/>
                <w:sz w:val="18"/>
                <w:szCs w:val="18"/>
                <w:color w:val="0000FF"/>
              </w:rPr>
              <w:t>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000" w:type="dxa"/>
            <w:vAlign w:val="bottom"/>
            <w:tcBorders>
              <w:top w:val="single" w:sz="8" w:color="0000FF"/>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9"/>
              </w:rPr>
              <w:t>Controls and Procedures</w:t>
            </w:r>
          </w:p>
        </w:tc>
        <w:tc>
          <w:tcPr>
            <w:tcW w:w="2720" w:type="dxa"/>
            <w:vAlign w:val="bottom"/>
            <w:tcBorders>
              <w:top w:val="single" w:sz="8" w:color="0000FF"/>
            </w:tcBorders>
            <w:gridSpan w:val="8"/>
          </w:tcPr>
          <w:p>
            <w:pPr>
              <w:spacing w:after="0"/>
              <w:rPr>
                <w:sz w:val="15"/>
                <w:szCs w:val="15"/>
                <w:color w:val="auto"/>
              </w:rPr>
            </w:pPr>
          </w:p>
        </w:tc>
        <w:tc>
          <w:tcPr>
            <w:tcW w:w="140" w:type="dxa"/>
            <w:vAlign w:val="bottom"/>
          </w:tcPr>
          <w:p>
            <w:pPr>
              <w:spacing w:after="0"/>
              <w:rPr>
                <w:sz w:val="15"/>
                <w:szCs w:val="15"/>
                <w:color w:val="auto"/>
              </w:rPr>
            </w:pP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194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Legal Proceedings</w:t>
            </w:r>
          </w:p>
        </w:tc>
        <w:tc>
          <w:tcPr>
            <w:tcW w:w="2920" w:type="dxa"/>
            <w:vAlign w:val="bottom"/>
            <w:gridSpan w:val="10"/>
          </w:tcPr>
          <w:p>
            <w:pPr>
              <w:spacing w:after="0"/>
              <w:rPr>
                <w:sz w:val="15"/>
                <w:szCs w:val="15"/>
                <w:color w:val="auto"/>
              </w:rPr>
            </w:pP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Risk Factors</w:t>
            </w:r>
          </w:p>
        </w:tc>
        <w:tc>
          <w:tcPr>
            <w:tcW w:w="3360" w:type="dxa"/>
            <w:vAlign w:val="bottom"/>
            <w:gridSpan w:val="11"/>
          </w:tcPr>
          <w:p>
            <w:pPr>
              <w:spacing w:after="0"/>
              <w:rPr>
                <w:sz w:val="15"/>
                <w:szCs w:val="15"/>
                <w:color w:val="auto"/>
              </w:rPr>
            </w:pP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5"/>
              </w:rPr>
              <w:t>Unregistered</w:t>
            </w:r>
          </w:p>
        </w:tc>
        <w:tc>
          <w:tcPr>
            <w:tcW w:w="20" w:type="dxa"/>
            <w:vAlign w:val="bottom"/>
            <w:tcBorders>
              <w:top w:val="single" w:sz="8" w:color="0000EE"/>
            </w:tcBorders>
          </w:tcPr>
          <w:p>
            <w:pPr>
              <w:spacing w:after="0"/>
              <w:rPr>
                <w:sz w:val="15"/>
                <w:szCs w:val="15"/>
                <w:color w:val="auto"/>
              </w:rPr>
            </w:pPr>
          </w:p>
        </w:tc>
        <w:tc>
          <w:tcPr>
            <w:tcW w:w="8280" w:type="dxa"/>
            <w:vAlign w:val="bottom"/>
            <w:gridSpan w:val="19"/>
          </w:tcPr>
          <w:p>
            <w:pPr>
              <w:ind w:left="6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486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Other Information</w:t>
            </w: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Exhibits</w:t>
            </w:r>
          </w:p>
        </w:tc>
        <w:tc>
          <w:tcPr>
            <w:tcW w:w="7900" w:type="dxa"/>
            <w:vAlign w:val="bottom"/>
            <w:gridSpan w:val="1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0000FF"/>
                <w:w w:val="93"/>
              </w:rPr>
              <w:t>SIGNATURES</w:t>
            </w:r>
          </w:p>
        </w:tc>
        <w:tc>
          <w:tcPr>
            <w:tcW w:w="640" w:type="dxa"/>
            <w:vAlign w:val="bottom"/>
            <w:tcBorders>
              <w:top w:val="single" w:sz="8" w:color="0000FF"/>
            </w:tcBorders>
          </w:tcPr>
          <w:p>
            <w:pPr>
              <w:spacing w:after="0"/>
              <w:rPr>
                <w:sz w:val="15"/>
                <w:szCs w:val="15"/>
                <w:color w:val="auto"/>
              </w:rPr>
            </w:pPr>
          </w:p>
        </w:tc>
        <w:tc>
          <w:tcPr>
            <w:tcW w:w="8660" w:type="dxa"/>
            <w:vAlign w:val="bottom"/>
            <w:gridSpan w:val="2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2" w:lineRule="exact"/>
        <w:rPr>
          <w:sz w:val="20"/>
          <w:szCs w:val="20"/>
          <w:color w:val="auto"/>
        </w:rPr>
      </w:pPr>
    </w:p>
    <w:p>
      <w:pPr>
        <w:ind w:right="3760"/>
        <w:spacing w:after="0" w:line="251" w:lineRule="auto"/>
        <w:rPr>
          <w:sz w:val="20"/>
          <w:szCs w:val="20"/>
          <w:color w:val="auto"/>
        </w:rPr>
      </w:pPr>
      <w:r>
        <w:rPr>
          <w:rFonts w:ascii="Arial" w:cs="Arial" w:eastAsia="Arial" w:hAnsi="Arial"/>
          <w:sz w:val="32"/>
          <w:szCs w:val="32"/>
          <w:b w:val="1"/>
          <w:bCs w:val="1"/>
          <w:color w:val="auto"/>
        </w:rPr>
        <w:t>ATEA PHARMACEUTICALS, INC. and Subsidiary Condensed Consolidated Balance Sheets</w:t>
      </w:r>
    </w:p>
    <w:p>
      <w:pPr>
        <w:spacing w:after="0" w:line="237"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76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110"/>
              <w:spacing w:after="0" w:line="170" w:lineRule="exact"/>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14"/>
                <w:szCs w:val="14"/>
                <w:color w:val="auto"/>
              </w:rPr>
            </w:pPr>
          </w:p>
        </w:tc>
        <w:tc>
          <w:tcPr>
            <w:tcW w:w="1440" w:type="dxa"/>
            <w:vAlign w:val="bottom"/>
          </w:tcPr>
          <w:p>
            <w:pPr>
              <w:jc w:val="right"/>
              <w:ind w:right="30"/>
              <w:spacing w:after="0" w:line="170"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176,410</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764,375</w:t>
            </w: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488,565</w:t>
            </w:r>
          </w:p>
        </w:tc>
        <w:tc>
          <w:tcPr>
            <w:tcW w:w="3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4,514</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12,446</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681,935</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772,403</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1,810</w:t>
            </w:r>
          </w:p>
        </w:tc>
        <w:tc>
          <w:tcPr>
            <w:tcW w:w="3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305</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2,526</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9"/>
        </w:trPr>
        <w:tc>
          <w:tcPr>
            <w:tcW w:w="76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686,576</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772,892</w:t>
            </w:r>
          </w:p>
        </w:tc>
        <w:tc>
          <w:tcPr>
            <w:tcW w:w="0" w:type="dxa"/>
            <w:vAlign w:val="bottom"/>
          </w:tcPr>
          <w:p>
            <w:pPr>
              <w:spacing w:after="0"/>
              <w:rPr>
                <w:sz w:val="1"/>
                <w:szCs w:val="1"/>
                <w:color w:val="auto"/>
              </w:rPr>
            </w:pPr>
          </w:p>
        </w:tc>
      </w:tr>
      <w:tr>
        <w:trPr>
          <w:trHeight w:val="209"/>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1,118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13,805</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52,152</w:t>
            </w: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711</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15,634</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56,883</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2,585</w:t>
            </w:r>
          </w:p>
        </w:tc>
        <w:tc>
          <w:tcPr>
            <w:tcW w:w="3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5,170</w:t>
            </w: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09"/>
        </w:trPr>
        <w:tc>
          <w:tcPr>
            <w:tcW w:w="764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23,389</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62,815</w:t>
            </w: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(see Note 12)</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64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Preferred stock, $0.001 par value per share; 10,000,000 shares</w:t>
            </w: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420"/>
              <w:spacing w:after="0" w:line="189" w:lineRule="exact"/>
              <w:rPr>
                <w:sz w:val="20"/>
                <w:szCs w:val="20"/>
                <w:color w:val="auto"/>
              </w:rPr>
            </w:pPr>
            <w:r>
              <w:rPr>
                <w:rFonts w:ascii="Arial" w:cs="Arial" w:eastAsia="Arial" w:hAnsi="Arial"/>
                <w:sz w:val="18"/>
                <w:szCs w:val="18"/>
                <w:color w:val="auto"/>
              </w:rPr>
              <w:t>authorized; no shares issued and outstanding as of September 30, 2022, and</w:t>
            </w:r>
          </w:p>
        </w:tc>
        <w:tc>
          <w:tcPr>
            <w:tcW w:w="240" w:type="dxa"/>
            <w:vAlign w:val="bottom"/>
            <w:shd w:val="clear" w:color="auto" w:fill="CFF0FC"/>
          </w:tcPr>
          <w:p>
            <w:pPr>
              <w:spacing w:after="0"/>
              <w:rPr>
                <w:sz w:val="16"/>
                <w:szCs w:val="16"/>
                <w:color w:val="auto"/>
              </w:rPr>
            </w:pPr>
          </w:p>
        </w:tc>
        <w:tc>
          <w:tcPr>
            <w:tcW w:w="156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6"/>
                <w:szCs w:val="16"/>
                <w:color w:val="auto"/>
              </w:rPr>
            </w:pPr>
          </w:p>
        </w:tc>
        <w:tc>
          <w:tcPr>
            <w:tcW w:w="14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December 31, 2021</w:t>
            </w:r>
          </w:p>
        </w:tc>
        <w:tc>
          <w:tcPr>
            <w:tcW w:w="240" w:type="dxa"/>
            <w:vAlign w:val="bottom"/>
            <w:shd w:val="clear" w:color="auto" w:fill="CFF0FC"/>
          </w:tcPr>
          <w:p>
            <w:pPr>
              <w:spacing w:after="0"/>
              <w:rPr>
                <w:sz w:val="20"/>
                <w:szCs w:val="20"/>
                <w:color w:val="auto"/>
              </w:rPr>
            </w:pPr>
          </w:p>
        </w:tc>
        <w:tc>
          <w:tcPr>
            <w:tcW w:w="1560" w:type="dxa"/>
            <w:vAlign w:val="bottom"/>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4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7640" w:type="dxa"/>
            <w:vAlign w:val="bottom"/>
          </w:tcPr>
          <w:p>
            <w:pPr>
              <w:ind w:left="280"/>
              <w:spacing w:after="0" w:line="170" w:lineRule="exact"/>
              <w:rPr>
                <w:sz w:val="20"/>
                <w:szCs w:val="20"/>
                <w:color w:val="auto"/>
              </w:rPr>
            </w:pPr>
            <w:r>
              <w:rPr>
                <w:rFonts w:ascii="Arial" w:cs="Arial" w:eastAsia="Arial" w:hAnsi="Arial"/>
                <w:sz w:val="18"/>
                <w:szCs w:val="18"/>
                <w:color w:val="auto"/>
              </w:rPr>
              <w:t>Common stock, $0.001 par value; 300,000,000 shares authorized</w:t>
            </w: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420"/>
              <w:spacing w:after="0" w:line="189" w:lineRule="exact"/>
              <w:rPr>
                <w:sz w:val="20"/>
                <w:szCs w:val="20"/>
                <w:color w:val="auto"/>
              </w:rPr>
            </w:pPr>
            <w:r>
              <w:rPr>
                <w:rFonts w:ascii="Arial" w:cs="Arial" w:eastAsia="Arial" w:hAnsi="Arial"/>
                <w:sz w:val="18"/>
                <w:szCs w:val="18"/>
                <w:color w:val="auto"/>
              </w:rPr>
              <w:t>as of September 30, 2022 and December 31, 2021;</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420"/>
              <w:spacing w:after="0" w:line="189" w:lineRule="exact"/>
              <w:rPr>
                <w:sz w:val="20"/>
                <w:szCs w:val="20"/>
                <w:color w:val="auto"/>
              </w:rPr>
            </w:pPr>
            <w:r>
              <w:rPr>
                <w:rFonts w:ascii="Arial" w:cs="Arial" w:eastAsia="Arial" w:hAnsi="Arial"/>
                <w:sz w:val="18"/>
                <w:szCs w:val="18"/>
                <w:color w:val="auto"/>
              </w:rPr>
              <w:t>83,287,639 and 83,102,730 shares issued and outstanding</w:t>
            </w:r>
          </w:p>
        </w:tc>
        <w:tc>
          <w:tcPr>
            <w:tcW w:w="240" w:type="dxa"/>
            <w:vAlign w:val="bottom"/>
          </w:tcPr>
          <w:p>
            <w:pPr>
              <w:spacing w:after="0"/>
              <w:rPr>
                <w:sz w:val="16"/>
                <w:szCs w:val="16"/>
                <w:color w:val="auto"/>
              </w:rPr>
            </w:pPr>
          </w:p>
        </w:tc>
        <w:tc>
          <w:tcPr>
            <w:tcW w:w="1560" w:type="dxa"/>
            <w:vAlign w:val="bottom"/>
            <w:vMerge w:val="restart"/>
          </w:tcPr>
          <w:p>
            <w:pPr>
              <w:jc w:val="right"/>
              <w:ind w:right="110"/>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6"/>
                <w:szCs w:val="16"/>
                <w:color w:val="auto"/>
              </w:rPr>
            </w:pPr>
          </w:p>
        </w:tc>
        <w:tc>
          <w:tcPr>
            <w:tcW w:w="1440" w:type="dxa"/>
            <w:vAlign w:val="bottom"/>
            <w:vMerge w:val="restart"/>
          </w:tcPr>
          <w:p>
            <w:pPr>
              <w:jc w:val="right"/>
              <w:ind w:right="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5"/>
        </w:trPr>
        <w:tc>
          <w:tcPr>
            <w:tcW w:w="7640" w:type="dxa"/>
            <w:vAlign w:val="bottom"/>
          </w:tcPr>
          <w:p>
            <w:pPr>
              <w:ind w:left="420"/>
              <w:spacing w:after="0"/>
              <w:rPr>
                <w:sz w:val="20"/>
                <w:szCs w:val="20"/>
                <w:color w:val="auto"/>
              </w:rPr>
            </w:pPr>
            <w:r>
              <w:rPr>
                <w:rFonts w:ascii="Arial" w:cs="Arial" w:eastAsia="Arial" w:hAnsi="Arial"/>
                <w:sz w:val="18"/>
                <w:szCs w:val="18"/>
                <w:color w:val="auto"/>
              </w:rPr>
              <w:t>as of September 30, 2022 and December 31, 2021, respectively</w:t>
            </w:r>
          </w:p>
        </w:tc>
        <w:tc>
          <w:tcPr>
            <w:tcW w:w="24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689,407</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653,964</w:t>
            </w: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(855)</w:t>
            </w:r>
          </w:p>
        </w:tc>
        <w:tc>
          <w:tcPr>
            <w:tcW w:w="3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Retained earnings (accumulated deficit)</w:t>
            </w: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(25,448)</w:t>
            </w: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56,030</w:t>
            </w:r>
          </w:p>
        </w:tc>
        <w:tc>
          <w:tcPr>
            <w:tcW w:w="0" w:type="dxa"/>
            <w:vAlign w:val="bottom"/>
          </w:tcPr>
          <w:p>
            <w:pPr>
              <w:spacing w:after="0"/>
              <w:rPr>
                <w:sz w:val="1"/>
                <w:szCs w:val="1"/>
                <w:color w:val="auto"/>
              </w:rPr>
            </w:pPr>
          </w:p>
        </w:tc>
      </w:tr>
      <w:tr>
        <w:trPr>
          <w:trHeight w:val="210"/>
        </w:trPr>
        <w:tc>
          <w:tcPr>
            <w:tcW w:w="7640" w:type="dxa"/>
            <w:vAlign w:val="bottom"/>
          </w:tcPr>
          <w:p>
            <w:pPr>
              <w:ind w:left="5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663,187</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710,077</w:t>
            </w: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686,576</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772,892</w:t>
            </w:r>
          </w:p>
        </w:tc>
        <w:tc>
          <w:tcPr>
            <w:tcW w:w="0" w:type="dxa"/>
            <w:vAlign w:val="bottom"/>
          </w:tcPr>
          <w:p>
            <w:pPr>
              <w:spacing w:after="0"/>
              <w:rPr>
                <w:sz w:val="1"/>
                <w:szCs w:val="1"/>
                <w:color w:val="auto"/>
              </w:rPr>
            </w:pPr>
          </w:p>
        </w:tc>
      </w:tr>
      <w:tr>
        <w:trPr>
          <w:trHeight w:val="68"/>
        </w:trPr>
        <w:tc>
          <w:tcPr>
            <w:tcW w:w="76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spacing w:after="0"/>
        <w:rPr>
          <w:sz w:val="20"/>
          <w:szCs w:val="20"/>
          <w:color w:val="auto"/>
        </w:rPr>
      </w:pPr>
      <w:r>
        <w:rPr>
          <w:rFonts w:ascii="Arial" w:cs="Arial" w:eastAsia="Arial" w:hAnsi="Arial"/>
          <w:sz w:val="32"/>
          <w:szCs w:val="32"/>
          <w:b w:val="1"/>
          <w:bCs w:val="1"/>
          <w:color w:val="auto"/>
        </w:rPr>
        <w:t>ATEA PHARMACEUTICALS, INC. and Subsidiary</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Consolidated Statements of Operations and Comprehensive</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Income (Loss)</w:t>
      </w:r>
    </w:p>
    <w:p>
      <w:pP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53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300" w:type="dxa"/>
            <w:vAlign w:val="bottom"/>
            <w:gridSpan w:val="2"/>
            <w:shd w:val="clear" w:color="auto" w:fill="000000"/>
          </w:tcPr>
          <w:p>
            <w:pPr>
              <w:spacing w:after="0"/>
              <w:rPr>
                <w:sz w:val="5"/>
                <w:szCs w:val="5"/>
                <w:color w:val="auto"/>
              </w:rPr>
            </w:pPr>
          </w:p>
        </w:tc>
        <w:tc>
          <w:tcPr>
            <w:tcW w:w="1380" w:type="dxa"/>
            <w:vAlign w:val="bottom"/>
            <w:gridSpan w:val="2"/>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240" w:type="dxa"/>
            <w:vAlign w:val="bottom"/>
            <w:gridSpan w:val="2"/>
            <w:shd w:val="clear" w:color="auto" w:fill="000000"/>
          </w:tcPr>
          <w:p>
            <w:pPr>
              <w:spacing w:after="0"/>
              <w:rPr>
                <w:sz w:val="5"/>
                <w:szCs w:val="5"/>
                <w:color w:val="auto"/>
              </w:rPr>
            </w:pPr>
          </w:p>
        </w:tc>
        <w:tc>
          <w:tcPr>
            <w:tcW w:w="1400" w:type="dxa"/>
            <w:vAlign w:val="bottom"/>
            <w:gridSpan w:val="2"/>
            <w:shd w:val="clear" w:color="auto" w:fill="000000"/>
          </w:tcPr>
          <w:p>
            <w:pPr>
              <w:spacing w:after="0"/>
              <w:rPr>
                <w:sz w:val="5"/>
                <w:szCs w:val="5"/>
                <w:color w:val="auto"/>
              </w:rPr>
            </w:pPr>
          </w:p>
        </w:tc>
      </w:tr>
      <w:tr>
        <w:trPr>
          <w:trHeight w:val="170"/>
        </w:trPr>
        <w:tc>
          <w:tcPr>
            <w:tcW w:w="5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gridSpan w:val="4"/>
          </w:tcPr>
          <w:p>
            <w:pPr>
              <w:jc w:val="right"/>
              <w:ind w:right="30"/>
              <w:spacing w:after="0" w:line="170" w:lineRule="exact"/>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4"/>
          </w:tcPr>
          <w:p>
            <w:pPr>
              <w:jc w:val="right"/>
              <w:ind w:right="30"/>
              <w:spacing w:after="0" w:line="170" w:lineRule="exact"/>
              <w:rPr>
                <w:sz w:val="20"/>
                <w:szCs w:val="20"/>
                <w:color w:val="auto"/>
              </w:rPr>
            </w:pPr>
            <w:r>
              <w:rPr>
                <w:rFonts w:ascii="Arial" w:cs="Arial" w:eastAsia="Arial" w:hAnsi="Arial"/>
                <w:sz w:val="18"/>
                <w:szCs w:val="18"/>
                <w:b w:val="1"/>
                <w:bCs w:val="1"/>
                <w:color w:val="auto"/>
              </w:rPr>
              <w:t>Nine Months Ended</w:t>
            </w:r>
          </w:p>
        </w:tc>
      </w:tr>
      <w:tr>
        <w:trPr>
          <w:trHeight w:val="235"/>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10"/>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32,811</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159,187</w:t>
            </w: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4,905</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43,019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54,396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109,394</w:t>
            </w:r>
          </w:p>
        </w:tc>
      </w:tr>
      <w:tr>
        <w:trPr>
          <w:trHeight w:val="216"/>
        </w:trPr>
        <w:tc>
          <w:tcPr>
            <w:tcW w:w="53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11,376</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11,939</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36,355</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32,597</w:t>
            </w:r>
          </w:p>
        </w:tc>
      </w:tr>
      <w:tr>
        <w:trPr>
          <w:trHeight w:val="210"/>
        </w:trPr>
        <w:tc>
          <w:tcPr>
            <w:tcW w:w="53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16,281</w:t>
            </w:r>
          </w:p>
        </w:tc>
        <w:tc>
          <w:tcPr>
            <w:tcW w:w="1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54,958</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90,751</w:t>
            </w:r>
          </w:p>
        </w:tc>
        <w:tc>
          <w:tcPr>
            <w:tcW w:w="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141,991</w:t>
            </w:r>
          </w:p>
        </w:tc>
      </w:tr>
      <w:tr>
        <w:trPr>
          <w:trHeight w:val="209"/>
        </w:trPr>
        <w:tc>
          <w:tcPr>
            <w:tcW w:w="53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(90,751)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17,196</w:t>
            </w:r>
          </w:p>
        </w:tc>
      </w:tr>
      <w:tr>
        <w:trPr>
          <w:trHeight w:val="216"/>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 and other, net</w:t>
            </w: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4,382</w:t>
            </w:r>
          </w:p>
        </w:tc>
        <w:tc>
          <w:tcPr>
            <w:tcW w:w="1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5,560</w:t>
            </w:r>
          </w:p>
        </w:tc>
        <w:tc>
          <w:tcPr>
            <w:tcW w:w="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162</w:t>
            </w:r>
          </w:p>
        </w:tc>
      </w:tr>
      <w:tr>
        <w:trPr>
          <w:trHeight w:val="210"/>
        </w:trPr>
        <w:tc>
          <w:tcPr>
            <w:tcW w:w="53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(11,899)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(22,094)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(85,191)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17,358</w:t>
            </w:r>
          </w:p>
        </w:tc>
      </w:tr>
      <w:tr>
        <w:trPr>
          <w:trHeight w:val="216"/>
        </w:trPr>
        <w:tc>
          <w:tcPr>
            <w:tcW w:w="53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3,833</w:t>
            </w:r>
          </w:p>
        </w:tc>
        <w:tc>
          <w:tcPr>
            <w:tcW w:w="1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(6,100)</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3,713</w:t>
            </w:r>
          </w:p>
        </w:tc>
        <w:tc>
          <w:tcPr>
            <w:tcW w:w="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(13,300)</w:t>
            </w:r>
          </w:p>
        </w:tc>
      </w:tr>
      <w:tr>
        <w:trPr>
          <w:trHeight w:val="209"/>
        </w:trPr>
        <w:tc>
          <w:tcPr>
            <w:tcW w:w="53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(8,066)</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(28,194)</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(81,478)</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4,058</w:t>
            </w:r>
          </w:p>
        </w:tc>
      </w:tr>
      <w:tr>
        <w:trPr>
          <w:trHeight w:val="210"/>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Arial" w:cs="Arial" w:eastAsia="Arial" w:hAnsi="Arial"/>
                <w:sz w:val="18"/>
                <w:szCs w:val="18"/>
                <w:color w:val="auto"/>
              </w:rPr>
              <w:t>Unrealized gains (losses) on available-for-sale investments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(855)</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53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(8,921)</w:t>
            </w:r>
          </w:p>
        </w:tc>
        <w:tc>
          <w:tcPr>
            <w:tcW w:w="1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(28,194)</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(82,333)</w:t>
            </w:r>
          </w:p>
        </w:tc>
        <w:tc>
          <w:tcPr>
            <w:tcW w:w="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4,058</w:t>
            </w:r>
          </w:p>
        </w:tc>
      </w:tr>
      <w:tr>
        <w:trPr>
          <w:trHeight w:val="164"/>
        </w:trPr>
        <w:tc>
          <w:tcPr>
            <w:tcW w:w="5320" w:type="dxa"/>
            <w:vAlign w:val="bottom"/>
          </w:tcPr>
          <w:p>
            <w:pPr>
              <w:ind w:left="20"/>
              <w:spacing w:after="0" w:line="164" w:lineRule="exact"/>
              <w:rPr>
                <w:sz w:val="20"/>
                <w:szCs w:val="20"/>
                <w:color w:val="auto"/>
              </w:rPr>
            </w:pPr>
            <w:r>
              <w:rPr>
                <w:rFonts w:ascii="Arial" w:cs="Arial" w:eastAsia="Arial" w:hAnsi="Arial"/>
                <w:sz w:val="18"/>
                <w:szCs w:val="18"/>
                <w:color w:val="auto"/>
              </w:rPr>
              <w:t>Net income (loss) per share attributable to common</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5"/>
        </w:trPr>
        <w:tc>
          <w:tcPr>
            <w:tcW w:w="532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0.05</w:t>
            </w:r>
          </w:p>
        </w:tc>
      </w:tr>
      <w:tr>
        <w:trPr>
          <w:trHeight w:val="216"/>
        </w:trPr>
        <w:tc>
          <w:tcPr>
            <w:tcW w:w="53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(0.10)</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(0.34)</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(0.98)</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0.05</w:t>
            </w:r>
          </w:p>
        </w:tc>
      </w:tr>
      <w:tr>
        <w:trPr>
          <w:trHeight w:val="216"/>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83,258,537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82,815,636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83,231,146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82,727,268</w:t>
            </w:r>
          </w:p>
        </w:tc>
      </w:tr>
      <w:tr>
        <w:trPr>
          <w:trHeight w:val="237"/>
        </w:trPr>
        <w:tc>
          <w:tcPr>
            <w:tcW w:w="532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83,258,537</w:t>
            </w:r>
          </w:p>
        </w:tc>
        <w:tc>
          <w:tcPr>
            <w:tcW w:w="16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82,815,636</w:t>
            </w:r>
          </w:p>
        </w:tc>
        <w:tc>
          <w:tcPr>
            <w:tcW w:w="1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83,231,146</w:t>
            </w:r>
          </w:p>
        </w:tc>
        <w:tc>
          <w:tcPr>
            <w:tcW w:w="1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88,462,074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-2116455</wp:posOffset>
            </wp:positionV>
            <wp:extent cx="8572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-1833880</wp:posOffset>
            </wp:positionV>
            <wp:extent cx="8572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-1550670</wp:posOffset>
            </wp:positionV>
            <wp:extent cx="8572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-976630</wp:posOffset>
            </wp:positionV>
            <wp:extent cx="85725"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26543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7" w:name="page8"/>
    <w:bookmarkEnd w:id="7"/>
    <w:p>
      <w:pPr>
        <w:spacing w:after="0"/>
        <w:rPr>
          <w:sz w:val="20"/>
          <w:szCs w:val="20"/>
          <w:color w:val="auto"/>
        </w:rPr>
      </w:pPr>
      <w:r>
        <w:rPr>
          <w:rFonts w:ascii="Arial" w:cs="Arial" w:eastAsia="Arial" w:hAnsi="Arial"/>
          <w:sz w:val="32"/>
          <w:szCs w:val="32"/>
          <w:b w:val="1"/>
          <w:bCs w:val="1"/>
          <w:color w:val="auto"/>
        </w:rPr>
        <w:t>ATEA PHARMACEUTICALS, INC. and Subsidiary</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Consolidated Statements of Stockholders’ Equity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35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92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3"/>
                <w:szCs w:val="13"/>
                <w:color w:val="auto"/>
              </w:rPr>
            </w:pPr>
          </w:p>
        </w:tc>
        <w:tc>
          <w:tcPr>
            <w:tcW w:w="13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3"/>
                <w:szCs w:val="13"/>
                <w:color w:val="auto"/>
              </w:rPr>
            </w:pPr>
          </w:p>
        </w:tc>
        <w:tc>
          <w:tcPr>
            <w:tcW w:w="10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3"/>
                <w:szCs w:val="13"/>
                <w:color w:val="auto"/>
              </w:rPr>
            </w:pPr>
          </w:p>
        </w:tc>
        <w:tc>
          <w:tcPr>
            <w:tcW w:w="112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3"/>
                <w:szCs w:val="13"/>
                <w:color w:val="auto"/>
              </w:rPr>
            </w:pPr>
          </w:p>
        </w:tc>
        <w:tc>
          <w:tcPr>
            <w:tcW w:w="1120" w:type="dxa"/>
            <w:vAlign w:val="bottom"/>
          </w:tcPr>
          <w:p>
            <w:pPr>
              <w:jc w:val="right"/>
              <w:ind w:right="48"/>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right"/>
              <w:ind w:right="8"/>
              <w:spacing w:after="0" w:line="147" w:lineRule="exact"/>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2"/>
                <w:szCs w:val="12"/>
                <w:color w:val="auto"/>
              </w:rPr>
            </w:pPr>
          </w:p>
        </w:tc>
        <w:tc>
          <w:tcPr>
            <w:tcW w:w="86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92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2"/>
                <w:szCs w:val="12"/>
                <w:color w:val="auto"/>
              </w:rPr>
            </w:pPr>
          </w:p>
        </w:tc>
        <w:tc>
          <w:tcPr>
            <w:tcW w:w="134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Comprehensive</w:t>
            </w:r>
          </w:p>
        </w:tc>
        <w:tc>
          <w:tcPr>
            <w:tcW w:w="1360" w:type="dxa"/>
            <w:vAlign w:val="bottom"/>
            <w:gridSpan w:val="2"/>
          </w:tcPr>
          <w:p>
            <w:pPr>
              <w:jc w:val="right"/>
              <w:ind w:right="148"/>
              <w:spacing w:after="0" w:line="147"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1120" w:type="dxa"/>
            <w:vAlign w:val="bottom"/>
          </w:tcPr>
          <w:p>
            <w:pPr>
              <w:jc w:val="right"/>
              <w:ind w:right="48"/>
              <w:spacing w:after="0" w:line="147"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Loss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Deficit)</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580" w:type="dxa"/>
            <w:vAlign w:val="bottom"/>
            <w:gridSpan w:val="2"/>
            <w:vMerge w:val="restart"/>
            <w:shd w:val="clear" w:color="auto" w:fill="CFF0FC"/>
          </w:tcPr>
          <w:p>
            <w:pPr>
              <w:ind w:left="20"/>
              <w:spacing w:after="0"/>
              <w:rPr>
                <w:sz w:val="20"/>
                <w:szCs w:val="20"/>
                <w:color w:val="auto"/>
              </w:rPr>
            </w:pPr>
            <w:r>
              <w:rPr>
                <w:rFonts w:ascii="Arial" w:cs="Arial" w:eastAsia="Arial" w:hAnsi="Arial"/>
                <w:sz w:val="14"/>
                <w:szCs w:val="14"/>
                <w:color w:val="auto"/>
              </w:rPr>
              <w:t>Balance—December 31, 2021</w:t>
            </w:r>
          </w:p>
        </w:tc>
        <w:tc>
          <w:tcPr>
            <w:tcW w:w="900" w:type="dxa"/>
            <w:vAlign w:val="bottom"/>
            <w:shd w:val="clear" w:color="auto" w:fill="CFF0FC"/>
          </w:tcPr>
          <w:p>
            <w:pPr>
              <w:jc w:val="right"/>
              <w:ind w:right="8"/>
              <w:spacing w:after="0" w:line="147" w:lineRule="exact"/>
              <w:rPr>
                <w:sz w:val="20"/>
                <w:szCs w:val="20"/>
                <w:color w:val="auto"/>
              </w:rPr>
            </w:pPr>
            <w:r>
              <w:rPr>
                <w:rFonts w:ascii="Arial" w:cs="Arial" w:eastAsia="Arial" w:hAnsi="Arial"/>
                <w:sz w:val="14"/>
                <w:szCs w:val="14"/>
                <w:color w:val="auto"/>
              </w:rPr>
              <w:t>83,102,73</w:t>
            </w:r>
          </w:p>
        </w:tc>
        <w:tc>
          <w:tcPr>
            <w:tcW w:w="44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83</w:t>
            </w:r>
          </w:p>
        </w:tc>
        <w:tc>
          <w:tcPr>
            <w:tcW w:w="2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653,964</w:t>
            </w:r>
          </w:p>
        </w:tc>
        <w:tc>
          <w:tcPr>
            <w:tcW w:w="24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color w:val="auto"/>
              </w:rPr>
              <w:t>56,030</w:t>
            </w:r>
          </w:p>
        </w:tc>
        <w:tc>
          <w:tcPr>
            <w:tcW w:w="24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710,077</w:t>
            </w:r>
          </w:p>
        </w:tc>
        <w:tc>
          <w:tcPr>
            <w:tcW w:w="0" w:type="dxa"/>
            <w:vAlign w:val="bottom"/>
          </w:tcPr>
          <w:p>
            <w:pPr>
              <w:spacing w:after="0"/>
              <w:rPr>
                <w:sz w:val="1"/>
                <w:szCs w:val="1"/>
                <w:color w:val="auto"/>
              </w:rPr>
            </w:pPr>
          </w:p>
        </w:tc>
      </w:tr>
      <w:tr>
        <w:trPr>
          <w:trHeight w:val="171"/>
        </w:trPr>
        <w:tc>
          <w:tcPr>
            <w:tcW w:w="3580" w:type="dxa"/>
            <w:vAlign w:val="bottom"/>
            <w:gridSpan w:val="2"/>
            <w:vMerge w:val="continue"/>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w:t>
            </w:r>
          </w:p>
        </w:tc>
        <w:tc>
          <w:tcPr>
            <w:tcW w:w="44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340" w:type="dxa"/>
            <w:vAlign w:val="bottom"/>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80" w:type="dxa"/>
            <w:vAlign w:val="bottom"/>
            <w:gridSpan w:val="2"/>
          </w:tcPr>
          <w:p>
            <w:pPr>
              <w:ind w:left="200"/>
              <w:spacing w:after="0" w:line="153" w:lineRule="exact"/>
              <w:rPr>
                <w:sz w:val="20"/>
                <w:szCs w:val="20"/>
                <w:color w:val="auto"/>
              </w:rPr>
            </w:pPr>
            <w:r>
              <w:rPr>
                <w:rFonts w:ascii="Arial" w:cs="Arial" w:eastAsia="Arial" w:hAnsi="Arial"/>
                <w:sz w:val="14"/>
                <w:szCs w:val="14"/>
                <w:color w:val="auto"/>
              </w:rPr>
              <w:t>Issuance of common stock upon exercise of</w:t>
            </w:r>
          </w:p>
        </w:tc>
        <w:tc>
          <w:tcPr>
            <w:tcW w:w="900" w:type="dxa"/>
            <w:vAlign w:val="bottom"/>
          </w:tcPr>
          <w:p>
            <w:pPr>
              <w:jc w:val="right"/>
              <w:ind w:right="8"/>
              <w:spacing w:after="0" w:line="153" w:lineRule="exact"/>
              <w:rPr>
                <w:sz w:val="20"/>
                <w:szCs w:val="20"/>
                <w:color w:val="auto"/>
              </w:rPr>
            </w:pPr>
            <w:r>
              <w:rPr>
                <w:rFonts w:ascii="Arial" w:cs="Arial" w:eastAsia="Arial" w:hAnsi="Arial"/>
                <w:sz w:val="14"/>
                <w:szCs w:val="14"/>
                <w:color w:val="auto"/>
              </w:rPr>
              <w:t>154,861</w:t>
            </w:r>
          </w:p>
        </w:tc>
        <w:tc>
          <w:tcPr>
            <w:tcW w:w="440" w:type="dxa"/>
            <w:vAlign w:val="bottom"/>
          </w:tcPr>
          <w:p>
            <w:pPr>
              <w:spacing w:after="0"/>
              <w:rPr>
                <w:sz w:val="13"/>
                <w:szCs w:val="13"/>
                <w:color w:val="auto"/>
              </w:rPr>
            </w:pPr>
          </w:p>
        </w:tc>
        <w:tc>
          <w:tcPr>
            <w:tcW w:w="86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20" w:type="dxa"/>
            <w:vAlign w:val="bottom"/>
          </w:tcPr>
          <w:p>
            <w:pPr>
              <w:jc w:val="right"/>
              <w:ind w:right="88"/>
              <w:spacing w:after="0" w:line="153" w:lineRule="exact"/>
              <w:rPr>
                <w:sz w:val="20"/>
                <w:szCs w:val="20"/>
                <w:color w:val="auto"/>
              </w:rPr>
            </w:pPr>
            <w:r>
              <w:rPr>
                <w:rFonts w:ascii="Arial" w:cs="Arial" w:eastAsia="Arial" w:hAnsi="Arial"/>
                <w:sz w:val="14"/>
                <w:szCs w:val="14"/>
                <w:color w:val="auto"/>
              </w:rPr>
              <w:t>223</w:t>
            </w:r>
          </w:p>
        </w:tc>
        <w:tc>
          <w:tcPr>
            <w:tcW w:w="240" w:type="dxa"/>
            <w:vAlign w:val="bottom"/>
          </w:tcPr>
          <w:p>
            <w:pPr>
              <w:spacing w:after="0"/>
              <w:rPr>
                <w:sz w:val="13"/>
                <w:szCs w:val="13"/>
                <w:color w:val="auto"/>
              </w:rPr>
            </w:pPr>
          </w:p>
        </w:tc>
        <w:tc>
          <w:tcPr>
            <w:tcW w:w="134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6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71"/>
        </w:trPr>
        <w:tc>
          <w:tcPr>
            <w:tcW w:w="3580" w:type="dxa"/>
            <w:vAlign w:val="bottom"/>
            <w:gridSpan w:val="2"/>
          </w:tcPr>
          <w:p>
            <w:pPr>
              <w:ind w:left="320"/>
              <w:spacing w:after="0"/>
              <w:rPr>
                <w:sz w:val="20"/>
                <w:szCs w:val="20"/>
                <w:color w:val="auto"/>
              </w:rPr>
            </w:pPr>
            <w:r>
              <w:rPr>
                <w:rFonts w:ascii="Arial" w:cs="Arial" w:eastAsia="Arial" w:hAnsi="Arial"/>
                <w:sz w:val="14"/>
                <w:szCs w:val="14"/>
                <w:color w:val="auto"/>
              </w:rPr>
              <w:t>stock options</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11,661</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11,661</w:t>
            </w:r>
          </w:p>
        </w:tc>
        <w:tc>
          <w:tcPr>
            <w:tcW w:w="0" w:type="dxa"/>
            <w:vAlign w:val="bottom"/>
          </w:tcPr>
          <w:p>
            <w:pPr>
              <w:spacing w:after="0"/>
              <w:rPr>
                <w:sz w:val="1"/>
                <w:szCs w:val="1"/>
                <w:color w:val="auto"/>
              </w:rPr>
            </w:pPr>
          </w:p>
        </w:tc>
      </w:tr>
      <w:tr>
        <w:trPr>
          <w:trHeight w:val="176"/>
        </w:trPr>
        <w:tc>
          <w:tcPr>
            <w:tcW w:w="3580" w:type="dxa"/>
            <w:vAlign w:val="bottom"/>
            <w:gridSpan w:val="2"/>
          </w:tcPr>
          <w:p>
            <w:pPr>
              <w:ind w:left="200"/>
              <w:spacing w:after="0"/>
              <w:rPr>
                <w:sz w:val="20"/>
                <w:szCs w:val="20"/>
                <w:color w:val="auto"/>
              </w:rPr>
            </w:pPr>
            <w:r>
              <w:rPr>
                <w:rFonts w:ascii="Arial" w:cs="Arial" w:eastAsia="Arial" w:hAnsi="Arial"/>
                <w:sz w:val="14"/>
                <w:szCs w:val="14"/>
                <w:color w:val="auto"/>
              </w:rPr>
              <w:t>Net income (loss)</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(42,077 )</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(42,077 )</w:t>
            </w:r>
          </w:p>
        </w:tc>
        <w:tc>
          <w:tcPr>
            <w:tcW w:w="0" w:type="dxa"/>
            <w:vAlign w:val="bottom"/>
          </w:tcPr>
          <w:p>
            <w:pPr>
              <w:spacing w:after="0"/>
              <w:rPr>
                <w:sz w:val="1"/>
                <w:szCs w:val="1"/>
                <w:color w:val="auto"/>
              </w:rPr>
            </w:pPr>
          </w:p>
        </w:tc>
      </w:tr>
      <w:tr>
        <w:trPr>
          <w:trHeight w:val="146"/>
        </w:trPr>
        <w:tc>
          <w:tcPr>
            <w:tcW w:w="3580" w:type="dxa"/>
            <w:vAlign w:val="bottom"/>
            <w:gridSpan w:val="2"/>
            <w:vMerge w:val="restart"/>
            <w:shd w:val="clear" w:color="auto" w:fill="CFF0FC"/>
          </w:tcPr>
          <w:p>
            <w:pPr>
              <w:ind w:left="20"/>
              <w:spacing w:after="0"/>
              <w:rPr>
                <w:sz w:val="20"/>
                <w:szCs w:val="20"/>
                <w:color w:val="auto"/>
              </w:rPr>
            </w:pPr>
            <w:r>
              <w:rPr>
                <w:rFonts w:ascii="Arial" w:cs="Arial" w:eastAsia="Arial" w:hAnsi="Arial"/>
                <w:sz w:val="14"/>
                <w:szCs w:val="14"/>
                <w:color w:val="auto"/>
              </w:rPr>
              <w:t>Balance—March 31, 2022</w:t>
            </w:r>
          </w:p>
        </w:tc>
        <w:tc>
          <w:tcPr>
            <w:tcW w:w="900" w:type="dxa"/>
            <w:vAlign w:val="bottom"/>
            <w:shd w:val="clear" w:color="auto" w:fill="CFF0FC"/>
          </w:tcPr>
          <w:p>
            <w:pPr>
              <w:jc w:val="right"/>
              <w:ind w:right="8"/>
              <w:spacing w:after="0" w:line="147" w:lineRule="exact"/>
              <w:rPr>
                <w:sz w:val="20"/>
                <w:szCs w:val="20"/>
                <w:color w:val="auto"/>
              </w:rPr>
            </w:pPr>
            <w:r>
              <w:rPr>
                <w:rFonts w:ascii="Arial" w:cs="Arial" w:eastAsia="Arial" w:hAnsi="Arial"/>
                <w:sz w:val="14"/>
                <w:szCs w:val="14"/>
                <w:color w:val="auto"/>
              </w:rPr>
              <w:t>83,257,59</w:t>
            </w:r>
          </w:p>
        </w:tc>
        <w:tc>
          <w:tcPr>
            <w:tcW w:w="44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83</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665,848</w:t>
            </w:r>
          </w:p>
        </w:tc>
        <w:tc>
          <w:tcPr>
            <w:tcW w:w="240" w:type="dxa"/>
            <w:vAlign w:val="bottom"/>
            <w:shd w:val="clear" w:color="auto" w:fill="CFF0FC"/>
          </w:tcPr>
          <w:p>
            <w:pPr>
              <w:spacing w:after="0"/>
              <w:rPr>
                <w:sz w:val="12"/>
                <w:szCs w:val="12"/>
                <w:color w:val="auto"/>
              </w:rPr>
            </w:pPr>
          </w:p>
        </w:tc>
        <w:tc>
          <w:tcPr>
            <w:tcW w:w="1340" w:type="dxa"/>
            <w:vAlign w:val="bottom"/>
            <w:vMerge w:val="restart"/>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color w:val="auto"/>
              </w:rPr>
              <w:t>13,953</w:t>
            </w:r>
          </w:p>
        </w:tc>
        <w:tc>
          <w:tcPr>
            <w:tcW w:w="24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679,884</w:t>
            </w:r>
          </w:p>
        </w:tc>
        <w:tc>
          <w:tcPr>
            <w:tcW w:w="0" w:type="dxa"/>
            <w:vAlign w:val="bottom"/>
          </w:tcPr>
          <w:p>
            <w:pPr>
              <w:spacing w:after="0"/>
              <w:rPr>
                <w:sz w:val="1"/>
                <w:szCs w:val="1"/>
                <w:color w:val="auto"/>
              </w:rPr>
            </w:pPr>
          </w:p>
        </w:tc>
      </w:tr>
      <w:tr>
        <w:trPr>
          <w:trHeight w:val="171"/>
        </w:trPr>
        <w:tc>
          <w:tcPr>
            <w:tcW w:w="3580" w:type="dxa"/>
            <w:vAlign w:val="bottom"/>
            <w:gridSpan w:val="2"/>
            <w:vMerge w:val="continue"/>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w:t>
            </w:r>
          </w:p>
        </w:tc>
        <w:tc>
          <w:tcPr>
            <w:tcW w:w="44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80" w:type="dxa"/>
            <w:vAlign w:val="bottom"/>
            <w:gridSpan w:val="2"/>
          </w:tcPr>
          <w:p>
            <w:pPr>
              <w:ind w:left="200"/>
              <w:spacing w:after="0" w:line="153" w:lineRule="exact"/>
              <w:rPr>
                <w:sz w:val="20"/>
                <w:szCs w:val="20"/>
                <w:color w:val="auto"/>
              </w:rPr>
            </w:pPr>
            <w:r>
              <w:rPr>
                <w:rFonts w:ascii="Arial" w:cs="Arial" w:eastAsia="Arial" w:hAnsi="Arial"/>
                <w:sz w:val="14"/>
                <w:szCs w:val="14"/>
                <w:color w:val="auto"/>
              </w:rPr>
              <w:t>Issuance of common stock upon exercise of</w:t>
            </w:r>
          </w:p>
        </w:tc>
        <w:tc>
          <w:tcPr>
            <w:tcW w:w="900" w:type="dxa"/>
            <w:vAlign w:val="bottom"/>
          </w:tcPr>
          <w:p>
            <w:pPr>
              <w:jc w:val="right"/>
              <w:ind w:right="8"/>
              <w:spacing w:after="0" w:line="153"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86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20" w:type="dxa"/>
            <w:vAlign w:val="bottom"/>
          </w:tcPr>
          <w:p>
            <w:pPr>
              <w:jc w:val="right"/>
              <w:ind w:right="88"/>
              <w:spacing w:after="0" w:line="15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34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6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580" w:type="dxa"/>
            <w:vAlign w:val="bottom"/>
            <w:gridSpan w:val="2"/>
          </w:tcPr>
          <w:p>
            <w:pPr>
              <w:ind w:left="320"/>
              <w:spacing w:after="0"/>
              <w:rPr>
                <w:sz w:val="20"/>
                <w:szCs w:val="20"/>
                <w:color w:val="auto"/>
              </w:rPr>
            </w:pPr>
            <w:r>
              <w:rPr>
                <w:rFonts w:ascii="Arial" w:cs="Arial" w:eastAsia="Arial" w:hAnsi="Arial"/>
                <w:sz w:val="14"/>
                <w:szCs w:val="14"/>
                <w:color w:val="auto"/>
              </w:rPr>
              <w:t>stock options</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11,908</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11,908</w:t>
            </w:r>
          </w:p>
        </w:tc>
        <w:tc>
          <w:tcPr>
            <w:tcW w:w="0" w:type="dxa"/>
            <w:vAlign w:val="bottom"/>
          </w:tcPr>
          <w:p>
            <w:pPr>
              <w:spacing w:after="0"/>
              <w:rPr>
                <w:sz w:val="1"/>
                <w:szCs w:val="1"/>
                <w:color w:val="auto"/>
              </w:rPr>
            </w:pPr>
          </w:p>
        </w:tc>
      </w:tr>
      <w:tr>
        <w:trPr>
          <w:trHeight w:val="176"/>
        </w:trPr>
        <w:tc>
          <w:tcPr>
            <w:tcW w:w="3580" w:type="dxa"/>
            <w:vAlign w:val="bottom"/>
            <w:gridSpan w:val="2"/>
          </w:tcPr>
          <w:p>
            <w:pPr>
              <w:ind w:left="200"/>
              <w:spacing w:after="0"/>
              <w:rPr>
                <w:sz w:val="20"/>
                <w:szCs w:val="20"/>
                <w:color w:val="auto"/>
              </w:rPr>
            </w:pPr>
            <w:r>
              <w:rPr>
                <w:rFonts w:ascii="Arial" w:cs="Arial" w:eastAsia="Arial" w:hAnsi="Arial"/>
                <w:sz w:val="14"/>
                <w:szCs w:val="14"/>
                <w:color w:val="auto"/>
              </w:rPr>
              <w:t>Net income (loss)</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(31,335 )</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(31,335 )</w:t>
            </w:r>
          </w:p>
        </w:tc>
        <w:tc>
          <w:tcPr>
            <w:tcW w:w="0" w:type="dxa"/>
            <w:vAlign w:val="bottom"/>
          </w:tcPr>
          <w:p>
            <w:pPr>
              <w:spacing w:after="0"/>
              <w:rPr>
                <w:sz w:val="1"/>
                <w:szCs w:val="1"/>
                <w:color w:val="auto"/>
              </w:rPr>
            </w:pPr>
          </w:p>
        </w:tc>
      </w:tr>
      <w:tr>
        <w:trPr>
          <w:trHeight w:val="146"/>
        </w:trPr>
        <w:tc>
          <w:tcPr>
            <w:tcW w:w="3580" w:type="dxa"/>
            <w:vAlign w:val="bottom"/>
            <w:gridSpan w:val="2"/>
            <w:vMerge w:val="restart"/>
            <w:shd w:val="clear" w:color="auto" w:fill="CFF0FC"/>
          </w:tcPr>
          <w:p>
            <w:pPr>
              <w:ind w:left="20"/>
              <w:spacing w:after="0"/>
              <w:rPr>
                <w:sz w:val="20"/>
                <w:szCs w:val="20"/>
                <w:color w:val="auto"/>
              </w:rPr>
            </w:pPr>
            <w:r>
              <w:rPr>
                <w:rFonts w:ascii="Arial" w:cs="Arial" w:eastAsia="Arial" w:hAnsi="Arial"/>
                <w:sz w:val="14"/>
                <w:szCs w:val="14"/>
                <w:color w:val="auto"/>
              </w:rPr>
              <w:t>Balance—June 30, 2022</w:t>
            </w:r>
          </w:p>
        </w:tc>
        <w:tc>
          <w:tcPr>
            <w:tcW w:w="900" w:type="dxa"/>
            <w:vAlign w:val="bottom"/>
            <w:shd w:val="clear" w:color="auto" w:fill="CFF0FC"/>
          </w:tcPr>
          <w:p>
            <w:pPr>
              <w:jc w:val="right"/>
              <w:ind w:right="8"/>
              <w:spacing w:after="0" w:line="147" w:lineRule="exact"/>
              <w:rPr>
                <w:sz w:val="20"/>
                <w:szCs w:val="20"/>
                <w:color w:val="auto"/>
              </w:rPr>
            </w:pPr>
            <w:r>
              <w:rPr>
                <w:rFonts w:ascii="Arial" w:cs="Arial" w:eastAsia="Arial" w:hAnsi="Arial"/>
                <w:sz w:val="14"/>
                <w:szCs w:val="14"/>
                <w:color w:val="auto"/>
              </w:rPr>
              <w:t>83,257,59</w:t>
            </w:r>
          </w:p>
        </w:tc>
        <w:tc>
          <w:tcPr>
            <w:tcW w:w="44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83</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677,756</w:t>
            </w:r>
          </w:p>
        </w:tc>
        <w:tc>
          <w:tcPr>
            <w:tcW w:w="240" w:type="dxa"/>
            <w:vAlign w:val="bottom"/>
            <w:shd w:val="clear" w:color="auto" w:fill="CFF0FC"/>
          </w:tcPr>
          <w:p>
            <w:pPr>
              <w:spacing w:after="0"/>
              <w:rPr>
                <w:sz w:val="12"/>
                <w:szCs w:val="12"/>
                <w:color w:val="auto"/>
              </w:rPr>
            </w:pPr>
          </w:p>
        </w:tc>
        <w:tc>
          <w:tcPr>
            <w:tcW w:w="1340" w:type="dxa"/>
            <w:vAlign w:val="bottom"/>
            <w:vMerge w:val="restart"/>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(17,382 )</w:t>
            </w:r>
          </w:p>
        </w:tc>
        <w:tc>
          <w:tcPr>
            <w:tcW w:w="24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660,457</w:t>
            </w:r>
          </w:p>
        </w:tc>
        <w:tc>
          <w:tcPr>
            <w:tcW w:w="0" w:type="dxa"/>
            <w:vAlign w:val="bottom"/>
          </w:tcPr>
          <w:p>
            <w:pPr>
              <w:spacing w:after="0"/>
              <w:rPr>
                <w:sz w:val="1"/>
                <w:szCs w:val="1"/>
                <w:color w:val="auto"/>
              </w:rPr>
            </w:pPr>
          </w:p>
        </w:tc>
      </w:tr>
      <w:tr>
        <w:trPr>
          <w:trHeight w:val="171"/>
        </w:trPr>
        <w:tc>
          <w:tcPr>
            <w:tcW w:w="3580" w:type="dxa"/>
            <w:vAlign w:val="bottom"/>
            <w:gridSpan w:val="2"/>
            <w:vMerge w:val="continue"/>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w:t>
            </w:r>
          </w:p>
        </w:tc>
        <w:tc>
          <w:tcPr>
            <w:tcW w:w="44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80" w:type="dxa"/>
            <w:vAlign w:val="bottom"/>
            <w:gridSpan w:val="2"/>
          </w:tcPr>
          <w:p>
            <w:pPr>
              <w:ind w:left="200"/>
              <w:spacing w:after="0" w:line="153" w:lineRule="exact"/>
              <w:rPr>
                <w:sz w:val="20"/>
                <w:szCs w:val="20"/>
                <w:color w:val="auto"/>
              </w:rPr>
            </w:pPr>
            <w:r>
              <w:rPr>
                <w:rFonts w:ascii="Arial" w:cs="Arial" w:eastAsia="Arial" w:hAnsi="Arial"/>
                <w:sz w:val="14"/>
                <w:szCs w:val="14"/>
                <w:color w:val="auto"/>
              </w:rPr>
              <w:t>Issuance of common stock upon exercise of</w:t>
            </w:r>
          </w:p>
        </w:tc>
        <w:tc>
          <w:tcPr>
            <w:tcW w:w="900" w:type="dxa"/>
            <w:vAlign w:val="bottom"/>
          </w:tcPr>
          <w:p>
            <w:pPr>
              <w:jc w:val="right"/>
              <w:ind w:right="8"/>
              <w:spacing w:after="0" w:line="153" w:lineRule="exact"/>
              <w:rPr>
                <w:sz w:val="20"/>
                <w:szCs w:val="20"/>
                <w:color w:val="auto"/>
              </w:rPr>
            </w:pPr>
            <w:r>
              <w:rPr>
                <w:rFonts w:ascii="Arial" w:cs="Arial" w:eastAsia="Arial" w:hAnsi="Arial"/>
                <w:sz w:val="14"/>
                <w:szCs w:val="14"/>
                <w:color w:val="auto"/>
              </w:rPr>
              <w:t>1,012</w:t>
            </w:r>
          </w:p>
        </w:tc>
        <w:tc>
          <w:tcPr>
            <w:tcW w:w="440" w:type="dxa"/>
            <w:vAlign w:val="bottom"/>
          </w:tcPr>
          <w:p>
            <w:pPr>
              <w:spacing w:after="0"/>
              <w:rPr>
                <w:sz w:val="13"/>
                <w:szCs w:val="13"/>
                <w:color w:val="auto"/>
              </w:rPr>
            </w:pPr>
          </w:p>
        </w:tc>
        <w:tc>
          <w:tcPr>
            <w:tcW w:w="86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920" w:type="dxa"/>
            <w:vAlign w:val="bottom"/>
          </w:tcPr>
          <w:p>
            <w:pPr>
              <w:jc w:val="right"/>
              <w:ind w:right="88"/>
              <w:spacing w:after="0" w:line="153"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3"/>
                <w:szCs w:val="13"/>
                <w:color w:val="auto"/>
              </w:rPr>
            </w:pPr>
          </w:p>
        </w:tc>
        <w:tc>
          <w:tcPr>
            <w:tcW w:w="134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6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1"/>
        </w:trPr>
        <w:tc>
          <w:tcPr>
            <w:tcW w:w="3580" w:type="dxa"/>
            <w:vAlign w:val="bottom"/>
            <w:gridSpan w:val="2"/>
          </w:tcPr>
          <w:p>
            <w:pPr>
              <w:ind w:left="320"/>
              <w:spacing w:after="0"/>
              <w:rPr>
                <w:sz w:val="20"/>
                <w:szCs w:val="20"/>
                <w:color w:val="auto"/>
              </w:rPr>
            </w:pPr>
            <w:r>
              <w:rPr>
                <w:rFonts w:ascii="Arial" w:cs="Arial" w:eastAsia="Arial" w:hAnsi="Arial"/>
                <w:sz w:val="14"/>
                <w:szCs w:val="14"/>
                <w:color w:val="auto"/>
              </w:rPr>
              <w:t>stock options</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Issuance of common stock under ESPP</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29,036</w:t>
            </w:r>
          </w:p>
        </w:tc>
        <w:tc>
          <w:tcPr>
            <w:tcW w:w="4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140</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76"/>
        </w:trPr>
        <w:tc>
          <w:tcPr>
            <w:tcW w:w="3580" w:type="dxa"/>
            <w:vAlign w:val="bottom"/>
            <w:gridSpan w:val="2"/>
          </w:tcPr>
          <w:p>
            <w:pPr>
              <w:ind w:left="200"/>
              <w:spacing w:after="0"/>
              <w:rPr>
                <w:sz w:val="20"/>
                <w:szCs w:val="20"/>
                <w:color w:val="auto"/>
              </w:rPr>
            </w:pPr>
            <w:r>
              <w:rPr>
                <w:rFonts w:ascii="Arial" w:cs="Arial" w:eastAsia="Arial" w:hAnsi="Arial"/>
                <w:sz w:val="14"/>
                <w:szCs w:val="14"/>
                <w:color w:val="auto"/>
              </w:rPr>
              <w:t>Stock-based compensation expense</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11,504</w:t>
            </w:r>
          </w:p>
        </w:tc>
        <w:tc>
          <w:tcPr>
            <w:tcW w:w="240" w:type="dxa"/>
            <w:vAlign w:val="bottom"/>
          </w:tcPr>
          <w:p>
            <w:pPr>
              <w:spacing w:after="0"/>
              <w:rPr>
                <w:sz w:val="15"/>
                <w:szCs w:val="15"/>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11,504</w:t>
            </w:r>
          </w:p>
        </w:tc>
        <w:tc>
          <w:tcPr>
            <w:tcW w:w="0" w:type="dxa"/>
            <w:vAlign w:val="bottom"/>
          </w:tcPr>
          <w:p>
            <w:pPr>
              <w:spacing w:after="0"/>
              <w:rPr>
                <w:sz w:val="1"/>
                <w:szCs w:val="1"/>
                <w:color w:val="auto"/>
              </w:rPr>
            </w:pPr>
          </w:p>
        </w:tc>
      </w:tr>
      <w:tr>
        <w:trPr>
          <w:trHeight w:val="175"/>
        </w:trPr>
        <w:tc>
          <w:tcPr>
            <w:tcW w:w="35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Other comprehensive loss</w:t>
            </w: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(855 )</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(855 )</w:t>
            </w:r>
          </w:p>
        </w:tc>
        <w:tc>
          <w:tcPr>
            <w:tcW w:w="0" w:type="dxa"/>
            <w:vAlign w:val="bottom"/>
          </w:tcPr>
          <w:p>
            <w:pPr>
              <w:spacing w:after="0"/>
              <w:rPr>
                <w:sz w:val="1"/>
                <w:szCs w:val="1"/>
                <w:color w:val="auto"/>
              </w:rPr>
            </w:pPr>
          </w:p>
        </w:tc>
      </w:tr>
      <w:tr>
        <w:trPr>
          <w:trHeight w:val="176"/>
        </w:trPr>
        <w:tc>
          <w:tcPr>
            <w:tcW w:w="3580" w:type="dxa"/>
            <w:vAlign w:val="bottom"/>
            <w:gridSpan w:val="2"/>
          </w:tcPr>
          <w:p>
            <w:pPr>
              <w:ind w:left="200"/>
              <w:spacing w:after="0"/>
              <w:rPr>
                <w:sz w:val="20"/>
                <w:szCs w:val="20"/>
                <w:color w:val="auto"/>
              </w:rPr>
            </w:pPr>
            <w:r>
              <w:rPr>
                <w:rFonts w:ascii="Arial" w:cs="Arial" w:eastAsia="Arial" w:hAnsi="Arial"/>
                <w:sz w:val="14"/>
                <w:szCs w:val="14"/>
                <w:color w:val="auto"/>
              </w:rPr>
              <w:t>Net income (loss)</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(8,066 )</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(8,066 )</w:t>
            </w:r>
          </w:p>
        </w:tc>
        <w:tc>
          <w:tcPr>
            <w:tcW w:w="0" w:type="dxa"/>
            <w:vAlign w:val="bottom"/>
          </w:tcPr>
          <w:p>
            <w:pPr>
              <w:spacing w:after="0"/>
              <w:rPr>
                <w:sz w:val="1"/>
                <w:szCs w:val="1"/>
                <w:color w:val="auto"/>
              </w:rPr>
            </w:pPr>
          </w:p>
        </w:tc>
      </w:tr>
      <w:tr>
        <w:trPr>
          <w:trHeight w:val="146"/>
        </w:trPr>
        <w:tc>
          <w:tcPr>
            <w:tcW w:w="3580" w:type="dxa"/>
            <w:vAlign w:val="bottom"/>
            <w:gridSpan w:val="2"/>
            <w:vMerge w:val="restart"/>
            <w:shd w:val="clear" w:color="auto" w:fill="CFF0FC"/>
          </w:tcPr>
          <w:p>
            <w:pPr>
              <w:ind w:left="20"/>
              <w:spacing w:after="0"/>
              <w:rPr>
                <w:sz w:val="20"/>
                <w:szCs w:val="20"/>
                <w:color w:val="auto"/>
              </w:rPr>
            </w:pPr>
            <w:r>
              <w:rPr>
                <w:rFonts w:ascii="Arial" w:cs="Arial" w:eastAsia="Arial" w:hAnsi="Arial"/>
                <w:sz w:val="14"/>
                <w:szCs w:val="14"/>
                <w:color w:val="auto"/>
              </w:rPr>
              <w:t>Balance—September 30, 2022</w:t>
            </w:r>
          </w:p>
        </w:tc>
        <w:tc>
          <w:tcPr>
            <w:tcW w:w="900" w:type="dxa"/>
            <w:vAlign w:val="bottom"/>
            <w:shd w:val="clear" w:color="auto" w:fill="CFF0FC"/>
          </w:tcPr>
          <w:p>
            <w:pPr>
              <w:jc w:val="right"/>
              <w:ind w:right="8"/>
              <w:spacing w:after="0" w:line="147" w:lineRule="exact"/>
              <w:rPr>
                <w:sz w:val="20"/>
                <w:szCs w:val="20"/>
                <w:color w:val="auto"/>
              </w:rPr>
            </w:pPr>
            <w:r>
              <w:rPr>
                <w:rFonts w:ascii="Arial" w:cs="Arial" w:eastAsia="Arial" w:hAnsi="Arial"/>
                <w:sz w:val="14"/>
                <w:szCs w:val="14"/>
                <w:color w:val="auto"/>
              </w:rPr>
              <w:t>83,287,63</w:t>
            </w:r>
          </w:p>
        </w:tc>
        <w:tc>
          <w:tcPr>
            <w:tcW w:w="44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83</w:t>
            </w:r>
          </w:p>
        </w:tc>
        <w:tc>
          <w:tcPr>
            <w:tcW w:w="2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689,407</w:t>
            </w:r>
          </w:p>
        </w:tc>
        <w:tc>
          <w:tcPr>
            <w:tcW w:w="24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(855 )</w:t>
            </w:r>
          </w:p>
        </w:tc>
        <w:tc>
          <w:tcPr>
            <w:tcW w:w="30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(25,448 )</w:t>
            </w:r>
          </w:p>
        </w:tc>
        <w:tc>
          <w:tcPr>
            <w:tcW w:w="24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663,187</w:t>
            </w:r>
          </w:p>
        </w:tc>
        <w:tc>
          <w:tcPr>
            <w:tcW w:w="0" w:type="dxa"/>
            <w:vAlign w:val="bottom"/>
          </w:tcPr>
          <w:p>
            <w:pPr>
              <w:spacing w:after="0"/>
              <w:rPr>
                <w:sz w:val="1"/>
                <w:szCs w:val="1"/>
                <w:color w:val="auto"/>
              </w:rPr>
            </w:pPr>
          </w:p>
        </w:tc>
      </w:tr>
      <w:tr>
        <w:trPr>
          <w:trHeight w:val="171"/>
        </w:trPr>
        <w:tc>
          <w:tcPr>
            <w:tcW w:w="3580" w:type="dxa"/>
            <w:vAlign w:val="bottom"/>
            <w:gridSpan w:val="2"/>
            <w:vMerge w:val="continue"/>
            <w:shd w:val="clear" w:color="auto" w:fill="CFF0FC"/>
          </w:tcPr>
          <w:p>
            <w:pPr>
              <w:spacing w:after="0"/>
              <w:rPr>
                <w:sz w:val="14"/>
                <w:szCs w:val="14"/>
                <w:color w:val="auto"/>
              </w:rPr>
            </w:pPr>
          </w:p>
        </w:tc>
        <w:tc>
          <w:tcPr>
            <w:tcW w:w="9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w:t>
            </w:r>
          </w:p>
        </w:tc>
        <w:tc>
          <w:tcPr>
            <w:tcW w:w="44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340" w:type="dxa"/>
            <w:vAlign w:val="bottom"/>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5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5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28"/>
              <w:spacing w:after="0" w:line="139" w:lineRule="exact"/>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1120" w:type="dxa"/>
            <w:vAlign w:val="bottom"/>
          </w:tcPr>
          <w:p>
            <w:pPr>
              <w:jc w:val="right"/>
              <w:ind w:right="4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1"/>
                <w:szCs w:val="11"/>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1"/>
                <w:szCs w:val="11"/>
                <w:color w:val="auto"/>
              </w:rPr>
            </w:pPr>
          </w:p>
        </w:tc>
        <w:tc>
          <w:tcPr>
            <w:tcW w:w="1340" w:type="dxa"/>
            <w:vAlign w:val="bottom"/>
          </w:tcPr>
          <w:p>
            <w:pPr>
              <w:jc w:val="right"/>
              <w:ind w:right="28"/>
              <w:spacing w:after="0" w:line="133" w:lineRule="exact"/>
              <w:rPr>
                <w:sz w:val="20"/>
                <w:szCs w:val="20"/>
                <w:color w:val="auto"/>
              </w:rPr>
            </w:pPr>
            <w:r>
              <w:rPr>
                <w:rFonts w:ascii="Arial" w:cs="Arial" w:eastAsia="Arial" w:hAnsi="Arial"/>
                <w:sz w:val="14"/>
                <w:szCs w:val="14"/>
                <w:b w:val="1"/>
                <w:bCs w:val="1"/>
                <w:color w:val="auto"/>
              </w:rPr>
              <w:t>Comprehensive</w:t>
            </w:r>
          </w:p>
        </w:tc>
        <w:tc>
          <w:tcPr>
            <w:tcW w:w="300" w:type="dxa"/>
            <w:vAlign w:val="bottom"/>
          </w:tcPr>
          <w:p>
            <w:pPr>
              <w:spacing w:after="0"/>
              <w:rPr>
                <w:sz w:val="11"/>
                <w:szCs w:val="11"/>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1"/>
                <w:szCs w:val="11"/>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5"/>
        </w:trPr>
        <w:tc>
          <w:tcPr>
            <w:tcW w:w="3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80" w:type="dxa"/>
            <w:vAlign w:val="bottom"/>
            <w:gridSpan w:val="2"/>
            <w:shd w:val="clear" w:color="auto" w:fill="CFF0FC"/>
          </w:tcPr>
          <w:p>
            <w:pPr>
              <w:ind w:left="20"/>
              <w:spacing w:after="0" w:line="133" w:lineRule="exact"/>
              <w:rPr>
                <w:sz w:val="20"/>
                <w:szCs w:val="20"/>
                <w:color w:val="auto"/>
              </w:rPr>
            </w:pPr>
            <w:r>
              <w:rPr>
                <w:rFonts w:ascii="Arial" w:cs="Arial" w:eastAsia="Arial" w:hAnsi="Arial"/>
                <w:sz w:val="14"/>
                <w:szCs w:val="14"/>
                <w:color w:val="auto"/>
              </w:rPr>
              <w:t>Balance—December 31, 2020</w:t>
            </w:r>
          </w:p>
        </w:tc>
        <w:tc>
          <w:tcPr>
            <w:tcW w:w="900" w:type="dxa"/>
            <w:vAlign w:val="bottom"/>
            <w:shd w:val="clear" w:color="auto" w:fill="CFF0FC"/>
          </w:tcPr>
          <w:p>
            <w:pPr>
              <w:jc w:val="right"/>
              <w:ind w:right="28"/>
              <w:spacing w:after="0" w:line="133" w:lineRule="exact"/>
              <w:rPr>
                <w:sz w:val="20"/>
                <w:szCs w:val="20"/>
                <w:color w:val="auto"/>
              </w:rPr>
            </w:pPr>
            <w:r>
              <w:rPr>
                <w:rFonts w:ascii="Arial" w:cs="Arial" w:eastAsia="Arial" w:hAnsi="Arial"/>
                <w:sz w:val="14"/>
                <w:szCs w:val="14"/>
                <w:color w:val="auto"/>
              </w:rPr>
              <w:t>82,436,93</w:t>
            </w:r>
          </w:p>
        </w:tc>
        <w:tc>
          <w:tcPr>
            <w:tcW w:w="440" w:type="dxa"/>
            <w:vAlign w:val="bottom"/>
            <w:shd w:val="clear" w:color="auto" w:fill="CFF0FC"/>
          </w:tcPr>
          <w:p>
            <w:pPr>
              <w:jc w:val="right"/>
              <w:ind w:right="128"/>
              <w:spacing w:after="0" w:line="133" w:lineRule="exact"/>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68"/>
              <w:spacing w:after="0" w:line="133" w:lineRule="exact"/>
              <w:rPr>
                <w:sz w:val="20"/>
                <w:szCs w:val="20"/>
                <w:color w:val="auto"/>
              </w:rPr>
            </w:pPr>
            <w:r>
              <w:rPr>
                <w:rFonts w:ascii="Arial" w:cs="Arial" w:eastAsia="Arial" w:hAnsi="Arial"/>
                <w:sz w:val="14"/>
                <w:szCs w:val="14"/>
                <w:color w:val="auto"/>
              </w:rPr>
              <w:t>82</w:t>
            </w: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line="133" w:lineRule="exact"/>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28"/>
              <w:spacing w:after="0" w:line="133" w:lineRule="exact"/>
              <w:rPr>
                <w:sz w:val="20"/>
                <w:szCs w:val="20"/>
                <w:color w:val="auto"/>
              </w:rPr>
            </w:pPr>
            <w:r>
              <w:rPr>
                <w:rFonts w:ascii="Arial" w:cs="Arial" w:eastAsia="Arial" w:hAnsi="Arial"/>
                <w:sz w:val="14"/>
                <w:szCs w:val="14"/>
                <w:color w:val="auto"/>
              </w:rPr>
              <w:t>612,879</w:t>
            </w:r>
          </w:p>
        </w:tc>
        <w:tc>
          <w:tcPr>
            <w:tcW w:w="240" w:type="dxa"/>
            <w:vAlign w:val="bottom"/>
            <w:shd w:val="clear" w:color="auto" w:fill="CFF0FC"/>
          </w:tcPr>
          <w:p>
            <w:pPr>
              <w:jc w:val="right"/>
              <w:spacing w:after="0" w:line="133" w:lineRule="exact"/>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line="133" w:lineRule="exact"/>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line="133"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33" w:lineRule="exact"/>
              <w:rPr>
                <w:sz w:val="20"/>
                <w:szCs w:val="20"/>
                <w:color w:val="auto"/>
              </w:rPr>
            </w:pPr>
            <w:r>
              <w:rPr>
                <w:rFonts w:ascii="Arial" w:cs="Arial" w:eastAsia="Arial" w:hAnsi="Arial"/>
                <w:sz w:val="14"/>
                <w:szCs w:val="14"/>
                <w:color w:val="auto"/>
              </w:rPr>
              <w:t>(65,160 )</w:t>
            </w:r>
          </w:p>
        </w:tc>
        <w:tc>
          <w:tcPr>
            <w:tcW w:w="240" w:type="dxa"/>
            <w:vAlign w:val="bottom"/>
            <w:shd w:val="clear" w:color="auto" w:fill="CFF0FC"/>
          </w:tcPr>
          <w:p>
            <w:pPr>
              <w:jc w:val="right"/>
              <w:spacing w:after="0" w:line="133" w:lineRule="exact"/>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line="133" w:lineRule="exact"/>
              <w:rPr>
                <w:sz w:val="20"/>
                <w:szCs w:val="20"/>
                <w:color w:val="auto"/>
              </w:rPr>
            </w:pPr>
            <w:r>
              <w:rPr>
                <w:rFonts w:ascii="Arial" w:cs="Arial" w:eastAsia="Arial" w:hAnsi="Arial"/>
                <w:sz w:val="14"/>
                <w:szCs w:val="14"/>
                <w:color w:val="auto"/>
              </w:rPr>
              <w:t>547,801</w:t>
            </w:r>
          </w:p>
        </w:tc>
        <w:tc>
          <w:tcPr>
            <w:tcW w:w="0" w:type="dxa"/>
            <w:vAlign w:val="bottom"/>
          </w:tcPr>
          <w:p>
            <w:pPr>
              <w:spacing w:after="0"/>
              <w:rPr>
                <w:sz w:val="1"/>
                <w:szCs w:val="1"/>
                <w:color w:val="auto"/>
              </w:rPr>
            </w:pPr>
          </w:p>
        </w:tc>
      </w:tr>
      <w:tr>
        <w:trPr>
          <w:trHeight w:val="185"/>
        </w:trPr>
        <w:tc>
          <w:tcPr>
            <w:tcW w:w="35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w:t>
            </w: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80" w:type="dxa"/>
            <w:vAlign w:val="bottom"/>
            <w:gridSpan w:val="2"/>
          </w:tcPr>
          <w:p>
            <w:pPr>
              <w:ind w:left="200"/>
              <w:spacing w:after="0" w:line="139" w:lineRule="exact"/>
              <w:rPr>
                <w:sz w:val="20"/>
                <w:szCs w:val="20"/>
                <w:color w:val="auto"/>
              </w:rPr>
            </w:pPr>
            <w:r>
              <w:rPr>
                <w:rFonts w:ascii="Arial" w:cs="Arial" w:eastAsia="Arial" w:hAnsi="Arial"/>
                <w:sz w:val="14"/>
                <w:szCs w:val="14"/>
                <w:color w:val="auto"/>
              </w:rPr>
              <w:t>Issuance of common stock upon exercise of</w:t>
            </w:r>
          </w:p>
        </w:tc>
        <w:tc>
          <w:tcPr>
            <w:tcW w:w="900" w:type="dxa"/>
            <w:vAlign w:val="bottom"/>
          </w:tcPr>
          <w:p>
            <w:pPr>
              <w:jc w:val="right"/>
              <w:ind w:right="28"/>
              <w:spacing w:after="0" w:line="139" w:lineRule="exact"/>
              <w:rPr>
                <w:sz w:val="20"/>
                <w:szCs w:val="20"/>
                <w:color w:val="auto"/>
              </w:rPr>
            </w:pPr>
            <w:r>
              <w:rPr>
                <w:rFonts w:ascii="Arial" w:cs="Arial" w:eastAsia="Arial" w:hAnsi="Arial"/>
                <w:sz w:val="14"/>
                <w:szCs w:val="14"/>
                <w:color w:val="auto"/>
              </w:rPr>
              <w:t>300,000</w:t>
            </w:r>
          </w:p>
        </w:tc>
        <w:tc>
          <w:tcPr>
            <w:tcW w:w="440" w:type="dxa"/>
            <w:vAlign w:val="bottom"/>
          </w:tcPr>
          <w:p>
            <w:pPr>
              <w:spacing w:after="0"/>
              <w:rPr>
                <w:sz w:val="12"/>
                <w:szCs w:val="12"/>
                <w:color w:val="auto"/>
              </w:rPr>
            </w:pPr>
          </w:p>
        </w:tc>
        <w:tc>
          <w:tcPr>
            <w:tcW w:w="840" w:type="dxa"/>
            <w:vAlign w:val="bottom"/>
          </w:tcPr>
          <w:p>
            <w:pPr>
              <w:jc w:val="right"/>
              <w:ind w:right="68"/>
              <w:spacing w:after="0" w:line="13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28"/>
              <w:spacing w:after="0" w:line="139" w:lineRule="exact"/>
              <w:rPr>
                <w:sz w:val="20"/>
                <w:szCs w:val="20"/>
                <w:color w:val="auto"/>
              </w:rPr>
            </w:pPr>
            <w:r>
              <w:rPr>
                <w:rFonts w:ascii="Arial" w:cs="Arial" w:eastAsia="Arial" w:hAnsi="Arial"/>
                <w:sz w:val="14"/>
                <w:szCs w:val="14"/>
                <w:color w:val="auto"/>
              </w:rPr>
              <w:t>470</w:t>
            </w:r>
          </w:p>
        </w:tc>
        <w:tc>
          <w:tcPr>
            <w:tcW w:w="240" w:type="dxa"/>
            <w:vAlign w:val="bottom"/>
          </w:tcPr>
          <w:p>
            <w:pPr>
              <w:spacing w:after="0"/>
              <w:rPr>
                <w:sz w:val="12"/>
                <w:szCs w:val="12"/>
                <w:color w:val="auto"/>
              </w:rPr>
            </w:pPr>
          </w:p>
        </w:tc>
        <w:tc>
          <w:tcPr>
            <w:tcW w:w="134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60" w:type="dxa"/>
            <w:vAlign w:val="bottom"/>
          </w:tcPr>
          <w:p>
            <w:pPr>
              <w:jc w:val="right"/>
              <w:ind w:right="48"/>
              <w:spacing w:after="0" w:line="13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20" w:type="dxa"/>
            <w:vAlign w:val="bottom"/>
          </w:tcPr>
          <w:p>
            <w:pPr>
              <w:jc w:val="right"/>
              <w:ind w:right="48"/>
              <w:spacing w:after="0" w:line="139" w:lineRule="exact"/>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85"/>
        </w:trPr>
        <w:tc>
          <w:tcPr>
            <w:tcW w:w="3580" w:type="dxa"/>
            <w:vAlign w:val="bottom"/>
            <w:gridSpan w:val="2"/>
          </w:tcPr>
          <w:p>
            <w:pPr>
              <w:ind w:left="320"/>
              <w:spacing w:after="0"/>
              <w:rPr>
                <w:sz w:val="20"/>
                <w:szCs w:val="20"/>
                <w:color w:val="auto"/>
              </w:rPr>
            </w:pPr>
            <w:r>
              <w:rPr>
                <w:rFonts w:ascii="Arial" w:cs="Arial" w:eastAsia="Arial" w:hAnsi="Arial"/>
                <w:sz w:val="14"/>
                <w:szCs w:val="14"/>
                <w:color w:val="auto"/>
              </w:rPr>
              <w:t>stock options</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7,273</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7,273</w:t>
            </w:r>
          </w:p>
        </w:tc>
        <w:tc>
          <w:tcPr>
            <w:tcW w:w="0" w:type="dxa"/>
            <w:vAlign w:val="bottom"/>
          </w:tcPr>
          <w:p>
            <w:pPr>
              <w:spacing w:after="0"/>
              <w:rPr>
                <w:sz w:val="1"/>
                <w:szCs w:val="1"/>
                <w:color w:val="auto"/>
              </w:rPr>
            </w:pPr>
          </w:p>
        </w:tc>
      </w:tr>
      <w:tr>
        <w:trPr>
          <w:trHeight w:val="175"/>
        </w:trPr>
        <w:tc>
          <w:tcPr>
            <w:tcW w:w="3580" w:type="dxa"/>
            <w:vAlign w:val="bottom"/>
            <w:gridSpan w:val="2"/>
          </w:tcPr>
          <w:p>
            <w:pPr>
              <w:ind w:left="200"/>
              <w:spacing w:after="0"/>
              <w:rPr>
                <w:sz w:val="20"/>
                <w:szCs w:val="20"/>
                <w:color w:val="auto"/>
              </w:rPr>
            </w:pPr>
            <w:r>
              <w:rPr>
                <w:rFonts w:ascii="Arial" w:cs="Arial" w:eastAsia="Arial" w:hAnsi="Arial"/>
                <w:sz w:val="14"/>
                <w:szCs w:val="14"/>
                <w:color w:val="auto"/>
              </w:rPr>
              <w:t>Net income (loss)</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30,713</w:t>
            </w:r>
          </w:p>
        </w:tc>
        <w:tc>
          <w:tcPr>
            <w:tcW w:w="2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30,713</w:t>
            </w:r>
          </w:p>
        </w:tc>
        <w:tc>
          <w:tcPr>
            <w:tcW w:w="0" w:type="dxa"/>
            <w:vAlign w:val="bottom"/>
          </w:tcPr>
          <w:p>
            <w:pPr>
              <w:spacing w:after="0"/>
              <w:rPr>
                <w:sz w:val="1"/>
                <w:szCs w:val="1"/>
                <w:color w:val="auto"/>
              </w:rPr>
            </w:pPr>
          </w:p>
        </w:tc>
      </w:tr>
      <w:tr>
        <w:trPr>
          <w:trHeight w:val="133"/>
        </w:trPr>
        <w:tc>
          <w:tcPr>
            <w:tcW w:w="354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color w:val="auto"/>
              </w:rPr>
              <w:t>Balance—March 31, 2021</w:t>
            </w:r>
          </w:p>
        </w:tc>
        <w:tc>
          <w:tcPr>
            <w:tcW w:w="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jc w:val="right"/>
              <w:ind w:right="28"/>
              <w:spacing w:after="0" w:line="133" w:lineRule="exact"/>
              <w:rPr>
                <w:sz w:val="20"/>
                <w:szCs w:val="20"/>
                <w:color w:val="auto"/>
              </w:rPr>
            </w:pPr>
            <w:r>
              <w:rPr>
                <w:rFonts w:ascii="Arial" w:cs="Arial" w:eastAsia="Arial" w:hAnsi="Arial"/>
                <w:sz w:val="14"/>
                <w:szCs w:val="14"/>
                <w:color w:val="auto"/>
              </w:rPr>
              <w:t>82,736,93</w:t>
            </w:r>
          </w:p>
        </w:tc>
        <w:tc>
          <w:tcPr>
            <w:tcW w:w="44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jc w:val="right"/>
              <w:ind w:right="68"/>
              <w:spacing w:after="0" w:line="133" w:lineRule="exact"/>
              <w:rPr>
                <w:sz w:val="20"/>
                <w:szCs w:val="20"/>
                <w:color w:val="auto"/>
              </w:rPr>
            </w:pPr>
            <w:r>
              <w:rPr>
                <w:rFonts w:ascii="Arial" w:cs="Arial" w:eastAsia="Arial" w:hAnsi="Arial"/>
                <w:sz w:val="14"/>
                <w:szCs w:val="14"/>
                <w:color w:val="auto"/>
              </w:rPr>
              <w:t>83</w:t>
            </w:r>
          </w:p>
        </w:tc>
        <w:tc>
          <w:tcPr>
            <w:tcW w:w="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jc w:val="right"/>
              <w:ind w:right="28"/>
              <w:spacing w:after="0" w:line="133" w:lineRule="exact"/>
              <w:rPr>
                <w:sz w:val="20"/>
                <w:szCs w:val="20"/>
                <w:color w:val="auto"/>
              </w:rPr>
            </w:pPr>
            <w:r>
              <w:rPr>
                <w:rFonts w:ascii="Arial" w:cs="Arial" w:eastAsia="Arial" w:hAnsi="Arial"/>
                <w:sz w:val="14"/>
                <w:szCs w:val="14"/>
                <w:color w:val="auto"/>
              </w:rPr>
              <w:t>620,622</w:t>
            </w:r>
          </w:p>
        </w:tc>
        <w:tc>
          <w:tcPr>
            <w:tcW w:w="240" w:type="dxa"/>
            <w:vAlign w:val="bottom"/>
            <w:tcBorders>
              <w:top w:val="single" w:sz="8" w:color="auto"/>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(34,447 )</w:t>
            </w:r>
          </w:p>
        </w:tc>
        <w:tc>
          <w:tcPr>
            <w:tcW w:w="240" w:type="dxa"/>
            <w:vAlign w:val="bottom"/>
            <w:tcBorders>
              <w:top w:val="single" w:sz="8" w:color="auto"/>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jc w:val="right"/>
              <w:ind w:right="48"/>
              <w:spacing w:after="0" w:line="133" w:lineRule="exact"/>
              <w:rPr>
                <w:sz w:val="20"/>
                <w:szCs w:val="20"/>
                <w:color w:val="auto"/>
              </w:rPr>
            </w:pPr>
            <w:r>
              <w:rPr>
                <w:rFonts w:ascii="Arial" w:cs="Arial" w:eastAsia="Arial" w:hAnsi="Arial"/>
                <w:sz w:val="14"/>
                <w:szCs w:val="14"/>
                <w:color w:val="auto"/>
              </w:rPr>
              <w:t>586,258</w:t>
            </w:r>
          </w:p>
        </w:tc>
        <w:tc>
          <w:tcPr>
            <w:tcW w:w="0" w:type="dxa"/>
            <w:vAlign w:val="bottom"/>
          </w:tcPr>
          <w:p>
            <w:pPr>
              <w:spacing w:after="0"/>
              <w:rPr>
                <w:sz w:val="1"/>
                <w:szCs w:val="1"/>
                <w:color w:val="auto"/>
              </w:rPr>
            </w:pPr>
          </w:p>
        </w:tc>
      </w:tr>
      <w:tr>
        <w:trPr>
          <w:trHeight w:val="185"/>
        </w:trPr>
        <w:tc>
          <w:tcPr>
            <w:tcW w:w="35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w:t>
            </w: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80" w:type="dxa"/>
            <w:vAlign w:val="bottom"/>
            <w:gridSpan w:val="2"/>
          </w:tcPr>
          <w:p>
            <w:pPr>
              <w:ind w:left="200"/>
              <w:spacing w:after="0" w:line="139" w:lineRule="exact"/>
              <w:rPr>
                <w:sz w:val="20"/>
                <w:szCs w:val="20"/>
                <w:color w:val="auto"/>
              </w:rPr>
            </w:pPr>
            <w:r>
              <w:rPr>
                <w:rFonts w:ascii="Arial" w:cs="Arial" w:eastAsia="Arial" w:hAnsi="Arial"/>
                <w:sz w:val="14"/>
                <w:szCs w:val="14"/>
                <w:color w:val="auto"/>
              </w:rPr>
              <w:t>Issuance of common stock upon exercise of</w:t>
            </w:r>
          </w:p>
        </w:tc>
        <w:tc>
          <w:tcPr>
            <w:tcW w:w="900" w:type="dxa"/>
            <w:vAlign w:val="bottom"/>
          </w:tcPr>
          <w:p>
            <w:pPr>
              <w:jc w:val="right"/>
              <w:ind w:right="28"/>
              <w:spacing w:after="0" w:line="139" w:lineRule="exact"/>
              <w:rPr>
                <w:sz w:val="20"/>
                <w:szCs w:val="20"/>
                <w:color w:val="auto"/>
              </w:rPr>
            </w:pPr>
            <w:r>
              <w:rPr>
                <w:rFonts w:ascii="Arial" w:cs="Arial" w:eastAsia="Arial" w:hAnsi="Arial"/>
                <w:sz w:val="14"/>
                <w:szCs w:val="14"/>
                <w:color w:val="auto"/>
              </w:rPr>
              <w:t>40,000</w:t>
            </w:r>
          </w:p>
        </w:tc>
        <w:tc>
          <w:tcPr>
            <w:tcW w:w="440" w:type="dxa"/>
            <w:vAlign w:val="bottom"/>
          </w:tcPr>
          <w:p>
            <w:pPr>
              <w:spacing w:after="0"/>
              <w:rPr>
                <w:sz w:val="12"/>
                <w:szCs w:val="12"/>
                <w:color w:val="auto"/>
              </w:rPr>
            </w:pPr>
          </w:p>
        </w:tc>
        <w:tc>
          <w:tcPr>
            <w:tcW w:w="860" w:type="dxa"/>
            <w:vAlign w:val="bottom"/>
            <w:gridSpan w:val="2"/>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Pr>
          <w:p>
            <w:pPr>
              <w:jc w:val="right"/>
              <w:ind w:right="28"/>
              <w:spacing w:after="0" w:line="139" w:lineRule="exact"/>
              <w:rPr>
                <w:sz w:val="20"/>
                <w:szCs w:val="20"/>
                <w:color w:val="auto"/>
              </w:rPr>
            </w:pPr>
            <w:r>
              <w:rPr>
                <w:rFonts w:ascii="Arial" w:cs="Arial" w:eastAsia="Arial" w:hAnsi="Arial"/>
                <w:sz w:val="14"/>
                <w:szCs w:val="14"/>
                <w:color w:val="auto"/>
              </w:rPr>
              <w:t>57</w:t>
            </w:r>
          </w:p>
        </w:tc>
        <w:tc>
          <w:tcPr>
            <w:tcW w:w="240" w:type="dxa"/>
            <w:vAlign w:val="bottom"/>
          </w:tcPr>
          <w:p>
            <w:pPr>
              <w:spacing w:after="0"/>
              <w:rPr>
                <w:sz w:val="12"/>
                <w:szCs w:val="12"/>
                <w:color w:val="auto"/>
              </w:rPr>
            </w:pPr>
          </w:p>
        </w:tc>
        <w:tc>
          <w:tcPr>
            <w:tcW w:w="134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60" w:type="dxa"/>
            <w:vAlign w:val="bottom"/>
          </w:tcPr>
          <w:p>
            <w:pPr>
              <w:jc w:val="right"/>
              <w:ind w:right="48"/>
              <w:spacing w:after="0" w:line="13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20" w:type="dxa"/>
            <w:vAlign w:val="bottom"/>
          </w:tcPr>
          <w:p>
            <w:pPr>
              <w:jc w:val="right"/>
              <w:ind w:right="48"/>
              <w:spacing w:after="0" w:line="13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5"/>
        </w:trPr>
        <w:tc>
          <w:tcPr>
            <w:tcW w:w="3580" w:type="dxa"/>
            <w:vAlign w:val="bottom"/>
            <w:gridSpan w:val="2"/>
          </w:tcPr>
          <w:p>
            <w:pPr>
              <w:ind w:left="320"/>
              <w:spacing w:after="0"/>
              <w:rPr>
                <w:sz w:val="20"/>
                <w:szCs w:val="20"/>
                <w:color w:val="auto"/>
              </w:rPr>
            </w:pPr>
            <w:r>
              <w:rPr>
                <w:rFonts w:ascii="Arial" w:cs="Arial" w:eastAsia="Arial" w:hAnsi="Arial"/>
                <w:sz w:val="14"/>
                <w:szCs w:val="14"/>
                <w:color w:val="auto"/>
              </w:rPr>
              <w:t>stock options</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10,007</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10,007</w:t>
            </w:r>
          </w:p>
        </w:tc>
        <w:tc>
          <w:tcPr>
            <w:tcW w:w="0" w:type="dxa"/>
            <w:vAlign w:val="bottom"/>
          </w:tcPr>
          <w:p>
            <w:pPr>
              <w:spacing w:after="0"/>
              <w:rPr>
                <w:sz w:val="1"/>
                <w:szCs w:val="1"/>
                <w:color w:val="auto"/>
              </w:rPr>
            </w:pPr>
          </w:p>
        </w:tc>
      </w:tr>
      <w:tr>
        <w:trPr>
          <w:trHeight w:val="175"/>
        </w:trPr>
        <w:tc>
          <w:tcPr>
            <w:tcW w:w="3580" w:type="dxa"/>
            <w:vAlign w:val="bottom"/>
            <w:gridSpan w:val="2"/>
          </w:tcPr>
          <w:p>
            <w:pPr>
              <w:ind w:left="200"/>
              <w:spacing w:after="0"/>
              <w:rPr>
                <w:sz w:val="20"/>
                <w:szCs w:val="20"/>
                <w:color w:val="auto"/>
              </w:rPr>
            </w:pPr>
            <w:r>
              <w:rPr>
                <w:rFonts w:ascii="Arial" w:cs="Arial" w:eastAsia="Arial" w:hAnsi="Arial"/>
                <w:sz w:val="14"/>
                <w:szCs w:val="14"/>
                <w:color w:val="auto"/>
              </w:rPr>
              <w:t>Net income (loss)</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1,539</w:t>
            </w:r>
          </w:p>
        </w:tc>
        <w:tc>
          <w:tcPr>
            <w:tcW w:w="2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1,539</w:t>
            </w:r>
          </w:p>
        </w:tc>
        <w:tc>
          <w:tcPr>
            <w:tcW w:w="0" w:type="dxa"/>
            <w:vAlign w:val="bottom"/>
          </w:tcPr>
          <w:p>
            <w:pPr>
              <w:spacing w:after="0"/>
              <w:rPr>
                <w:sz w:val="1"/>
                <w:szCs w:val="1"/>
                <w:color w:val="auto"/>
              </w:rPr>
            </w:pPr>
          </w:p>
        </w:tc>
      </w:tr>
      <w:tr>
        <w:trPr>
          <w:trHeight w:val="133"/>
        </w:trPr>
        <w:tc>
          <w:tcPr>
            <w:tcW w:w="354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color w:val="auto"/>
              </w:rPr>
              <w:t>Balance—June 30, 2021</w:t>
            </w:r>
          </w:p>
        </w:tc>
        <w:tc>
          <w:tcPr>
            <w:tcW w:w="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jc w:val="right"/>
              <w:ind w:right="28"/>
              <w:spacing w:after="0" w:line="133" w:lineRule="exact"/>
              <w:rPr>
                <w:sz w:val="20"/>
                <w:szCs w:val="20"/>
                <w:color w:val="auto"/>
              </w:rPr>
            </w:pPr>
            <w:r>
              <w:rPr>
                <w:rFonts w:ascii="Arial" w:cs="Arial" w:eastAsia="Arial" w:hAnsi="Arial"/>
                <w:sz w:val="14"/>
                <w:szCs w:val="14"/>
                <w:color w:val="auto"/>
              </w:rPr>
              <w:t>82,776,93</w:t>
            </w:r>
          </w:p>
        </w:tc>
        <w:tc>
          <w:tcPr>
            <w:tcW w:w="44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jc w:val="right"/>
              <w:ind w:right="68"/>
              <w:spacing w:after="0" w:line="133" w:lineRule="exact"/>
              <w:rPr>
                <w:sz w:val="20"/>
                <w:szCs w:val="20"/>
                <w:color w:val="auto"/>
              </w:rPr>
            </w:pPr>
            <w:r>
              <w:rPr>
                <w:rFonts w:ascii="Arial" w:cs="Arial" w:eastAsia="Arial" w:hAnsi="Arial"/>
                <w:sz w:val="14"/>
                <w:szCs w:val="14"/>
                <w:color w:val="auto"/>
              </w:rPr>
              <w:t>83</w:t>
            </w:r>
          </w:p>
        </w:tc>
        <w:tc>
          <w:tcPr>
            <w:tcW w:w="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jc w:val="right"/>
              <w:ind w:right="28"/>
              <w:spacing w:after="0" w:line="133" w:lineRule="exact"/>
              <w:rPr>
                <w:sz w:val="20"/>
                <w:szCs w:val="20"/>
                <w:color w:val="auto"/>
              </w:rPr>
            </w:pPr>
            <w:r>
              <w:rPr>
                <w:rFonts w:ascii="Arial" w:cs="Arial" w:eastAsia="Arial" w:hAnsi="Arial"/>
                <w:sz w:val="14"/>
                <w:szCs w:val="14"/>
                <w:color w:val="auto"/>
              </w:rPr>
              <w:t>630,686</w:t>
            </w:r>
          </w:p>
        </w:tc>
        <w:tc>
          <w:tcPr>
            <w:tcW w:w="240" w:type="dxa"/>
            <w:vAlign w:val="bottom"/>
            <w:tcBorders>
              <w:top w:val="single" w:sz="8" w:color="auto"/>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(32,908 )</w:t>
            </w:r>
          </w:p>
        </w:tc>
        <w:tc>
          <w:tcPr>
            <w:tcW w:w="240" w:type="dxa"/>
            <w:vAlign w:val="bottom"/>
            <w:tcBorders>
              <w:top w:val="single" w:sz="8" w:color="auto"/>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jc w:val="right"/>
              <w:ind w:right="48"/>
              <w:spacing w:after="0" w:line="133" w:lineRule="exact"/>
              <w:rPr>
                <w:sz w:val="20"/>
                <w:szCs w:val="20"/>
                <w:color w:val="auto"/>
              </w:rPr>
            </w:pPr>
            <w:r>
              <w:rPr>
                <w:rFonts w:ascii="Arial" w:cs="Arial" w:eastAsia="Arial" w:hAnsi="Arial"/>
                <w:sz w:val="14"/>
                <w:szCs w:val="14"/>
                <w:color w:val="auto"/>
              </w:rPr>
              <w:t>597,861</w:t>
            </w:r>
          </w:p>
        </w:tc>
        <w:tc>
          <w:tcPr>
            <w:tcW w:w="0" w:type="dxa"/>
            <w:vAlign w:val="bottom"/>
          </w:tcPr>
          <w:p>
            <w:pPr>
              <w:spacing w:after="0"/>
              <w:rPr>
                <w:sz w:val="1"/>
                <w:szCs w:val="1"/>
                <w:color w:val="auto"/>
              </w:rPr>
            </w:pPr>
          </w:p>
        </w:tc>
      </w:tr>
      <w:tr>
        <w:trPr>
          <w:trHeight w:val="185"/>
        </w:trPr>
        <w:tc>
          <w:tcPr>
            <w:tcW w:w="35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w:t>
            </w: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80" w:type="dxa"/>
            <w:vAlign w:val="bottom"/>
            <w:gridSpan w:val="2"/>
          </w:tcPr>
          <w:p>
            <w:pPr>
              <w:ind w:left="200"/>
              <w:spacing w:after="0" w:line="139" w:lineRule="exact"/>
              <w:rPr>
                <w:sz w:val="20"/>
                <w:szCs w:val="20"/>
                <w:color w:val="auto"/>
              </w:rPr>
            </w:pPr>
            <w:r>
              <w:rPr>
                <w:rFonts w:ascii="Arial" w:cs="Arial" w:eastAsia="Arial" w:hAnsi="Arial"/>
                <w:sz w:val="14"/>
                <w:szCs w:val="14"/>
                <w:color w:val="auto"/>
              </w:rPr>
              <w:t>Issuance of common stock upon exercise of</w:t>
            </w:r>
          </w:p>
        </w:tc>
        <w:tc>
          <w:tcPr>
            <w:tcW w:w="900" w:type="dxa"/>
            <w:vAlign w:val="bottom"/>
          </w:tcPr>
          <w:p>
            <w:pPr>
              <w:jc w:val="right"/>
              <w:ind w:right="28"/>
              <w:spacing w:after="0" w:line="139" w:lineRule="exact"/>
              <w:rPr>
                <w:sz w:val="20"/>
                <w:szCs w:val="20"/>
                <w:color w:val="auto"/>
              </w:rPr>
            </w:pPr>
            <w:r>
              <w:rPr>
                <w:rFonts w:ascii="Arial" w:cs="Arial" w:eastAsia="Arial" w:hAnsi="Arial"/>
                <w:sz w:val="14"/>
                <w:szCs w:val="14"/>
                <w:color w:val="auto"/>
              </w:rPr>
              <w:t>270,142</w:t>
            </w:r>
          </w:p>
        </w:tc>
        <w:tc>
          <w:tcPr>
            <w:tcW w:w="440" w:type="dxa"/>
            <w:vAlign w:val="bottom"/>
          </w:tcPr>
          <w:p>
            <w:pPr>
              <w:spacing w:after="0"/>
              <w:rPr>
                <w:sz w:val="12"/>
                <w:szCs w:val="12"/>
                <w:color w:val="auto"/>
              </w:rPr>
            </w:pPr>
          </w:p>
        </w:tc>
        <w:tc>
          <w:tcPr>
            <w:tcW w:w="860" w:type="dxa"/>
            <w:vAlign w:val="bottom"/>
            <w:gridSpan w:val="2"/>
          </w:tcPr>
          <w:p>
            <w:pPr>
              <w:jc w:val="right"/>
              <w:ind w:right="160"/>
              <w:spacing w:after="0" w:line="13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Pr>
          <w:p>
            <w:pPr>
              <w:jc w:val="right"/>
              <w:ind w:right="28"/>
              <w:spacing w:after="0" w:line="139" w:lineRule="exact"/>
              <w:rPr>
                <w:sz w:val="20"/>
                <w:szCs w:val="20"/>
                <w:color w:val="auto"/>
              </w:rPr>
            </w:pPr>
            <w:r>
              <w:rPr>
                <w:rFonts w:ascii="Arial" w:cs="Arial" w:eastAsia="Arial" w:hAnsi="Arial"/>
                <w:sz w:val="14"/>
                <w:szCs w:val="14"/>
                <w:color w:val="auto"/>
              </w:rPr>
              <w:t>795</w:t>
            </w:r>
          </w:p>
        </w:tc>
        <w:tc>
          <w:tcPr>
            <w:tcW w:w="240" w:type="dxa"/>
            <w:vAlign w:val="bottom"/>
          </w:tcPr>
          <w:p>
            <w:pPr>
              <w:spacing w:after="0"/>
              <w:rPr>
                <w:sz w:val="12"/>
                <w:szCs w:val="12"/>
                <w:color w:val="auto"/>
              </w:rPr>
            </w:pPr>
          </w:p>
        </w:tc>
        <w:tc>
          <w:tcPr>
            <w:tcW w:w="134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60" w:type="dxa"/>
            <w:vAlign w:val="bottom"/>
          </w:tcPr>
          <w:p>
            <w:pPr>
              <w:jc w:val="right"/>
              <w:ind w:right="48"/>
              <w:spacing w:after="0" w:line="13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20" w:type="dxa"/>
            <w:vAlign w:val="bottom"/>
          </w:tcPr>
          <w:p>
            <w:pPr>
              <w:jc w:val="right"/>
              <w:ind w:right="48"/>
              <w:spacing w:after="0" w:line="139" w:lineRule="exact"/>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185"/>
        </w:trPr>
        <w:tc>
          <w:tcPr>
            <w:tcW w:w="3580" w:type="dxa"/>
            <w:vAlign w:val="bottom"/>
            <w:gridSpan w:val="2"/>
          </w:tcPr>
          <w:p>
            <w:pPr>
              <w:ind w:left="320"/>
              <w:spacing w:after="0"/>
              <w:rPr>
                <w:sz w:val="20"/>
                <w:szCs w:val="20"/>
                <w:color w:val="auto"/>
              </w:rPr>
            </w:pPr>
            <w:r>
              <w:rPr>
                <w:rFonts w:ascii="Arial" w:cs="Arial" w:eastAsia="Arial" w:hAnsi="Arial"/>
                <w:sz w:val="14"/>
                <w:szCs w:val="14"/>
                <w:color w:val="auto"/>
              </w:rPr>
              <w:t>stock options</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10,990</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10,990</w:t>
            </w:r>
          </w:p>
        </w:tc>
        <w:tc>
          <w:tcPr>
            <w:tcW w:w="0" w:type="dxa"/>
            <w:vAlign w:val="bottom"/>
          </w:tcPr>
          <w:p>
            <w:pPr>
              <w:spacing w:after="0"/>
              <w:rPr>
                <w:sz w:val="1"/>
                <w:szCs w:val="1"/>
                <w:color w:val="auto"/>
              </w:rPr>
            </w:pPr>
          </w:p>
        </w:tc>
      </w:tr>
      <w:tr>
        <w:trPr>
          <w:trHeight w:val="175"/>
        </w:trPr>
        <w:tc>
          <w:tcPr>
            <w:tcW w:w="3580" w:type="dxa"/>
            <w:vAlign w:val="bottom"/>
            <w:gridSpan w:val="2"/>
          </w:tcPr>
          <w:p>
            <w:pPr>
              <w:ind w:left="200"/>
              <w:spacing w:after="0"/>
              <w:rPr>
                <w:sz w:val="20"/>
                <w:szCs w:val="20"/>
                <w:color w:val="auto"/>
              </w:rPr>
            </w:pPr>
            <w:r>
              <w:rPr>
                <w:rFonts w:ascii="Arial" w:cs="Arial" w:eastAsia="Arial" w:hAnsi="Arial"/>
                <w:sz w:val="14"/>
                <w:szCs w:val="14"/>
                <w:color w:val="auto"/>
              </w:rPr>
              <w:t>Net income (loss)</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(28,194 )</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(28,194 )</w:t>
            </w:r>
          </w:p>
        </w:tc>
        <w:tc>
          <w:tcPr>
            <w:tcW w:w="0" w:type="dxa"/>
            <w:vAlign w:val="bottom"/>
          </w:tcPr>
          <w:p>
            <w:pPr>
              <w:spacing w:after="0"/>
              <w:rPr>
                <w:sz w:val="1"/>
                <w:szCs w:val="1"/>
                <w:color w:val="auto"/>
              </w:rPr>
            </w:pPr>
          </w:p>
        </w:tc>
      </w:tr>
      <w:tr>
        <w:trPr>
          <w:trHeight w:val="133"/>
        </w:trPr>
        <w:tc>
          <w:tcPr>
            <w:tcW w:w="354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color w:val="auto"/>
              </w:rPr>
              <w:t>Balance—September 30, 2021</w:t>
            </w:r>
          </w:p>
        </w:tc>
        <w:tc>
          <w:tcPr>
            <w:tcW w:w="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jc w:val="right"/>
              <w:ind w:right="28"/>
              <w:spacing w:after="0" w:line="133" w:lineRule="exact"/>
              <w:rPr>
                <w:sz w:val="20"/>
                <w:szCs w:val="20"/>
                <w:color w:val="auto"/>
              </w:rPr>
            </w:pPr>
            <w:r>
              <w:rPr>
                <w:rFonts w:ascii="Arial" w:cs="Arial" w:eastAsia="Arial" w:hAnsi="Arial"/>
                <w:sz w:val="14"/>
                <w:szCs w:val="14"/>
                <w:color w:val="auto"/>
              </w:rPr>
              <w:t>83,047,07</w:t>
            </w:r>
          </w:p>
        </w:tc>
        <w:tc>
          <w:tcPr>
            <w:tcW w:w="440" w:type="dxa"/>
            <w:vAlign w:val="bottom"/>
            <w:tcBorders>
              <w:top w:val="single" w:sz="8" w:color="auto"/>
            </w:tcBorders>
            <w:shd w:val="clear" w:color="auto" w:fill="CFF0FC"/>
          </w:tcPr>
          <w:p>
            <w:pPr>
              <w:jc w:val="right"/>
              <w:ind w:right="128"/>
              <w:spacing w:after="0" w:line="133"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ind w:right="68"/>
              <w:spacing w:after="0" w:line="133" w:lineRule="exact"/>
              <w:rPr>
                <w:sz w:val="20"/>
                <w:szCs w:val="20"/>
                <w:color w:val="auto"/>
              </w:rPr>
            </w:pPr>
            <w:r>
              <w:rPr>
                <w:rFonts w:ascii="Arial" w:cs="Arial" w:eastAsia="Arial" w:hAnsi="Arial"/>
                <w:sz w:val="14"/>
                <w:szCs w:val="14"/>
                <w:color w:val="auto"/>
              </w:rPr>
              <w:t>83</w:t>
            </w:r>
          </w:p>
        </w:tc>
        <w:tc>
          <w:tcPr>
            <w:tcW w:w="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FF0FC"/>
          </w:tcPr>
          <w:p>
            <w:pPr>
              <w:jc w:val="right"/>
              <w:ind w:right="28"/>
              <w:spacing w:after="0" w:line="133" w:lineRule="exact"/>
              <w:rPr>
                <w:sz w:val="20"/>
                <w:szCs w:val="20"/>
                <w:color w:val="auto"/>
              </w:rPr>
            </w:pPr>
            <w:r>
              <w:rPr>
                <w:rFonts w:ascii="Arial" w:cs="Arial" w:eastAsia="Arial" w:hAnsi="Arial"/>
                <w:sz w:val="14"/>
                <w:szCs w:val="14"/>
                <w:color w:val="auto"/>
              </w:rPr>
              <w:t>642,471</w:t>
            </w:r>
          </w:p>
        </w:tc>
        <w:tc>
          <w:tcPr>
            <w:tcW w:w="24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(61,102 )</w:t>
            </w:r>
          </w:p>
        </w:tc>
        <w:tc>
          <w:tcPr>
            <w:tcW w:w="240" w:type="dxa"/>
            <w:vAlign w:val="bottom"/>
            <w:tcBorders>
              <w:top w:val="single" w:sz="8" w:color="auto"/>
            </w:tcBorders>
            <w:shd w:val="clear" w:color="auto" w:fill="CFF0FC"/>
          </w:tcPr>
          <w:p>
            <w:pPr>
              <w:jc w:val="right"/>
              <w:spacing w:after="0" w:line="133"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FF0FC"/>
          </w:tcPr>
          <w:p>
            <w:pPr>
              <w:jc w:val="right"/>
              <w:ind w:right="48"/>
              <w:spacing w:after="0" w:line="133" w:lineRule="exact"/>
              <w:rPr>
                <w:sz w:val="20"/>
                <w:szCs w:val="20"/>
                <w:color w:val="auto"/>
              </w:rPr>
            </w:pPr>
            <w:r>
              <w:rPr>
                <w:rFonts w:ascii="Arial" w:cs="Arial" w:eastAsia="Arial" w:hAnsi="Arial"/>
                <w:sz w:val="14"/>
                <w:szCs w:val="14"/>
                <w:color w:val="auto"/>
              </w:rPr>
              <w:t>581,452</w:t>
            </w:r>
          </w:p>
        </w:tc>
        <w:tc>
          <w:tcPr>
            <w:tcW w:w="0" w:type="dxa"/>
            <w:vAlign w:val="bottom"/>
          </w:tcPr>
          <w:p>
            <w:pPr>
              <w:spacing w:after="0"/>
              <w:rPr>
                <w:sz w:val="1"/>
                <w:szCs w:val="1"/>
                <w:color w:val="auto"/>
              </w:rPr>
            </w:pPr>
          </w:p>
        </w:tc>
      </w:tr>
      <w:tr>
        <w:trPr>
          <w:trHeight w:val="185"/>
        </w:trPr>
        <w:tc>
          <w:tcPr>
            <w:tcW w:w="35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w:t>
            </w:r>
          </w:p>
        </w:tc>
        <w:tc>
          <w:tcPr>
            <w:tcW w:w="4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5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8" w:name="page9"/>
    <w:bookmarkEnd w:id="8"/>
    <w:p>
      <w:pPr>
        <w:ind w:right="3200"/>
        <w:spacing w:after="0" w:line="256" w:lineRule="auto"/>
        <w:rPr>
          <w:sz w:val="20"/>
          <w:szCs w:val="20"/>
          <w:color w:val="auto"/>
        </w:rPr>
      </w:pPr>
      <w:r>
        <w:rPr>
          <w:rFonts w:ascii="Arial" w:cs="Arial" w:eastAsia="Arial" w:hAnsi="Arial"/>
          <w:sz w:val="32"/>
          <w:szCs w:val="32"/>
          <w:b w:val="1"/>
          <w:bCs w:val="1"/>
          <w:color w:val="auto"/>
        </w:rPr>
        <w:t>ATEA PHARMACEUTICALS, INC. and Subsidiary Condensed Consolidated Statements of Cash Flows</w:t>
      </w:r>
    </w:p>
    <w:p>
      <w:pPr>
        <w:spacing w:after="0" w:line="235" w:lineRule="auto"/>
        <w:rPr>
          <w:sz w:val="20"/>
          <w:szCs w:val="20"/>
          <w:color w:val="auto"/>
        </w:rPr>
      </w:pPr>
      <w:r>
        <w:rPr>
          <w:rFonts w:ascii="Arial" w:cs="Arial" w:eastAsia="Arial" w:hAnsi="Arial"/>
          <w:sz w:val="18"/>
          <w:szCs w:val="18"/>
          <w:b w:val="1"/>
          <w:bCs w:val="1"/>
          <w:color w:val="auto"/>
        </w:rPr>
        <w:t>(in thousands)</w:t>
      </w:r>
    </w:p>
    <w:p>
      <w:pP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77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840" w:type="dxa"/>
            <w:vAlign w:val="bottom"/>
            <w:gridSpan w:val="2"/>
            <w:shd w:val="clear" w:color="auto" w:fill="000000"/>
          </w:tcPr>
          <w:p>
            <w:pPr>
              <w:spacing w:after="0"/>
              <w:rPr>
                <w:sz w:val="5"/>
                <w:szCs w:val="5"/>
                <w:color w:val="auto"/>
              </w:rPr>
            </w:pPr>
          </w:p>
        </w:tc>
      </w:tr>
      <w:tr>
        <w:trPr>
          <w:trHeight w:val="170"/>
        </w:trPr>
        <w:tc>
          <w:tcPr>
            <w:tcW w:w="7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40" w:type="dxa"/>
            <w:vAlign w:val="bottom"/>
            <w:gridSpan w:val="2"/>
          </w:tcPr>
          <w:p>
            <w:pPr>
              <w:jc w:val="right"/>
              <w:ind w:right="30"/>
              <w:spacing w:after="0" w:line="170" w:lineRule="exact"/>
              <w:rPr>
                <w:sz w:val="20"/>
                <w:szCs w:val="20"/>
                <w:color w:val="auto"/>
              </w:rPr>
            </w:pPr>
            <w:r>
              <w:rPr>
                <w:rFonts w:ascii="Arial" w:cs="Arial" w:eastAsia="Arial" w:hAnsi="Arial"/>
                <w:sz w:val="18"/>
                <w:szCs w:val="18"/>
                <w:b w:val="1"/>
                <w:bCs w:val="1"/>
                <w:color w:val="auto"/>
              </w:rPr>
              <w:t>Nine Months Ended</w:t>
            </w:r>
          </w:p>
        </w:tc>
      </w:tr>
      <w:tr>
        <w:trPr>
          <w:trHeight w:val="235"/>
        </w:trPr>
        <w:tc>
          <w:tcPr>
            <w:tcW w:w="77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77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(81,478)</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4,058</w:t>
            </w:r>
          </w:p>
        </w:tc>
      </w:tr>
      <w:tr>
        <w:trPr>
          <w:trHeight w:val="170"/>
        </w:trPr>
        <w:tc>
          <w:tcPr>
            <w:tcW w:w="7720" w:type="dxa"/>
            <w:vAlign w:val="bottom"/>
            <w:shd w:val="clear" w:color="auto" w:fill="CFF0FC"/>
          </w:tcPr>
          <w:p>
            <w:pPr>
              <w:ind w:left="20"/>
              <w:spacing w:after="0" w:line="170" w:lineRule="exact"/>
              <w:rPr>
                <w:sz w:val="20"/>
                <w:szCs w:val="20"/>
                <w:color w:val="auto"/>
              </w:rPr>
            </w:pPr>
            <w:r>
              <w:rPr>
                <w:rFonts w:ascii="Arial" w:cs="Arial" w:eastAsia="Arial" w:hAnsi="Arial"/>
                <w:sz w:val="18"/>
                <w:szCs w:val="18"/>
                <w:color w:val="auto"/>
              </w:rPr>
              <w:t>Adjustments to reconcile net income (loss) to net cash used in</w:t>
            </w:r>
          </w:p>
        </w:tc>
        <w:tc>
          <w:tcPr>
            <w:tcW w:w="4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235"/>
        </w:trPr>
        <w:tc>
          <w:tcPr>
            <w:tcW w:w="7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activities:</w:t>
            </w:r>
          </w:p>
        </w:tc>
        <w:tc>
          <w:tcPr>
            <w:tcW w:w="4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4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35,073</w:t>
            </w:r>
          </w:p>
        </w:tc>
        <w:tc>
          <w:tcPr>
            <w:tcW w:w="4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28,270</w:t>
            </w:r>
          </w:p>
        </w:tc>
      </w:tr>
      <w:tr>
        <w:trPr>
          <w:trHeight w:val="216"/>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Depreciation and amortization expense</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156</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Accretion of premium and discounts on marketable securities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(2,465)</w:t>
            </w:r>
          </w:p>
        </w:tc>
        <w:tc>
          <w:tcPr>
            <w:tcW w:w="4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(4,514)</w:t>
            </w:r>
          </w:p>
        </w:tc>
        <w:tc>
          <w:tcPr>
            <w:tcW w:w="4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(4,484)</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4,259</w:t>
            </w: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(3,416)</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27,945</w:t>
            </w: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(39,109)</w:t>
            </w:r>
          </w:p>
        </w:tc>
        <w:tc>
          <w:tcPr>
            <w:tcW w:w="4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33,278</w:t>
            </w:r>
          </w:p>
        </w:tc>
      </w:tr>
      <w:tr>
        <w:trPr>
          <w:trHeight w:val="216"/>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(109,187)</w:t>
            </w: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Operating lease liabilities</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800</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7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Net cash used in operating activities</w:t>
            </w: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(99,437)</w:t>
            </w: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(11,582)</w:t>
            </w: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Additions to property and equipment</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Purchases of marketable securities</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(486,955)</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7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(488,898)</w:t>
            </w: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Proceeds from issuance of common stock for exercise of stock options</w:t>
            </w:r>
          </w:p>
        </w:tc>
        <w:tc>
          <w:tcPr>
            <w:tcW w:w="4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230</w:t>
            </w:r>
          </w:p>
        </w:tc>
        <w:tc>
          <w:tcPr>
            <w:tcW w:w="4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1,323</w:t>
            </w:r>
          </w:p>
        </w:tc>
      </w:tr>
      <w:tr>
        <w:trPr>
          <w:trHeight w:val="216"/>
        </w:trPr>
        <w:tc>
          <w:tcPr>
            <w:tcW w:w="7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Proceeds from issuance of common stock under ESPP</w:t>
            </w: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140</w:t>
            </w: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7720" w:type="dxa"/>
            <w:vAlign w:val="bottom"/>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370</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1,323</w:t>
            </w: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(587,965)</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(10,259)</w:t>
            </w: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beginning of period</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764,680</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850,224</w:t>
            </w: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the end of period</w:t>
            </w: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176,715</w:t>
            </w:r>
          </w:p>
        </w:tc>
        <w:tc>
          <w:tcPr>
            <w:tcW w:w="4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839,965</w:t>
            </w: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end of period:</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176,410</w:t>
            </w: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839,660</w:t>
            </w: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305</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w:t>
            </w:r>
          </w:p>
        </w:tc>
      </w:tr>
      <w:tr>
        <w:trPr>
          <w:trHeight w:val="230"/>
        </w:trPr>
        <w:tc>
          <w:tcPr>
            <w:tcW w:w="7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cash, cash equivalents and restricted cash</w:t>
            </w: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176,715</w:t>
            </w:r>
          </w:p>
        </w:tc>
        <w:tc>
          <w:tcPr>
            <w:tcW w:w="4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839,965</w:t>
            </w:r>
          </w:p>
        </w:tc>
      </w:tr>
    </w:tbl>
    <w:p>
      <w:pPr>
        <w:spacing w:after="0" w:line="19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Supplemental cash flow information:</w:t>
      </w:r>
    </w:p>
    <w:tbl>
      <w:tblPr>
        <w:tblLayout w:type="fixed"/>
        <w:tblInd w:w="520" w:type="dxa"/>
        <w:tblCellMar>
          <w:top w:w="0" w:type="dxa"/>
          <w:left w:w="0" w:type="dxa"/>
          <w:bottom w:w="0" w:type="dxa"/>
          <w:right w:w="0" w:type="dxa"/>
        </w:tblCellMar>
      </w:tblPr>
      <w:tr>
        <w:trPr>
          <w:trHeight w:val="193"/>
        </w:trPr>
        <w:tc>
          <w:tcPr>
            <w:tcW w:w="5800" w:type="dxa"/>
            <w:vAlign w:val="bottom"/>
          </w:tcPr>
          <w:p>
            <w:pPr>
              <w:spacing w:after="0" w:line="194" w:lineRule="exact"/>
              <w:rPr>
                <w:sz w:val="20"/>
                <w:szCs w:val="20"/>
                <w:color w:val="auto"/>
              </w:rPr>
            </w:pPr>
            <w:r>
              <w:rPr>
                <w:rFonts w:ascii="Arial" w:cs="Arial" w:eastAsia="Arial" w:hAnsi="Arial"/>
                <w:sz w:val="18"/>
                <w:szCs w:val="18"/>
                <w:color w:val="auto"/>
              </w:rPr>
              <w:t>Right of use assets obtained in exchange for operating</w:t>
            </w:r>
          </w:p>
        </w:tc>
        <w:tc>
          <w:tcPr>
            <w:tcW w:w="202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2,938</w:t>
            </w:r>
          </w:p>
        </w:tc>
        <w:tc>
          <w:tcPr>
            <w:tcW w:w="880" w:type="dxa"/>
            <w:vAlign w:val="bottom"/>
            <w:vMerge w:val="restart"/>
          </w:tcPr>
          <w:p>
            <w:pPr>
              <w:jc w:val="right"/>
              <w:ind w:right="53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ind w:left="6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9"/>
        </w:trPr>
        <w:tc>
          <w:tcPr>
            <w:tcW w:w="5800" w:type="dxa"/>
            <w:vAlign w:val="bottom"/>
          </w:tcPr>
          <w:p>
            <w:pPr>
              <w:ind w:left="160"/>
              <w:spacing w:after="0"/>
              <w:rPr>
                <w:sz w:val="20"/>
                <w:szCs w:val="20"/>
                <w:color w:val="auto"/>
              </w:rPr>
            </w:pPr>
            <w:r>
              <w:rPr>
                <w:rFonts w:ascii="Arial" w:cs="Arial" w:eastAsia="Arial" w:hAnsi="Arial"/>
                <w:sz w:val="18"/>
                <w:szCs w:val="18"/>
                <w:color w:val="auto"/>
              </w:rPr>
              <w:t>lease liabilities</w:t>
            </w:r>
          </w:p>
        </w:tc>
        <w:tc>
          <w:tcPr>
            <w:tcW w:w="20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9" w:name="page10"/>
    <w:bookmarkEnd w:id="9"/>
    <w:p>
      <w:pPr>
        <w:spacing w:after="0"/>
        <w:rPr>
          <w:sz w:val="20"/>
          <w:szCs w:val="20"/>
          <w:color w:val="auto"/>
        </w:rPr>
      </w:pPr>
      <w:r>
        <w:rPr>
          <w:rFonts w:ascii="Arial" w:cs="Arial" w:eastAsia="Arial" w:hAnsi="Arial"/>
          <w:sz w:val="32"/>
          <w:szCs w:val="32"/>
          <w:b w:val="1"/>
          <w:bCs w:val="1"/>
          <w:color w:val="auto"/>
        </w:rPr>
        <w:t>ATEA PHARMACEUTICALS, INC. and Subsidiary</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Condensed Consolidated Financial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0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Atea Pharmaceuticals, Inc., together with its subsidiary, Atea Pharmaceuticals Securities Corporation, is referred to on a consolidated basis as “the Company”.</w:t>
      </w:r>
    </w:p>
    <w:p>
      <w:pPr>
        <w:spacing w:after="0" w:line="4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Company is a clinical-stage biopharmaceutical company focused on discovering, developing and commercializing antiviral therapeutics to improve the lives of patients suffering from severe viral infections.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2"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 Company is subject to risks and uncertainties common to clinical-stage biopharmaceutical companies. These risks include, but are not limited to, potential failure of preclinical and clinical studies, uncertainties associated with research and development activities generally, competition from technical innovations of others, dependence upon key personnel, compliance with governmental regulations, the need to obtain marketing approval for any product candidate that the Company may discover and develop, the need to gain broad acceptance among patients, payers and health care providers to successfully commercialize any product for which marketing approval is obtained and the need to secure and maintain adequate intellectual property protection for the Company’s proprietary technology and products. Further, the Company is currently dependent on third-party service providers for much of its preclinical research, clinical development and manufacturing activities. Product candidates currently under development will require significant amounts of additional capital, additional research and development efforts, including extensive preclinical and clinical testing and regulatory approval, prior to commercialization. Even if the Company is able to generate revenues from the sale of its product candidates, if approved, it may not become profitable or be able to sustain profitability. If the Company fails to become profitable or is unable to sustain profitability on a continuing basis, then it may be unable to continue its operations at planned levels and be forced to reduce its operations. The Company is also subject to risks associated with the COVID-19 global pandemic, including actual and potential delays associated with certain of its ongoing and anticipated trials, and potential negative impacts on the Company’s business operations and its ability to raise additional capital to finance its operations.</w:t>
      </w:r>
    </w:p>
    <w:p>
      <w:pPr>
        <w:spacing w:after="0" w:line="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may seek additional capital through one or more of a combination of financing through the sale of additional equity securities, debt financing, or funding in connection with any new collaborative relationships it may enter into or other arrangements. There can be no assurance that the Company will be able to obtain such additional funding, on terms acceptable to the Company, on a timely basis or at all. The terms of any financing may adversely affect the holdings or the rights of the Company’s existing stockholders. The Company believes</w:t>
      </w:r>
    </w:p>
    <w:p>
      <w:pPr>
        <w:ind w:right="40"/>
        <w:spacing w:after="0" w:line="260" w:lineRule="auto"/>
        <w:rPr>
          <w:sz w:val="20"/>
          <w:szCs w:val="20"/>
          <w:color w:val="auto"/>
        </w:rPr>
      </w:pPr>
      <w:r>
        <w:rPr>
          <w:rFonts w:ascii="Arial" w:cs="Arial" w:eastAsia="Arial" w:hAnsi="Arial"/>
          <w:sz w:val="18"/>
          <w:szCs w:val="18"/>
          <w:color w:val="auto"/>
        </w:rPr>
        <w:t>that its cash and cash equivalents and marketable securities of $664,975 as of September 30, 2022 will be sufficient to fund its operations as currently planned through at least twelve months from the issuance of this Quarterly Report on Form 10-Q.</w:t>
      </w:r>
    </w:p>
    <w:p>
      <w:pPr>
        <w:spacing w:after="0" w:line="5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November 2021, the Company entered into an open market sales agreement (the “Sales Agreement”) with Jeffries LLC (“Jeffries”), under which the Company may from time to time offer and sell shares of its common stock for an aggregate offering price of up to $200.0 million, through or to Jeffries, acting as sales agent or principal. The shares will be offered and sold under the Company’s shelf registration statement on Form S-3 and a related prospectus filed with the Securities and Exchange Commission (the “SEC”) on November 24, 2021, as amended. The Company has agreed to pay Jeffries a commission of up to 3.0% of the aggregate gross proceeds from each sale of shares, reimburse legal fees and disbursements and provide Jeffries with customary indemnification and contribution rights. As of September 30, 2022, no shares have been issued under the Sales Agreement.</w:t>
      </w:r>
    </w:p>
    <w:p>
      <w:pPr>
        <w:spacing w:after="0" w:line="81" w:lineRule="exact"/>
        <w:rPr>
          <w:sz w:val="20"/>
          <w:szCs w:val="20"/>
          <w:color w:val="auto"/>
        </w:rPr>
      </w:pPr>
    </w:p>
    <w:p>
      <w:pPr>
        <w:jc w:val="both"/>
        <w:ind w:right="420"/>
        <w:spacing w:after="0" w:line="247" w:lineRule="auto"/>
        <w:rPr>
          <w:sz w:val="20"/>
          <w:szCs w:val="20"/>
          <w:color w:val="auto"/>
        </w:rPr>
      </w:pPr>
      <w:r>
        <w:rPr>
          <w:rFonts w:ascii="Arial" w:cs="Arial" w:eastAsia="Arial" w:hAnsi="Arial"/>
          <w:sz w:val="18"/>
          <w:szCs w:val="18"/>
          <w:color w:val="auto"/>
        </w:rPr>
        <w:t>The COVID-19 pandemic, including the rapid emergence of new variants of COVID-19, and geopolitical events, including civil or political unrest (such as the ongoing war between Ukraine and Russia), have resulted in a significant disruption of global business and financial markets. In addition, recent or future market volatility, increased inflation and higher interest rates, if sustained, may increase our cost of financing and may restrict our access to potential sources of future liquidity.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SEC rules and regulations. Accordingly, these unaudited condensed consolidated financial statements should be read in conjunction with the Company’s audited consolidated financial statements and the notes thereto for the year ended December 31, 2021 included in the Company’s Annual Report on Form 10-K filed with the SEC on February 28,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accompanying condensed consolidated balance sheet as of September 30, 2022, the condensed consolidated statements of operations and comprehensive income (loss) for the three and nine months ended September 30, 2022 and 2021, the condensed consolidated statements of stockholders’ equity for the three and nine months ended September 30, 2022 and 2021, and the condensed consolidated statements of cash flows for the nine months ended September 30, 2022 and 2021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2022, the results of its operations for the three and nine months ended September 30, 2022 and 2021 and its cash flows for the nine months ended September 30, 2022 and 2021. The results for the nine months ended September 30, 2022 are not necessarily indicative of results to be expected for the year ending December 31, 2022, or any other interim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preparation of unaudited financial statements in conformity with GAAP requires management to make estimates and assumptions that affect the amounts reported in the consolidated financial statements and in these accompanying notes. The Company bases its estimates on historical experience, known trends and other market-specific or other relevant factors and assumptions that it believes to be reasonable under the circumstances. On an ongoing basis, management evaluates its estimates, which include but are not limited to estimates of accrued research and development expenses, valuation of marketable securities, valuation of stock-based awards, valuation of operating lease right-of-use assets and lease liabilities and income taxes. Changes in estimates are recorded in the period in which they become known.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unaudited condensed consolidated financial statements include the accounts of Atea Pharmaceuticals, Inc. and its wholly owned subsidiary, Atea Pharmaceuticals Securities Corporation. All intercompany amounts have been eliminated in consolidation.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0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There were no changes in the Company’s significant accounting policies as described in the Annual Report on Form 10-K for the year ended December 31, 2021 filed with the SEC on February 28, 2022, except for as noted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considers all highly-liquid investments with an original maturity, or a remaining maturity at the time of purchase, of three months or less to be cash equivalents. The Company’s cash equivalents include money market funds and commercial paper, which are highly liquid and have strong credit ratings. These investments are subject to minimal credit and market risks. Cash and cash equivalents are stated at cost, which approximates market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1" w:name="page12"/>
    <w:bookmarkEnd w:id="11"/>
    <w:p>
      <w:pPr>
        <w:ind w:right="40"/>
        <w:spacing w:after="0" w:line="248" w:lineRule="auto"/>
        <w:rPr>
          <w:sz w:val="20"/>
          <w:szCs w:val="20"/>
          <w:color w:val="auto"/>
        </w:rPr>
      </w:pPr>
      <w:r>
        <w:rPr>
          <w:rFonts w:ascii="Arial" w:cs="Arial" w:eastAsia="Arial" w:hAnsi="Arial"/>
          <w:sz w:val="18"/>
          <w:szCs w:val="18"/>
          <w:color w:val="auto"/>
        </w:rPr>
        <w:t>The Company’s investment strategy is focused on capital preservation. The Company invests in instruments that meet the credit quality standards outlined in the Company’s investment policy. Marketable securities consist of investments with maturities greater than three months. Marketable securities include U.S. treasury obligations, U.S. agency obligations, corporate debt, commercial paper and asset-backed securities. The Company classifies all of its marketable securities as available-for-sale. Accordingly, these investments are recorded at fair value. Unrealized gains and losses are recorded as a component of other comprehensive income within stockholders’ equity. Amortization and accretion of discounts and premiums are recorded as interest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Fair value is defined as the price that would be received upon sale of an asset or paid to transfer a liability between market participants at measurement dates.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establishes a three-level valuation hierarchy for instruments measured at fair value. The hierarchy is based on the transparency of inputs to the valuation of an asset or liability as of the measurement date. The three levels are defined as follows:</w:t>
      </w:r>
    </w:p>
    <w:p>
      <w:pPr>
        <w:spacing w:after="0" w:line="238" w:lineRule="auto"/>
        <w:rPr>
          <w:sz w:val="20"/>
          <w:szCs w:val="20"/>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ind w:right="380"/>
        <w:spacing w:after="0" w:line="242" w:lineRule="auto"/>
        <w:rPr>
          <w:sz w:val="20"/>
          <w:szCs w:val="20"/>
          <w:color w:val="auto"/>
        </w:rPr>
      </w:pPr>
      <w:r>
        <w:rPr>
          <w:rFonts w:ascii="Arial" w:cs="Arial" w:eastAsia="Arial" w:hAnsi="Arial"/>
          <w:sz w:val="18"/>
          <w:szCs w:val="18"/>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Off-balance Sheet Risk</w:t>
      </w:r>
    </w:p>
    <w:p>
      <w:pPr>
        <w:spacing w:after="0" w:line="10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Financial instruments that potentially subject the Company to concentrations of credit risk primarily consist of cash equivalents and marketable securities. Under its investment policy, the Company limits amounts invested in such securities by credit rating, maturity, industry group, investment type and issuer, except for securities issued by the U.S. government. The Company does not believe that it is subject to any significant concentrations of credit risk from these financial instruments. The Company has no financial instruments with off-balance sheet risk, such as foreign exchange contracts, option contracts, or other foreign hedging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Certain items in the prior year’s condensed consolidated financial statements have been reclassified to conform to the current presentation.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2" w:lineRule="exact"/>
        <w:rPr>
          <w:sz w:val="20"/>
          <w:szCs w:val="20"/>
          <w:color w:val="auto"/>
        </w:rPr>
      </w:pPr>
    </w:p>
    <w:p>
      <w:pPr>
        <w:jc w:val="both"/>
        <w:ind w:right="440"/>
        <w:spacing w:after="0" w:line="253" w:lineRule="auto"/>
        <w:rPr>
          <w:sz w:val="20"/>
          <w:szCs w:val="20"/>
          <w:color w:val="auto"/>
        </w:rPr>
      </w:pPr>
      <w:r>
        <w:rPr>
          <w:rFonts w:ascii="Arial" w:cs="Arial" w:eastAsia="Arial" w:hAnsi="Arial"/>
          <w:sz w:val="18"/>
          <w:szCs w:val="18"/>
          <w:color w:val="auto"/>
        </w:rPr>
        <w:t>From time to time, new accounting pronouncements are issued by the Financial Accounting Standard Board (“FASB”) or other standard setting bodies that the Company adopts as of the specified effective date. The Company does not believe that the adoption of recently issued standards have or may have a material impact on its consolidated financial statements and disclosures.</w:t>
      </w:r>
    </w:p>
    <w:p>
      <w:pPr>
        <w:spacing w:after="0" w:line="182" w:lineRule="exact"/>
        <w:rPr>
          <w:sz w:val="20"/>
          <w:szCs w:val="20"/>
          <w:color w:val="auto"/>
        </w:rPr>
      </w:pPr>
    </w:p>
    <w:p>
      <w:pPr>
        <w:ind w:right="9040" w:firstLine="8"/>
        <w:spacing w:after="0" w:line="396" w:lineRule="auto"/>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Collaboration Revenue </w:t>
      </w:r>
      <w:r>
        <w:rPr>
          <w:rFonts w:ascii="Arial" w:cs="Arial" w:eastAsia="Arial" w:hAnsi="Arial"/>
          <w:sz w:val="18"/>
          <w:szCs w:val="18"/>
          <w:i w:val="1"/>
          <w:iCs w:val="1"/>
          <w:color w:val="auto"/>
        </w:rPr>
        <w:t>Background</w:t>
      </w:r>
    </w:p>
    <w:p>
      <w:pPr>
        <w:spacing w:after="0" w:line="4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October 2020, the Company entered into a License Agreement (the “Roche License Agreement”) with F. Hoffmann-LaRoche Ltd. and Genentech, Inc. (together, “Roche”) under which the Company granted an exclusive license for certain development and commercialization rights related to bemnifosbuvir outside of the United States (other than for certain HCV uses) to Roche.</w:t>
      </w:r>
    </w:p>
    <w:p>
      <w:pPr>
        <w:spacing w:after="0" w:line="7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On November 12, 2021, Roche provided the Company with a notice of termination of the Roche License Agreement which became effective in February 2022. Upon termination, the rights and licenses granted by the Company to Roche under the Roche License Agreement were returned to the Company, resulting in the Company having all rights to continue the clinical development and future commercialization of bemnifosbuvir worldwide. Global development plan activities and related cost sharing between the parties continued through the effective date of the termination.</w:t>
      </w:r>
    </w:p>
    <w:p>
      <w:pPr>
        <w:spacing w:after="0" w:line="69"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color w:val="auto"/>
        </w:rPr>
        <w:t>The Company concluded that the notice of termination represented a contract modification for accounting purposes. The Company further concluded that upon receipt of the notice of termination, all of the Company's performance obligations had been completely satisfied. As a result, the Company recognized all remaining</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12" w:name="page13"/>
    <w:bookmarkEnd w:id="12"/>
    <w:p>
      <w:pPr>
        <w:ind w:right="260"/>
        <w:spacing w:after="0" w:line="287" w:lineRule="auto"/>
        <w:rPr>
          <w:sz w:val="20"/>
          <w:szCs w:val="20"/>
          <w:color w:val="auto"/>
        </w:rPr>
      </w:pPr>
      <w:r>
        <w:rPr>
          <w:rFonts w:ascii="Arial" w:cs="Arial" w:eastAsia="Arial" w:hAnsi="Arial"/>
          <w:sz w:val="18"/>
          <w:szCs w:val="18"/>
          <w:color w:val="auto"/>
        </w:rPr>
        <w:t>deferred revenue as collaboration revenue within the consolidated statements of operations and comprehensive income (loss) for the year ended December 31, 2021.</w:t>
      </w:r>
    </w:p>
    <w:p>
      <w:pPr>
        <w:spacing w:after="0" w:line="3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Prior to receipt of the termination notice, the Company classified all revenues recognized under the Roche License Agreement as collaboration revenue within the accompanying consolidated statements of operations and comprehensive income (loss). For the three and nine months ended September 30, 2021, the Company recognized collaboration revenue of $32,811 and $159,187, respectively, related to the Roche License Agreement.</w:t>
      </w:r>
    </w:p>
    <w:p>
      <w:pPr>
        <w:spacing w:after="0" w:line="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activities to complete the global development plan were accounted for under ASC 808. Expenses incurred and reimbursements made or received from Roche were accounted for pursuant to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As such, the Company was expensing costs as incurred, including any reimbursements made to Roche, and recognizing reimbursement received from Roche as a reduction of research and development expense through the effective date of the termination.</w:t>
      </w:r>
    </w:p>
    <w:p>
      <w:pPr>
        <w:spacing w:after="0" w:line="6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For the three and nine months ended September 30, 2022, costs reimbursable by Roche, which are reflected as a reduction to research and development expenses were $0 and $845, respectively. For the three and nine months ended September 30, 2021, costs reimbursable by Roche, which are reflected as a reduction to operating expenses, were $1,726 and $7,623 respectively. The Company recorded a credit to research and development expense of $14,572 and $4,994 during the three and nine months ended September 30, 2022, respectively, related to its share of costs incurred by Roche. The credit recorded during the three months ended September 30, 2022 represents a change in estimate as a result of close out activities and related reporting of amounts incurred by Roche associated with the global development plan. The Company recorded research and development expense of $25,257 and $62,986 during the three and nine months ended September 30, 2021, respectively, related to its share of costs incurred by Roche. Arising as a result of the credit recorded for the cost share agreement, as of September 30, 2022 the Company recorded accounts receivable of $4,514 related to a net refund due from Roche. As of December 31, 2021, the Company recorded accrued expenses of $10,417, related to amounts payable to Roche pursuant to the cost share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54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90"/>
              <w:spacing w:after="0" w:line="170" w:lineRule="exact"/>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5"/>
        </w:trPr>
        <w:tc>
          <w:tcPr>
            <w:tcW w:w="5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September 30, 2022</w:t>
            </w:r>
          </w:p>
        </w:tc>
        <w:tc>
          <w:tcPr>
            <w:tcW w:w="0" w:type="dxa"/>
            <w:vAlign w:val="bottom"/>
          </w:tcPr>
          <w:p>
            <w:pPr>
              <w:spacing w:after="0"/>
              <w:rPr>
                <w:sz w:val="1"/>
                <w:szCs w:val="1"/>
                <w:color w:val="auto"/>
              </w:rPr>
            </w:pPr>
          </w:p>
        </w:tc>
      </w:tr>
      <w:tr>
        <w:trPr>
          <w:trHeight w:val="164"/>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10"/>
              <w:spacing w:after="0" w:line="164" w:lineRule="exact"/>
              <w:rPr>
                <w:sz w:val="20"/>
                <w:szCs w:val="20"/>
                <w:color w:val="auto"/>
              </w:rPr>
            </w:pPr>
            <w:r>
              <w:rPr>
                <w:rFonts w:ascii="Arial" w:cs="Arial" w:eastAsia="Arial" w:hAnsi="Arial"/>
                <w:sz w:val="18"/>
                <w:szCs w:val="18"/>
                <w:b w:val="1"/>
                <w:bCs w:val="1"/>
                <w:color w:val="auto"/>
                <w:w w:val="99"/>
              </w:rPr>
              <w:t>Amortized</w:t>
            </w:r>
          </w:p>
        </w:tc>
        <w:tc>
          <w:tcPr>
            <w:tcW w:w="400" w:type="dxa"/>
            <w:vAlign w:val="bottom"/>
          </w:tcPr>
          <w:p>
            <w:pPr>
              <w:spacing w:after="0"/>
              <w:rPr>
                <w:sz w:val="14"/>
                <w:szCs w:val="14"/>
                <w:color w:val="auto"/>
              </w:rPr>
            </w:pPr>
          </w:p>
        </w:tc>
        <w:tc>
          <w:tcPr>
            <w:tcW w:w="1220" w:type="dxa"/>
            <w:vAlign w:val="bottom"/>
          </w:tcPr>
          <w:p>
            <w:pPr>
              <w:jc w:val="right"/>
              <w:ind w:right="90"/>
              <w:spacing w:after="0" w:line="164" w:lineRule="exact"/>
              <w:rPr>
                <w:sz w:val="20"/>
                <w:szCs w:val="20"/>
                <w:color w:val="auto"/>
              </w:rPr>
            </w:pPr>
            <w:r>
              <w:rPr>
                <w:rFonts w:ascii="Arial" w:cs="Arial" w:eastAsia="Arial" w:hAnsi="Arial"/>
                <w:sz w:val="18"/>
                <w:szCs w:val="18"/>
                <w:b w:val="1"/>
                <w:bCs w:val="1"/>
                <w:color w:val="auto"/>
              </w:rPr>
              <w:t>Unrealized</w:t>
            </w:r>
          </w:p>
        </w:tc>
        <w:tc>
          <w:tcPr>
            <w:tcW w:w="320" w:type="dxa"/>
            <w:vAlign w:val="bottom"/>
          </w:tcPr>
          <w:p>
            <w:pPr>
              <w:spacing w:after="0"/>
              <w:rPr>
                <w:sz w:val="14"/>
                <w:szCs w:val="14"/>
                <w:color w:val="auto"/>
              </w:rPr>
            </w:pPr>
          </w:p>
        </w:tc>
        <w:tc>
          <w:tcPr>
            <w:tcW w:w="1220" w:type="dxa"/>
            <w:vAlign w:val="bottom"/>
          </w:tcPr>
          <w:p>
            <w:pPr>
              <w:jc w:val="right"/>
              <w:ind w:right="130"/>
              <w:spacing w:after="0" w:line="164" w:lineRule="exact"/>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14"/>
                <w:szCs w:val="14"/>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5"/>
        </w:trPr>
        <w:tc>
          <w:tcPr>
            <w:tcW w:w="5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Cost</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Gain</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Losses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ind w:left="280"/>
              <w:spacing w:after="0"/>
              <w:rPr>
                <w:sz w:val="20"/>
                <w:szCs w:val="20"/>
                <w:color w:val="auto"/>
              </w:rPr>
            </w:pPr>
            <w:r>
              <w:rPr>
                <w:rFonts w:ascii="Arial" w:cs="Arial" w:eastAsia="Arial" w:hAnsi="Arial"/>
                <w:sz w:val="18"/>
                <w:szCs w:val="18"/>
                <w:color w:val="auto"/>
              </w:rPr>
              <w:t>U.S. Treasury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69,035</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68,734</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15,000</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14,881</w:t>
            </w:r>
          </w:p>
        </w:tc>
        <w:tc>
          <w:tcPr>
            <w:tcW w:w="0" w:type="dxa"/>
            <w:vAlign w:val="bottom"/>
          </w:tcPr>
          <w:p>
            <w:pPr>
              <w:spacing w:after="0"/>
              <w:rPr>
                <w:sz w:val="1"/>
                <w:szCs w:val="1"/>
                <w:color w:val="auto"/>
              </w:rPr>
            </w:pPr>
          </w:p>
        </w:tc>
      </w:tr>
      <w:tr>
        <w:trPr>
          <w:trHeight w:val="216"/>
        </w:trPr>
        <w:tc>
          <w:tcPr>
            <w:tcW w:w="5540" w:type="dxa"/>
            <w:vAlign w:val="bottom"/>
            <w:gridSpan w:val="2"/>
          </w:tcPr>
          <w:p>
            <w:pPr>
              <w:ind w:left="28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331,064</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331,064</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51,838</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51,491</w:t>
            </w:r>
          </w:p>
        </w:tc>
        <w:tc>
          <w:tcPr>
            <w:tcW w:w="0" w:type="dxa"/>
            <w:vAlign w:val="bottom"/>
          </w:tcPr>
          <w:p>
            <w:pPr>
              <w:spacing w:after="0"/>
              <w:rPr>
                <w:sz w:val="1"/>
                <w:szCs w:val="1"/>
                <w:color w:val="auto"/>
              </w:rPr>
            </w:pPr>
          </w:p>
        </w:tc>
      </w:tr>
      <w:tr>
        <w:trPr>
          <w:trHeight w:val="216"/>
        </w:trPr>
        <w:tc>
          <w:tcPr>
            <w:tcW w:w="5540" w:type="dxa"/>
            <w:vAlign w:val="bottom"/>
            <w:gridSpan w:val="2"/>
          </w:tcPr>
          <w:p>
            <w:pPr>
              <w:ind w:left="28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22,483</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22,395</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489,420</w:t>
            </w:r>
          </w:p>
        </w:tc>
        <w:tc>
          <w:tcPr>
            <w:tcW w:w="4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488,565</w:t>
            </w:r>
          </w:p>
        </w:tc>
        <w:tc>
          <w:tcPr>
            <w:tcW w:w="0" w:type="dxa"/>
            <w:vAlign w:val="bottom"/>
          </w:tcPr>
          <w:p>
            <w:pPr>
              <w:spacing w:after="0"/>
              <w:rPr>
                <w:sz w:val="1"/>
                <w:szCs w:val="1"/>
                <w:color w:val="auto"/>
              </w:rPr>
            </w:pPr>
          </w:p>
        </w:tc>
      </w:tr>
      <w:tr>
        <w:trPr>
          <w:trHeight w:val="68"/>
        </w:trPr>
        <w:tc>
          <w:tcPr>
            <w:tcW w:w="54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of September 30, 2022, the Company held securities that were in an unrealized loss position of $855 with an aggregate fair value of $157,501. The Company has the intent and ability to hold such securities until recovery. As a result, the Company did not record any charges for credit-related impairments for its marketable debt securities for the three months ended September 30, 2022. The Company had no marketable securities prior to July 2022.</w:t>
      </w:r>
    </w:p>
    <w:p>
      <w:pPr>
        <w:spacing w:after="0" w:line="6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As of September 30, 2022, none of the securities had remaining maturities longer than one year. The Company did not hold any marketable securities as of December 31, 2021.</w:t>
      </w:r>
    </w:p>
    <w:p>
      <w:pPr>
        <w:spacing w:after="0" w:line="5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212529"/>
        </w:rPr>
        <w:t>The Company did not receive any proceeds from sales or maturities of marketable securities during the three months ended September 30, 2022.</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Fair Value Measurements</w:t>
      </w:r>
    </w:p>
    <w:p>
      <w:pPr>
        <w:spacing w:after="0" w:line="11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level of the fair value hierarchy utilized to determine such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Fair Value Measurements as of</w:t>
      </w: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September 30, 2022</w:t>
            </w:r>
          </w:p>
        </w:tc>
      </w:tr>
      <w:tr>
        <w:trPr>
          <w:trHeight w:val="210"/>
        </w:trPr>
        <w:tc>
          <w:tcPr>
            <w:tcW w:w="5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1</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2</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3</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09"/>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141,480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141,480</w:t>
            </w:r>
          </w:p>
        </w:tc>
      </w:tr>
      <w:tr>
        <w:trPr>
          <w:trHeight w:val="216"/>
        </w:trPr>
        <w:tc>
          <w:tcPr>
            <w:tcW w:w="57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30,766</w:t>
            </w: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30,766</w:t>
            </w: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7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U.S. Treasury obligations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68,734</w:t>
            </w: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68,734</w:t>
            </w:r>
          </w:p>
        </w:tc>
      </w:tr>
      <w:tr>
        <w:trPr>
          <w:trHeight w:val="216"/>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U.S. Government agency securities</w:t>
            </w:r>
          </w:p>
        </w:tc>
        <w:tc>
          <w:tcPr>
            <w:tcW w:w="3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14,881</w:t>
            </w:r>
          </w:p>
        </w:tc>
        <w:tc>
          <w:tcPr>
            <w:tcW w:w="4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14,881</w:t>
            </w:r>
          </w:p>
        </w:tc>
      </w:tr>
      <w:tr>
        <w:trPr>
          <w:trHeight w:val="216"/>
        </w:trPr>
        <w:tc>
          <w:tcPr>
            <w:tcW w:w="57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331,064</w:t>
            </w: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331,064</w:t>
            </w:r>
          </w:p>
        </w:tc>
      </w:tr>
      <w:tr>
        <w:trPr>
          <w:trHeight w:val="216"/>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51,491</w:t>
            </w:r>
          </w:p>
        </w:tc>
        <w:tc>
          <w:tcPr>
            <w:tcW w:w="4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51,491</w:t>
            </w:r>
          </w:p>
        </w:tc>
      </w:tr>
      <w:tr>
        <w:trPr>
          <w:trHeight w:val="216"/>
        </w:trPr>
        <w:tc>
          <w:tcPr>
            <w:tcW w:w="564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Asset-backed securities</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22,395</w:t>
            </w:r>
          </w:p>
        </w:tc>
        <w:tc>
          <w:tcPr>
            <w:tcW w:w="4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22,395</w:t>
            </w:r>
          </w:p>
        </w:tc>
      </w:tr>
      <w:tr>
        <w:trPr>
          <w:trHeight w:val="209"/>
        </w:trPr>
        <w:tc>
          <w:tcPr>
            <w:tcW w:w="5780" w:type="dxa"/>
            <w:vAlign w:val="bottom"/>
            <w:gridSpan w:val="2"/>
          </w:tcPr>
          <w:p>
            <w:pPr>
              <w:ind w:left="5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141,480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519,331</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660,811</w:t>
            </w:r>
          </w:p>
        </w:tc>
      </w:tr>
      <w:tr>
        <w:trPr>
          <w:trHeight w:val="68"/>
        </w:trPr>
        <w:tc>
          <w:tcPr>
            <w:tcW w:w="56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-187960</wp:posOffset>
            </wp:positionV>
            <wp:extent cx="9398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3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Fair Value Measurements as of</w:t>
      </w:r>
    </w:p>
    <w:tbl>
      <w:tblPr>
        <w:tblLayout w:type="fixed"/>
        <w:tblInd w:w="0" w:type="dxa"/>
        <w:tblCellMar>
          <w:top w:w="0" w:type="dxa"/>
          <w:left w:w="0" w:type="dxa"/>
          <w:bottom w:w="0" w:type="dxa"/>
          <w:right w:w="0" w:type="dxa"/>
        </w:tblCellMar>
      </w:tblPr>
      <w:tr>
        <w:trPr>
          <w:trHeight w:val="217"/>
        </w:trPr>
        <w:tc>
          <w:tcPr>
            <w:tcW w:w="5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December 31, 2021</w:t>
            </w:r>
          </w:p>
        </w:tc>
      </w:tr>
      <w:tr>
        <w:trPr>
          <w:trHeight w:val="209"/>
        </w:trPr>
        <w:tc>
          <w:tcPr>
            <w:tcW w:w="5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1</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2</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3</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10"/>
        </w:trPr>
        <w:tc>
          <w:tcPr>
            <w:tcW w:w="5780" w:type="dxa"/>
            <w:vAlign w:val="bottom"/>
            <w:shd w:val="clear" w:color="auto" w:fill="CFF0FC"/>
          </w:tcPr>
          <w:p>
            <w:pPr>
              <w:jc w:val="center"/>
              <w:ind w:right="4270"/>
              <w:spacing w:after="0"/>
              <w:rPr>
                <w:sz w:val="20"/>
                <w:szCs w:val="20"/>
                <w:color w:val="auto"/>
              </w:rPr>
            </w:pPr>
            <w:r>
              <w:rPr>
                <w:rFonts w:ascii="Arial" w:cs="Arial" w:eastAsia="Arial" w:hAnsi="Arial"/>
                <w:sz w:val="18"/>
                <w:szCs w:val="18"/>
                <w:color w:val="auto"/>
                <w:w w:val="99"/>
              </w:rPr>
              <w:t>Cash equivalents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78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731,767</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731,767</w:t>
            </w:r>
          </w:p>
        </w:tc>
      </w:tr>
      <w:tr>
        <w:trPr>
          <w:trHeight w:val="209"/>
        </w:trPr>
        <w:tc>
          <w:tcPr>
            <w:tcW w:w="5780" w:type="dxa"/>
            <w:vAlign w:val="bottom"/>
            <w:shd w:val="clear" w:color="auto" w:fill="CFF0FC"/>
          </w:tcPr>
          <w:p>
            <w:pPr>
              <w:jc w:val="center"/>
              <w:ind w:right="4270"/>
              <w:spacing w:after="0"/>
              <w:rPr>
                <w:sz w:val="20"/>
                <w:szCs w:val="20"/>
                <w:color w:val="auto"/>
              </w:rPr>
            </w:pPr>
            <w:r>
              <w:rPr>
                <w:rFonts w:ascii="Arial" w:cs="Arial" w:eastAsia="Arial" w:hAnsi="Arial"/>
                <w:sz w:val="18"/>
                <w:szCs w:val="18"/>
                <w:color w:val="auto"/>
                <w:w w:val="94"/>
              </w:rPr>
              <w:t>Total</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731,767</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731,767</w:t>
            </w:r>
          </w:p>
        </w:tc>
      </w:tr>
      <w:tr>
        <w:trPr>
          <w:trHeight w:val="68"/>
        </w:trPr>
        <w:tc>
          <w:tcPr>
            <w:tcW w:w="57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r>
    </w:tbl>
    <w:p>
      <w:pPr>
        <w:spacing w:after="0" w:line="8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Company’s assets with fair value categorized as Level 1 within the fair value hierarchy include money market funds. Money market funds are publicly traded mutual funds and are presented as cash equivalents on the unaudited condensed consolidated balance sheets as of September 30, 2022 and December 31, 2021.</w:t>
      </w:r>
    </w:p>
    <w:p>
      <w:pPr>
        <w:spacing w:after="0" w:line="5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Company's assets with fair value categorized as Level 2 within the fair value hierarchy include commercial paper, governmental and corporate bonds and asset-backed securities with fair values determined by utilizing information from third party pricing sources for identical or similar assets and liabilities in active market.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Level 1, Level 2 or Level 3 categories in the three months ended September 30,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75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r>
      <w:tr>
        <w:trPr>
          <w:trHeight w:val="170"/>
        </w:trPr>
        <w:tc>
          <w:tcPr>
            <w:tcW w:w="7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70"/>
              <w:spacing w:after="0" w:line="170" w:lineRule="exact"/>
              <w:rPr>
                <w:sz w:val="20"/>
                <w:szCs w:val="20"/>
                <w:color w:val="auto"/>
              </w:rPr>
            </w:pPr>
            <w:r>
              <w:rPr>
                <w:rFonts w:ascii="Arial" w:cs="Arial" w:eastAsia="Arial" w:hAnsi="Arial"/>
                <w:sz w:val="18"/>
                <w:szCs w:val="18"/>
                <w:b w:val="1"/>
                <w:bCs w:val="1"/>
                <w:color w:val="auto"/>
              </w:rPr>
              <w:t>September 30,</w:t>
            </w:r>
          </w:p>
        </w:tc>
        <w:tc>
          <w:tcPr>
            <w:tcW w:w="420" w:type="dxa"/>
            <w:vAlign w:val="bottom"/>
          </w:tcPr>
          <w:p>
            <w:pPr>
              <w:spacing w:after="0"/>
              <w:rPr>
                <w:sz w:val="14"/>
                <w:szCs w:val="14"/>
                <w:color w:val="auto"/>
              </w:rPr>
            </w:pPr>
          </w:p>
        </w:tc>
        <w:tc>
          <w:tcPr>
            <w:tcW w:w="1440" w:type="dxa"/>
            <w:vAlign w:val="bottom"/>
          </w:tcPr>
          <w:p>
            <w:pPr>
              <w:jc w:val="right"/>
              <w:ind w:right="30"/>
              <w:spacing w:after="0" w:line="170" w:lineRule="exact"/>
              <w:rPr>
                <w:sz w:val="20"/>
                <w:szCs w:val="20"/>
                <w:color w:val="auto"/>
              </w:rPr>
            </w:pPr>
            <w:r>
              <w:rPr>
                <w:rFonts w:ascii="Arial" w:cs="Arial" w:eastAsia="Arial" w:hAnsi="Arial"/>
                <w:sz w:val="18"/>
                <w:szCs w:val="18"/>
                <w:b w:val="1"/>
                <w:bCs w:val="1"/>
                <w:color w:val="auto"/>
              </w:rPr>
              <w:t>December 31,</w:t>
            </w:r>
          </w:p>
        </w:tc>
      </w:tr>
      <w:tr>
        <w:trPr>
          <w:trHeight w:val="235"/>
        </w:trPr>
        <w:tc>
          <w:tcPr>
            <w:tcW w:w="7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10"/>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including manufacturing and clinical expenditures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7,669</w:t>
            </w:r>
          </w:p>
        </w:tc>
        <w:tc>
          <w:tcPr>
            <w:tcW w:w="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18,080</w:t>
            </w: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License fee</w:t>
            </w:r>
          </w:p>
        </w:tc>
        <w:tc>
          <w:tcPr>
            <w:tcW w:w="260" w:type="dxa"/>
            <w:vAlign w:val="bottom"/>
          </w:tcPr>
          <w:p>
            <w:pPr>
              <w:spacing w:after="0"/>
              <w:rPr>
                <w:sz w:val="18"/>
                <w:szCs w:val="18"/>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25,000</w:t>
            </w:r>
          </w:p>
        </w:tc>
      </w:tr>
      <w:tr>
        <w:trPr>
          <w:trHeight w:val="216"/>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708</w:t>
            </w: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2,572</w:t>
            </w: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Payroll and payroll related</w:t>
            </w:r>
          </w:p>
        </w:tc>
        <w:tc>
          <w:tcPr>
            <w:tcW w:w="260" w:type="dxa"/>
            <w:vAlign w:val="bottom"/>
          </w:tcPr>
          <w:p>
            <w:pPr>
              <w:spacing w:after="0"/>
              <w:rPr>
                <w:sz w:val="18"/>
                <w:szCs w:val="18"/>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4,395</w:t>
            </w:r>
          </w:p>
        </w:tc>
        <w:tc>
          <w:tcPr>
            <w:tcW w:w="4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4,209</w:t>
            </w:r>
          </w:p>
        </w:tc>
      </w:tr>
      <w:tr>
        <w:trPr>
          <w:trHeight w:val="216"/>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Professional fees and other</w:t>
            </w:r>
          </w:p>
        </w:tc>
        <w:tc>
          <w:tcPr>
            <w:tcW w:w="2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1,033</w:t>
            </w:r>
          </w:p>
        </w:tc>
        <w:tc>
          <w:tcPr>
            <w:tcW w:w="4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2,291</w:t>
            </w:r>
          </w:p>
        </w:tc>
      </w:tr>
      <w:tr>
        <w:trPr>
          <w:trHeight w:val="209"/>
        </w:trPr>
        <w:tc>
          <w:tcPr>
            <w:tcW w:w="7580" w:type="dxa"/>
            <w:vAlign w:val="bottom"/>
          </w:tcPr>
          <w:p>
            <w:pPr>
              <w:ind w:left="280"/>
              <w:spacing w:after="0"/>
              <w:rPr>
                <w:sz w:val="20"/>
                <w:szCs w:val="20"/>
                <w:color w:val="auto"/>
              </w:rPr>
            </w:pPr>
            <w:r>
              <w:rPr>
                <w:rFonts w:ascii="Arial" w:cs="Arial" w:eastAsia="Arial" w:hAnsi="Arial"/>
                <w:sz w:val="18"/>
                <w:szCs w:val="18"/>
                <w:color w:val="auto"/>
              </w:rPr>
              <w:t>Total accrued expenses and other current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13,805</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52,152</w:t>
            </w:r>
          </w:p>
        </w:tc>
      </w:tr>
      <w:tr>
        <w:trPr>
          <w:trHeight w:val="68"/>
        </w:trPr>
        <w:tc>
          <w:tcPr>
            <w:tcW w:w="75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1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At September 30, 2022, the authorized capital of the Company included 300,000,000 shares of common stock, of which 83,287,639 shares of common stock were issued and outstanding. On all matters to be voted upon by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4" w:name="page15"/>
    <w:bookmarkEnd w:id="14"/>
    <w:p>
      <w:pPr>
        <w:ind w:right="280"/>
        <w:spacing w:after="0" w:line="287" w:lineRule="auto"/>
        <w:rPr>
          <w:sz w:val="20"/>
          <w:szCs w:val="20"/>
          <w:color w:val="auto"/>
        </w:rPr>
      </w:pPr>
      <w:r>
        <w:rPr>
          <w:rFonts w:ascii="Arial" w:cs="Arial" w:eastAsia="Arial" w:hAnsi="Arial"/>
          <w:sz w:val="18"/>
          <w:szCs w:val="18"/>
          <w:color w:val="auto"/>
        </w:rPr>
        <w:t>holders of common stock, holders of common stock are entitled to one vote per share. The holders of common stock have no preemptive, redemption or conversion rights.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0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October 2020, the Company’s stockholders approved the Company’s 2020 Incentive Award Plan (the “2020 Plan”). The 2020 Plan provided for the initial issuance of up to 7,924,000 shares of common stock and for grant of incentive stock options or other incentive awards to employees, officers, directors and consultants of the Company. The number of shares of common stock that may be issued under the</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2020 Plan is also subject to increase on the first day of each calendar year equal to the lesser of i) 5% of the aggregate number of shares of common stock outstanding on the final day of the immediately preceding calendar year or ii) such smaller number of shares of common stock as is determined by the board of directors. In January 2022 and 2021, the shares of common stock available for issuance under the 2020 Plan were increased by 4,155,136 and 4,130,847 shares,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2020 Plan replaced and is the successor of the 2013 Equity Incentive Plan, as amended (the “2013 Plan”). Any cancellation of</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outstanding option awards to purchase up to 5,982,266 shares of common stock under the 2013 Plan will be made available for grant under 2020 Plan.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there were 8,102,653 shares of common stock remaining available for future issuance under the 2020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During the three and nine months ended September 30, 2022, the Company granted 358,500 and 3,740,917 options, respectively, to employees with an aggregate grant date fair market value of $2,188 and $19,217,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2022, 127,212 and 611,325 options were cancelled due to terminations.</w:t>
      </w:r>
    </w:p>
    <w:p>
      <w:pPr>
        <w:spacing w:after="0" w:line="104"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During the three and nine months ended September 30, 2021, the Company granted 206,000 and 3,440,295 options, respectively, to employees with an aggregate grant date fair market value of $3,933 and $136,216,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2021, 159,183 and 292,517 options were cancelled due to terminations.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5"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During the three and nine months ended September 30, 2022, the Company granted 0 and 182,350 restricted stock units, respectively, to employees with an aggregate grant date fair market value of $0 and $1,302, respectively. The restricted stock unit awards vest in three annual installments, the first of which will occur on January 31, 2023. No restricted stock units were granted during the three and nine months ended September 30, 2021.</w:t>
      </w:r>
    </w:p>
    <w:p>
      <w:pPr>
        <w:spacing w:after="0" w:line="62"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During the three and nine months ended September 30, 2022, 600 and 20,600 restricted stock units, respectively, were cancelled due to terminations.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02"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During the three and nine months ended September 30, 2022, the Company granted 0 and 742,070 performance-based restricted stock units, respectively, to employees with an aggregate grant date fair market value of $0 and $5,298, respectively. No performance-based restricted stock units were granted during the three and nine months ended September 30, 2021. The performance stock unit awards provide for a performance period from February 1, 2022 through January 31, 2025 to complete up to six defined performance metrics. The percentage of awards eligible to vest will be determined based on the number of metrics achieved during the performance period and may range from 0% to 200%. The Company has not recognized any compensation expense through September 30, 2022, as the minimum performance criteria had not been achieved. The vesting of any eligible awards will occur in equal installments on January 31, 2025 and January 31, 2026.</w:t>
      </w:r>
    </w:p>
    <w:p>
      <w:pPr>
        <w:spacing w:after="0" w:line="7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During the three and nine months ended September 30, 2022, 0 and 17,100 restricted stock units, respectively, were cancelled due to terminations.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17"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In October 2020, the Company’s shareholders approved the 2020 Employee Stock Purchase Plan (the "ESPP"), which became effective upon the closing of the Company’s initial public offering in November 2020. The Company initially reserved a total of 1,187,000 shares of common stock for issuance under the ESPP. The ESPP provides that the number of shares reserved and available for issuance under the ESPP will be increased on January 1 of each calendar year by 1% of the number of shares of common stock issued and outstanding on the immediately preceding December 31 or such lesser amount as specified by the compensation committee of the board of directors. To date, there has been no increase in the number of shares reserved for issuance under the ESPP.</w:t>
      </w:r>
    </w:p>
    <w:p>
      <w:pPr>
        <w:spacing w:after="0" w:line="8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April 2022, the Company initiated its first offering period under the ESPP. Each offering period is six months in duration with the purchase date being the last day of the offering period.</w:t>
      </w:r>
    </w:p>
    <w:p>
      <w:pPr>
        <w:spacing w:after="0" w:line="46"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On September 30, 2022, the first offering period concluded and the Company issued 29,036 shares of its common stock for proceeds of $140.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2"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Stock-based compensation expense by award type included within the unaudited condensed consolidated statements of operations and comprehensive income (loss)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57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060" w:type="dxa"/>
            <w:vAlign w:val="bottom"/>
            <w:gridSpan w:val="2"/>
            <w:shd w:val="clear" w:color="auto" w:fill="000000"/>
          </w:tcPr>
          <w:p>
            <w:pPr>
              <w:spacing w:after="0"/>
              <w:rPr>
                <w:sz w:val="5"/>
                <w:szCs w:val="5"/>
                <w:color w:val="auto"/>
              </w:rPr>
            </w:pPr>
          </w:p>
        </w:tc>
        <w:tc>
          <w:tcPr>
            <w:tcW w:w="1280" w:type="dxa"/>
            <w:vAlign w:val="bottom"/>
            <w:gridSpan w:val="2"/>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040" w:type="dxa"/>
            <w:vAlign w:val="bottom"/>
            <w:gridSpan w:val="2"/>
            <w:shd w:val="clear" w:color="auto" w:fill="000000"/>
          </w:tcPr>
          <w:p>
            <w:pPr>
              <w:spacing w:after="0"/>
              <w:rPr>
                <w:sz w:val="5"/>
                <w:szCs w:val="5"/>
                <w:color w:val="auto"/>
              </w:rPr>
            </w:pPr>
          </w:p>
        </w:tc>
        <w:tc>
          <w:tcPr>
            <w:tcW w:w="1260" w:type="dxa"/>
            <w:vAlign w:val="bottom"/>
            <w:gridSpan w:val="2"/>
            <w:shd w:val="clear" w:color="auto" w:fill="000000"/>
          </w:tcPr>
          <w:p>
            <w:pPr>
              <w:spacing w:after="0"/>
              <w:rPr>
                <w:sz w:val="5"/>
                <w:szCs w:val="5"/>
                <w:color w:val="auto"/>
              </w:rPr>
            </w:pPr>
          </w:p>
        </w:tc>
      </w:tr>
      <w:tr>
        <w:trPr>
          <w:trHeight w:val="170"/>
        </w:trPr>
        <w:tc>
          <w:tcPr>
            <w:tcW w:w="5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gridSpan w:val="4"/>
          </w:tcPr>
          <w:p>
            <w:pPr>
              <w:jc w:val="right"/>
              <w:ind w:right="30"/>
              <w:spacing w:after="0" w:line="170" w:lineRule="exact"/>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4"/>
          </w:tcPr>
          <w:p>
            <w:pPr>
              <w:jc w:val="right"/>
              <w:ind w:right="30"/>
              <w:spacing w:after="0" w:line="170" w:lineRule="exact"/>
              <w:rPr>
                <w:sz w:val="20"/>
                <w:szCs w:val="20"/>
                <w:color w:val="auto"/>
              </w:rPr>
            </w:pPr>
            <w:r>
              <w:rPr>
                <w:rFonts w:ascii="Arial" w:cs="Arial" w:eastAsia="Arial" w:hAnsi="Arial"/>
                <w:sz w:val="18"/>
                <w:szCs w:val="18"/>
                <w:b w:val="1"/>
                <w:bCs w:val="1"/>
                <w:color w:val="auto"/>
              </w:rPr>
              <w:t>Nine Months Ended</w:t>
            </w:r>
          </w:p>
        </w:tc>
      </w:tr>
      <w:tr>
        <w:trPr>
          <w:trHeight w:val="235"/>
        </w:trPr>
        <w:tc>
          <w:tcPr>
            <w:tcW w:w="5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1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11,362</w:t>
            </w:r>
          </w:p>
        </w:tc>
        <w:tc>
          <w:tcPr>
            <w:tcW w:w="5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10,990</w:t>
            </w: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34,727</w:t>
            </w:r>
          </w:p>
        </w:tc>
        <w:tc>
          <w:tcPr>
            <w:tcW w:w="4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28,270</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3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Performance-based stock units</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57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11,504</w:t>
            </w:r>
          </w:p>
        </w:tc>
        <w:tc>
          <w:tcPr>
            <w:tcW w:w="14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10,990</w:t>
            </w:r>
          </w:p>
        </w:tc>
        <w:tc>
          <w:tcPr>
            <w:tcW w:w="1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35,073</w:t>
            </w:r>
          </w:p>
        </w:tc>
        <w:tc>
          <w:tcPr>
            <w:tcW w:w="1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28,270</w:t>
            </w:r>
          </w:p>
        </w:tc>
      </w:tr>
      <w:tr>
        <w:trPr>
          <w:trHeight w:val="68"/>
        </w:trPr>
        <w:tc>
          <w:tcPr>
            <w:tcW w:w="57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r>
      <w:tr>
        <w:trPr>
          <w:trHeight w:val="328"/>
        </w:trPr>
        <w:tc>
          <w:tcPr>
            <w:tcW w:w="5780" w:type="dxa"/>
            <w:vAlign w:val="bottom"/>
          </w:tcPr>
          <w:p>
            <w:pPr>
              <w:spacing w:after="0"/>
              <w:rPr>
                <w:sz w:val="20"/>
                <w:szCs w:val="20"/>
                <w:color w:val="auto"/>
              </w:rPr>
            </w:pPr>
            <w:r>
              <w:rPr>
                <w:rFonts w:ascii="Arial" w:cs="Arial" w:eastAsia="Arial" w:hAnsi="Arial"/>
                <w:sz w:val="18"/>
                <w:szCs w:val="18"/>
                <w:color w:val="auto"/>
              </w:rPr>
              <w:t>Stock-based compensation expense is classified as follows: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57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2340" w:type="dxa"/>
            <w:vAlign w:val="bottom"/>
            <w:gridSpan w:val="3"/>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2280" w:type="dxa"/>
            <w:vAlign w:val="bottom"/>
            <w:gridSpan w:val="3"/>
            <w:shd w:val="clear" w:color="auto" w:fill="000000"/>
          </w:tcPr>
          <w:p>
            <w:pPr>
              <w:spacing w:after="0"/>
              <w:rPr>
                <w:sz w:val="5"/>
                <w:szCs w:val="5"/>
                <w:color w:val="auto"/>
              </w:rPr>
            </w:pPr>
          </w:p>
        </w:tc>
      </w:tr>
      <w:tr>
        <w:trPr>
          <w:trHeight w:val="170"/>
        </w:trPr>
        <w:tc>
          <w:tcPr>
            <w:tcW w:w="5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gridSpan w:val="3"/>
          </w:tcPr>
          <w:p>
            <w:pPr>
              <w:jc w:val="right"/>
              <w:ind w:right="30"/>
              <w:spacing w:after="0" w:line="170"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3"/>
          </w:tcPr>
          <w:p>
            <w:pPr>
              <w:jc w:val="right"/>
              <w:ind w:right="30"/>
              <w:spacing w:after="0" w:line="170" w:lineRule="exact"/>
              <w:rPr>
                <w:sz w:val="20"/>
                <w:szCs w:val="20"/>
                <w:color w:val="auto"/>
              </w:rPr>
            </w:pPr>
            <w:r>
              <w:rPr>
                <w:rFonts w:ascii="Arial" w:cs="Arial" w:eastAsia="Arial" w:hAnsi="Arial"/>
                <w:sz w:val="18"/>
                <w:szCs w:val="18"/>
                <w:b w:val="1"/>
                <w:bCs w:val="1"/>
                <w:color w:val="auto"/>
              </w:rPr>
              <w:t>Nine Months Ended</w:t>
            </w:r>
          </w:p>
        </w:tc>
      </w:tr>
      <w:tr>
        <w:trPr>
          <w:trHeight w:val="235"/>
        </w:trPr>
        <w:tc>
          <w:tcPr>
            <w:tcW w:w="5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1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5,370</w:t>
            </w:r>
          </w:p>
        </w:tc>
        <w:tc>
          <w:tcPr>
            <w:tcW w:w="5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5,022</w:t>
            </w:r>
          </w:p>
        </w:tc>
        <w:tc>
          <w:tcPr>
            <w:tcW w:w="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16,390</w:t>
            </w:r>
          </w:p>
        </w:tc>
        <w:tc>
          <w:tcPr>
            <w:tcW w:w="5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12,793</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6,134</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5,968</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18,683</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15,477</w:t>
            </w:r>
          </w:p>
        </w:tc>
      </w:tr>
      <w:tr>
        <w:trPr>
          <w:trHeight w:val="21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11,504</w:t>
            </w:r>
          </w:p>
        </w:tc>
        <w:tc>
          <w:tcPr>
            <w:tcW w:w="5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10,990</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35,073</w:t>
            </w:r>
          </w:p>
        </w:tc>
        <w:tc>
          <w:tcPr>
            <w:tcW w:w="5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28,270</w:t>
            </w:r>
          </w:p>
        </w:tc>
      </w:tr>
      <w:tr>
        <w:trPr>
          <w:trHeight w:val="68"/>
        </w:trPr>
        <w:tc>
          <w:tcPr>
            <w:tcW w:w="57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r>
    </w:tbl>
    <w:p>
      <w:pPr>
        <w:spacing w:after="0" w:line="400" w:lineRule="exact"/>
        <w:rPr>
          <w:sz w:val="20"/>
          <w:szCs w:val="20"/>
          <w:color w:val="auto"/>
        </w:rPr>
      </w:pPr>
    </w:p>
    <w:p>
      <w:pPr>
        <w:ind w:right="5280" w:firstLine="8"/>
        <w:spacing w:after="0" w:line="396" w:lineRule="auto"/>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Income (Loss) Per Share Attributable to Common Stockholders </w:t>
      </w:r>
      <w:r>
        <w:rPr>
          <w:rFonts w:ascii="Arial" w:cs="Arial" w:eastAsia="Arial" w:hAnsi="Arial"/>
          <w:sz w:val="18"/>
          <w:szCs w:val="18"/>
          <w:color w:val="auto"/>
        </w:rPr>
        <w:t>Basic and diluted earnings per share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p>
      <w:pPr>
        <w:spacing w:after="0" w:line="113" w:lineRule="exact"/>
        <w:rPr>
          <w:sz w:val="20"/>
          <w:szCs w:val="20"/>
          <w:color w:val="auto"/>
        </w:rPr>
      </w:pPr>
    </w:p>
    <w:p>
      <w:pPr>
        <w:jc w:val="right"/>
        <w:ind w:right="420"/>
        <w:spacing w:after="0"/>
        <w:rPr>
          <w:sz w:val="20"/>
          <w:szCs w:val="20"/>
          <w:color w:val="auto"/>
        </w:rPr>
      </w:pPr>
      <w:r>
        <w:rPr>
          <w:rFonts w:ascii="Arial" w:cs="Arial" w:eastAsia="Arial" w:hAnsi="Arial"/>
          <w:sz w:val="18"/>
          <w:szCs w:val="18"/>
          <w:b w:val="1"/>
          <w:bCs w:val="1"/>
          <w:color w:val="auto"/>
        </w:rPr>
        <w:t>Three Months Ended</w:t>
      </w:r>
    </w:p>
    <w:p>
      <w:pPr>
        <w:jc w:val="right"/>
        <w:ind w:right="4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6350</wp:posOffset>
            </wp:positionV>
            <wp:extent cx="19030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 w:lineRule="exact"/>
        <w:rPr>
          <w:sz w:val="20"/>
          <w:szCs w:val="20"/>
          <w:color w:val="auto"/>
        </w:rPr>
      </w:pPr>
    </w:p>
    <w:p>
      <w:pPr>
        <w:ind w:left="6020"/>
        <w:spacing w:after="0"/>
        <w:tabs>
          <w:tab w:leader="none" w:pos="7600"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2021</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right"/>
        <w:ind w:left="280" w:right="120"/>
        <w:spacing w:after="0" w:line="267" w:lineRule="auto"/>
        <w:rPr>
          <w:sz w:val="20"/>
          <w:szCs w:val="20"/>
          <w:color w:val="auto"/>
        </w:rPr>
      </w:pPr>
      <w:r>
        <w:rPr>
          <w:rFonts w:ascii="Arial" w:cs="Arial" w:eastAsia="Arial" w:hAnsi="Arial"/>
          <w:sz w:val="17"/>
          <w:szCs w:val="17"/>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-6350</wp:posOffset>
            </wp:positionV>
            <wp:extent cx="18688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tabs>
          <w:tab w:leader="none" w:pos="1540"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2021</w:t>
      </w:r>
    </w:p>
    <w:p>
      <w:pPr>
        <w:spacing w:after="0" w:line="22" w:lineRule="exact"/>
        <w:rPr>
          <w:sz w:val="20"/>
          <w:szCs w:val="20"/>
          <w:color w:val="auto"/>
        </w:rPr>
      </w:pPr>
    </w:p>
    <w:p>
      <w:pPr>
        <w:sectPr>
          <w:pgSz w:w="11900" w:h="16838" w:orient="portrait"/>
          <w:cols w:equalWidth="0" w:num="2">
            <w:col w:w="8440" w:space="720"/>
            <w:col w:w="2080"/>
          </w:cols>
          <w:pgMar w:left="320" w:top="539"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(8,066)</w:t>
            </w:r>
          </w:p>
        </w:tc>
        <w:tc>
          <w:tcPr>
            <w:tcW w:w="42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(28,194)</w:t>
            </w:r>
          </w:p>
        </w:tc>
        <w:tc>
          <w:tcPr>
            <w:tcW w:w="1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(81,478)</w:t>
            </w:r>
          </w:p>
        </w:tc>
        <w:tc>
          <w:tcPr>
            <w:tcW w:w="40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4,058</w:t>
            </w: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2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83,258,537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82,815,636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83,231,146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82,727,268</w:t>
            </w:r>
          </w:p>
        </w:tc>
      </w:tr>
      <w:tr>
        <w:trPr>
          <w:trHeight w:val="216"/>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Dilutive effect of outstanding stock options</w:t>
            </w: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5,734,806</w:t>
            </w:r>
          </w:p>
        </w:tc>
      </w:tr>
      <w:tr>
        <w:trPr>
          <w:trHeight w:val="210"/>
        </w:trPr>
        <w:tc>
          <w:tcPr>
            <w:tcW w:w="51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2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83,258,537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82,815,636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83,231,146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88,462,074</w:t>
            </w:r>
          </w:p>
        </w:tc>
      </w:tr>
      <w:tr>
        <w:trPr>
          <w:trHeight w:val="21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share, basic</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0.05</w:t>
            </w: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Net income (loss) per share,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(0.34)</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0.05</w:t>
            </w:r>
          </w:p>
        </w:tc>
      </w:tr>
      <w:tr>
        <w:trPr>
          <w:trHeight w:val="68"/>
        </w:trPr>
        <w:tc>
          <w:tcPr>
            <w:tcW w:w="51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-462280</wp:posOffset>
            </wp:positionV>
            <wp:extent cx="11112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-462280</wp:posOffset>
            </wp:positionV>
            <wp:extent cx="10287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1460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-462280</wp:posOffset>
            </wp:positionV>
            <wp:extent cx="10287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146050"/>
                    </a:xfrm>
                    <a:prstGeom prst="rect">
                      <a:avLst/>
                    </a:prstGeom>
                    <a:noFill/>
                  </pic:spPr>
                </pic:pic>
              </a:graphicData>
            </a:graphic>
          </wp:anchor>
        </w:drawing>
      </w:r>
    </w:p>
    <w:p>
      <w:pPr>
        <w:spacing w:after="0" w:line="69"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Stock options for the purchase of 13,490,691 shares, restricted stock units of 161,750 and performance-based restricted stock units of 724,970 were excluded from the computation of the net loss per share attributable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common stockholders for both the three and nine months ended September 30, 2022, due to net loss during the periods.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Stock options for the purchase of 5,119,092 weighted average shares were excluded from the computation of the net loss per share attributable to common stockholders for the three months ended September 30, 2021 due to net loss during the period as their effect is anti-</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dilutive. Stock options for the purchase of 2,466,086 weighted average shares were excluded from the computation of diluted net income per</w:t>
      </w:r>
    </w:p>
    <w:p>
      <w:pPr>
        <w:spacing w:after="0" w:line="2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share attributable to common stockholders for the nine months ended September 30, 2021 because those options had an anti-dilutive impact due to the assumed proceeds per share using the treasury stock method being greater than the average fair value of the Company’s common shares for the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0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July 2021, the Company entered into a non-cancelable operating lease agreement pursuant to which the Company leased office space in Boston, Massachusetts at 225 Franklin Street (the "225 Lease"). The 225 Lease commencement date was January 1, 2022 and the 225 Lease runs through December 31, 2026. The 225 Lease does not contain any options for renewal or extension. The Company began to occupy the space during the three months ended June 30, 2022. Previously, the Company’s principal office was located at 125 Summer Street in Boston, Massachusetts pursuant to a lease that expired in July 2022.</w:t>
      </w:r>
    </w:p>
    <w:p>
      <w:pPr>
        <w:spacing w:after="0" w:line="6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In connection with the 225 Lease commencement, the Company recorded a right-of-use asset and operating lease liability of $2,938 and $2,873 as of January 1, 2022.</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the 225 Lease, currently the Company’s only operating lease as of September 30, 2022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91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920" w:type="dxa"/>
            <w:vAlign w:val="bottom"/>
            <w:shd w:val="clear" w:color="auto" w:fill="000000"/>
          </w:tcPr>
          <w:p>
            <w:pPr>
              <w:spacing w:after="0"/>
              <w:rPr>
                <w:sz w:val="5"/>
                <w:szCs w:val="5"/>
                <w:color w:val="auto"/>
              </w:rPr>
            </w:pPr>
          </w:p>
        </w:tc>
      </w:tr>
      <w:tr>
        <w:trPr>
          <w:trHeight w:val="197"/>
        </w:trPr>
        <w:tc>
          <w:tcPr>
            <w:tcW w:w="9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right"/>
              <w:ind w:right="30"/>
              <w:spacing w:after="0" w:line="197" w:lineRule="exact"/>
              <w:rPr>
                <w:sz w:val="20"/>
                <w:szCs w:val="20"/>
                <w:color w:val="auto"/>
              </w:rPr>
            </w:pPr>
            <w:r>
              <w:rPr>
                <w:rFonts w:ascii="Arial" w:cs="Arial" w:eastAsia="Arial" w:hAnsi="Arial"/>
                <w:sz w:val="18"/>
                <w:szCs w:val="18"/>
                <w:b w:val="1"/>
                <w:bCs w:val="1"/>
                <w:color w:val="auto"/>
              </w:rPr>
              <w:t>As of September 30,</w:t>
            </w:r>
          </w:p>
        </w:tc>
      </w:tr>
      <w:tr>
        <w:trPr>
          <w:trHeight w:val="235"/>
        </w:trPr>
        <w:tc>
          <w:tcPr>
            <w:tcW w:w="9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r>
      <w:tr>
        <w:trPr>
          <w:trHeight w:val="210"/>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198</w:t>
            </w:r>
          </w:p>
        </w:tc>
      </w:tr>
      <w:tr>
        <w:trPr>
          <w:trHeight w:val="216"/>
        </w:trPr>
        <w:tc>
          <w:tcPr>
            <w:tcW w:w="914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805</w:t>
            </w:r>
          </w:p>
        </w:tc>
      </w:tr>
      <w:tr>
        <w:trPr>
          <w:trHeight w:val="216"/>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821</w:t>
            </w:r>
          </w:p>
        </w:tc>
      </w:tr>
      <w:tr>
        <w:trPr>
          <w:trHeight w:val="216"/>
        </w:trPr>
        <w:tc>
          <w:tcPr>
            <w:tcW w:w="914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838</w:t>
            </w:r>
          </w:p>
        </w:tc>
      </w:tr>
      <w:tr>
        <w:trPr>
          <w:trHeight w:val="216"/>
        </w:trPr>
        <w:tc>
          <w:tcPr>
            <w:tcW w:w="9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855</w:t>
            </w:r>
          </w:p>
        </w:tc>
      </w:tr>
      <w:tr>
        <w:trPr>
          <w:trHeight w:val="209"/>
        </w:trPr>
        <w:tc>
          <w:tcPr>
            <w:tcW w:w="914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180" w:type="dxa"/>
            <w:vAlign w:val="bottom"/>
          </w:tcPr>
          <w:p>
            <w:pPr>
              <w:spacing w:after="0"/>
              <w:rPr>
                <w:sz w:val="18"/>
                <w:szCs w:val="18"/>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3,517</w:t>
            </w:r>
          </w:p>
        </w:tc>
      </w:tr>
      <w:tr>
        <w:trPr>
          <w:trHeight w:val="216"/>
        </w:trPr>
        <w:tc>
          <w:tcPr>
            <w:tcW w:w="9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amount representing implied interest</w:t>
            </w:r>
          </w:p>
        </w:tc>
        <w:tc>
          <w:tcPr>
            <w:tcW w:w="18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w:t>
            </w:r>
          </w:p>
        </w:tc>
      </w:tr>
      <w:tr>
        <w:trPr>
          <w:trHeight w:val="210"/>
        </w:trPr>
        <w:tc>
          <w:tcPr>
            <w:tcW w:w="9140" w:type="dxa"/>
            <w:vAlign w:val="bottom"/>
          </w:tcPr>
          <w:p>
            <w:pPr>
              <w:ind w:left="20"/>
              <w:spacing w:after="0"/>
              <w:rPr>
                <w:sz w:val="20"/>
                <w:szCs w:val="20"/>
                <w:color w:val="auto"/>
              </w:rPr>
            </w:pPr>
            <w:r>
              <w:rPr>
                <w:rFonts w:ascii="Arial" w:cs="Arial" w:eastAsia="Arial" w:hAnsi="Arial"/>
                <w:sz w:val="18"/>
                <w:szCs w:val="18"/>
                <w:color w:val="auto"/>
              </w:rPr>
              <w:t>Total lease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3,296</w:t>
            </w:r>
          </w:p>
        </w:tc>
      </w:tr>
      <w:tr>
        <w:trPr>
          <w:trHeight w:val="216"/>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711</w:t>
            </w:r>
          </w:p>
        </w:tc>
      </w:tr>
      <w:tr>
        <w:trPr>
          <w:trHeight w:val="216"/>
        </w:trPr>
        <w:tc>
          <w:tcPr>
            <w:tcW w:w="9140" w:type="dxa"/>
            <w:vAlign w:val="bottom"/>
          </w:tcPr>
          <w:p>
            <w:pPr>
              <w:ind w:left="20"/>
              <w:spacing w:after="0"/>
              <w:rPr>
                <w:sz w:val="20"/>
                <w:szCs w:val="20"/>
                <w:color w:val="auto"/>
              </w:rPr>
            </w:pPr>
            <w:r>
              <w:rPr>
                <w:rFonts w:ascii="Arial" w:cs="Arial" w:eastAsia="Arial" w:hAnsi="Arial"/>
                <w:sz w:val="18"/>
                <w:szCs w:val="18"/>
                <w:color w:val="auto"/>
              </w:rPr>
              <w:t>Noncurrent portion of 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2,585</w:t>
            </w:r>
          </w:p>
        </w:tc>
      </w:tr>
      <w:tr>
        <w:trPr>
          <w:trHeight w:val="68"/>
        </w:trPr>
        <w:tc>
          <w:tcPr>
            <w:tcW w:w="91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920" w:type="dxa"/>
            <w:vAlign w:val="bottom"/>
            <w:shd w:val="clear" w:color="auto" w:fill="000000"/>
          </w:tcPr>
          <w:p>
            <w:pPr>
              <w:spacing w:after="0"/>
              <w:rPr>
                <w:sz w:val="5"/>
                <w:szCs w:val="5"/>
                <w:color w:val="auto"/>
              </w:rPr>
            </w:pPr>
          </w:p>
        </w:tc>
      </w:tr>
    </w:tbl>
    <w:p>
      <w:pPr>
        <w:spacing w:after="0" w:line="89" w:lineRule="exact"/>
        <w:rPr>
          <w:sz w:val="20"/>
          <w:szCs w:val="20"/>
          <w:color w:val="auto"/>
        </w:rPr>
      </w:pPr>
    </w:p>
    <w:p>
      <w:pPr>
        <w:jc w:val="both"/>
        <w:ind w:right="400"/>
        <w:spacing w:after="0" w:line="253" w:lineRule="auto"/>
        <w:rPr>
          <w:sz w:val="20"/>
          <w:szCs w:val="20"/>
          <w:color w:val="auto"/>
        </w:rPr>
      </w:pPr>
      <w:r>
        <w:rPr>
          <w:rFonts w:ascii="Arial" w:cs="Arial" w:eastAsia="Arial" w:hAnsi="Arial"/>
          <w:sz w:val="18"/>
          <w:szCs w:val="18"/>
          <w:color w:val="auto"/>
        </w:rPr>
        <w:t>For the three and nine months ended September 30, 2022, the Company recorded operating lease costs of $185 and $649, respectively relating to its operating lease agreements. For the three and nine months ended September 30, 2021, the Company recorded operating lease costs of $71 and $211, respectively relating to its operating lease agreements.</w:t>
      </w:r>
    </w:p>
    <w:p>
      <w:pPr>
        <w:spacing w:after="0" w:line="7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225 Lease includes a leasehold improvement allowance of $877. As of September 30, 2022, all amounts related to the improvement allowance have been received.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17"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The Company recorded a net benefit for income taxes of $3,833 and $3,713 for the three and nine months ended September 30, 2022. The benefit for income taxes was primarily the result of changes in estimates between the Company's initial provision for 2021 income taxes and the actual amounts reflected in income tax returns as filed.</w:t>
      </w:r>
    </w:p>
    <w:p>
      <w:pPr>
        <w:spacing w:after="0" w:line="7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Company recorded a provision for income taxes of $6,100 and $13,300 for the three and nine months ended September 30, 2021. The tax expense recorded in the three and nine months ended September 30, 2021 is due to the application of a year-to-date effective tax rate rather than an annual effective rate estimated for the entire year as the Company determined that using a year-to-date approach resulted in a better estimate of its income tax expense/benefit. The Company used a year-to-date effective tax rate during the three and nine months ended September 30, 2021 due to a change in forecast resulting in the Company anticipating federal and state taxable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7" w:name="page18"/>
    <w:bookmarkEnd w:id="17"/>
    <w:p>
      <w:pPr>
        <w:ind w:right="380"/>
        <w:spacing w:after="0" w:line="287" w:lineRule="auto"/>
        <w:rPr>
          <w:sz w:val="20"/>
          <w:szCs w:val="20"/>
          <w:color w:val="auto"/>
        </w:rPr>
      </w:pPr>
      <w:r>
        <w:rPr>
          <w:rFonts w:ascii="Arial" w:cs="Arial" w:eastAsia="Arial" w:hAnsi="Arial"/>
          <w:sz w:val="18"/>
          <w:szCs w:val="18"/>
          <w:color w:val="auto"/>
        </w:rPr>
        <w:t>income for the year, while maintaining a full valuation allowance on its net deferred tax assets, as it is more likely than not that any future benefit beyond 2021 will not be realized.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has an agreement with a consultant that requires payment of a success fee calculated as a percentage of certain product sales, subject to a cumulative maximum payout of $5.0 million. This success payment is contingent upon the occurrence of future events and the timing and likelihood of such payment is neither probable nor estimable.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Company enters into certain types of contracts that contingently require the Company to indemnify various parties against claims from third parties. These contracts primarily relate to (i) the Company’s bylaws, under which the Company must indemnify directors and executive officers, and may indemnify other officers and employees, for liabilities arising out of their relationship, (ii) contracts under which the Company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Company’s products, technology, intellectual property or services.</w:t>
      </w:r>
    </w:p>
    <w:p>
      <w:pPr>
        <w:spacing w:after="0" w:line="6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the Company’s future business, operating results or financial condition. It is not possible to determine the maximum potential amount potentially payable under these contracts since the Company has no history of prior indemnification claims and the unique facts and circumstances involved in each particular claim will be determinative.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Benefit Plan</w:t>
      </w:r>
    </w:p>
    <w:p>
      <w:pPr>
        <w:spacing w:after="0" w:line="104"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During the year ended December 31, 2021, the Company implemented a defined contribution plan under Section 401(k) of the Internal Revenue Code (the “401(k) Plan”). The 401(k) Plan covers substantially all employees who meet minimum age and service requirements. Under the terms of the 401(k) Plan, the Company records matching contributions up to 4% of each participant’s eligible compensation. During the three and nine months ended September 30, 2022, the Company recognized expense of $97 and $463 relating to matching contributions under the 401(k) Plan. During the three and nine months ended September 30, 2021 the Company recognized expense of $102 and $178, respectively, relating to matching contributions to the 401(k)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0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Company is a party to a consulting agreement with an entity controlled by one of its directors. This agreement, which was entered into in May 2021, provides for an annual retainer of $110. The Company recognized expense in connection with this consulting agreement in the amount of $27 and $81, respectively, for the three and nine months ended September 30, 2022. The Company recognized expense in connection with this consulting agreement in the amount of $27 and $41, respectively, for the three and nine months ended September 30, 2021.</w:t>
      </w:r>
    </w:p>
    <w:p>
      <w:pPr>
        <w:spacing w:after="0" w:line="8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May 2022, the Company entered into a consulting agreement with one of its directors. The Company recognized expense of zero and $1 in connection with this consulting agreement for the three and nine months ended September 30, 2022.</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dated December 31, 2021, filed with the Securities and Exchange Commission (“SEC”) on February 28, 2022.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II, Item 1A, “Risk Factors” and other factors set forth in other parts of this Quarterly Report on Form 10-Q.</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are a clinical stage biopharmaceutical company focused on discovering, developing and commercializing antiviral therapeutics to improve the lives of patients suffering from severe viral infections. Leveraging our deep understanding of nucleos(t)ide chemistry, biology and virology and the expertise of our experienced management and scientific team, we have built a proprietary purine nucleos(t)ide prodrug platform to develop novel product candidates to treat single stranded ribonucleic acid viruses, which are a prevalent cause of severe viral diseases. Currently, we are focused on the development of orally available, potent, and selective nucleos(t)ide prodrugs for difficult to treat, life-threatening viral infections, including SARS-CoV-2, the virus that causes COVID-19, dengue virus, chronic hepatitis C infection (“HCV”), and respiratory syncytial virus (“RSV”).</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1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Despite the availability of vaccines, vaccine boosters and therapeutics for the treatment of COVID-19, COVID-19 remains a leading cause of death in the United States with approximately 350 to 400 persons dying daily from COVID-19 and its complications. Populations at the highest risk of death or hospitalization include the elderly (80 years and older), older adults (65 years and older) with COVID-19 risk factors and persons who are immunocompromised.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 Bemnifosbuvir</w:t>
      </w:r>
    </w:p>
    <w:p>
      <w:pPr>
        <w:spacing w:after="0" w:line="10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most advanced product candidate for the treatment of COVID-19 is bemnifosbuvir, an investigational, novel, orally administered guanosine nucleotide analog polymerase inhibitor. Bemnifosbuvir has a unique dual mechanism of action at both the RNA-dependent RNA polymerase (RdRp) and NiRAN active sites on the highly conserved SARS-CoV-2 RNA polymerase.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SUNRISE-3 Phase 3 Clinical Trial</w:t>
      </w:r>
    </w:p>
    <w:p>
      <w:pPr>
        <w:spacing w:after="0" w:line="104"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Prior to the end of 2022, we expect to initiate our SUNRISE-3 Phase 3 clinical trial evaluating bemnifosbuvir administered concurrently with locally available standard of care ("SOC"). The study is designed to enroll at least 1,500 high-risk non-hospitalized patients with mild or moderate COVID-19, with a global footprint consisting of approximately 300 clinical trial sites throughout the United States, Europe, Japan and rest of the world. Patients will be randomized 1:1 to receive either bemnifosbuvir 550 mg twice-daily (BID) plus locally available SOC or placebo BID plus locally available SOC for five days.</w:t>
      </w:r>
    </w:p>
    <w:p>
      <w:pPr>
        <w:spacing w:after="0" w:line="65"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The trial will enroll patients 80 years old and older, patients 65 years old and older with at least one major COVID-19 risk factor, and immunocompromised patients 18 years old and older, all regardless of COVID-19 vaccination status.</w:t>
      </w:r>
    </w:p>
    <w:p>
      <w:pPr>
        <w:spacing w:after="0" w:line="5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trial will be comprised of two populations being the supportive care population and the combination population. The supportive care population will include patients who do not qualify for an authorized oral antiviral treatment or are located in a region where oral antivirals are not locally available. The combination antiviral population will include patients who receive combination therapy being bemnifosbuvir plus SOC consisting of other compatible COVID-19 antivirals.</w:t>
      </w:r>
    </w:p>
    <w:p>
      <w:pPr>
        <w:spacing w:after="0" w:line="62" w:lineRule="exact"/>
        <w:rPr>
          <w:sz w:val="20"/>
          <w:szCs w:val="20"/>
          <w:color w:val="auto"/>
        </w:rPr>
      </w:pPr>
    </w:p>
    <w:p>
      <w:pPr>
        <w:jc w:val="both"/>
        <w:ind w:right="320"/>
        <w:spacing w:after="0" w:line="261" w:lineRule="auto"/>
        <w:rPr>
          <w:sz w:val="20"/>
          <w:szCs w:val="20"/>
          <w:color w:val="auto"/>
        </w:rPr>
      </w:pPr>
      <w:r>
        <w:rPr>
          <w:rFonts w:ascii="Arial" w:cs="Arial" w:eastAsia="Arial" w:hAnsi="Arial"/>
          <w:sz w:val="18"/>
          <w:szCs w:val="18"/>
          <w:color w:val="auto"/>
        </w:rPr>
        <w:t>The primary endpoint of the study is all-cause hospitalization or death through Day 29 in the supportive care population in at least 1,300 patients. Secondary endpoints in each patient population include: COVID-19 complications, medically attended visits, symptom rebound / relapse and viral load rebound.</w:t>
      </w:r>
    </w:p>
    <w:p>
      <w:pPr>
        <w:spacing w:after="0" w:line="5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Previously reported topline results from our MORNINGSKY Phase 3 clinical trial demonstrated a 71% reduction in hospitalization (2.9% versus 10%) (p=0.047, unadjusted, exploratory) in the bemnifosbuvir arm (n=137) versus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19" w:name="page20"/>
    <w:bookmarkEnd w:id="19"/>
    <w:p>
      <w:pPr>
        <w:ind w:right="260"/>
        <w:spacing w:after="0" w:line="287" w:lineRule="auto"/>
        <w:rPr>
          <w:sz w:val="20"/>
          <w:szCs w:val="20"/>
          <w:color w:val="auto"/>
        </w:rPr>
      </w:pPr>
      <w:r>
        <w:rPr>
          <w:rFonts w:ascii="Arial" w:cs="Arial" w:eastAsia="Arial" w:hAnsi="Arial"/>
          <w:sz w:val="18"/>
          <w:szCs w:val="18"/>
          <w:color w:val="auto"/>
        </w:rPr>
        <w:t>placebo (n=70). In the MORNINGSKY trial, the primary endpoint, time to symptom alleviation, was not achieved. There were no deaths in the trial.</w:t>
      </w:r>
    </w:p>
    <w:p>
      <w:pPr>
        <w:spacing w:after="0" w:line="31"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MORNINGSKY was a randomized, double-blind, multi-center, placebo-controlled Phase 3 trial designed to evaluate the antiviral activity, safety and pharmacokinetics of bemnifosbuvir in up to 1,400 patients randomized 2:1 to receive bemnifosbuvir 550 mg twice-daily (BID) or placebo in an outpatient setting. The study was closed out early in December 2021 having enrolled and treated 216 patients of which 207 were evaluable for efficacy. Atea plans to publish the full results of this study in a scientific journal.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Protease Inhibitor Program</w:t>
      </w:r>
    </w:p>
    <w:p>
      <w:pPr>
        <w:spacing w:after="0" w:line="11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As part of a multipronged approach against COVID-19, we are advancing an internal program focused on the discovery of second-generation protease inhibitors that have clinical profiles well suited for combination therapy with bemnifosbuvir. As part of this effort, our target profile is a protease inhibitor that is highly potent, has a good safety profile with limited drug-drug interactions and does not require a booster (e.g., ritonavir). The optimization of lead compounds is ongoing for selection of a candidate to further advance toward the clinic.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HCV - Bemnifosbuvir in combination with ruzasvir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Hepatitis C viral (HCV) infection is a leading cause of chronic liver disease and liver transplants.</w:t>
      </w:r>
    </w:p>
    <w:p>
      <w:pPr>
        <w:spacing w:after="0" w:line="14"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For the treatment of chronic HCV infection, we are advancing a novel combination of bemnifosbuvir and ruzasvir, an investigational nonstructural protein 5A (NS5A) inhibitor that we exclusively in-licensed from Merck in December 2021. As single agents, both bemnifosbuvir and ruzasvir have demonstrated potent pan-genotypic antiviral activity against HCV. We expect to submit clinical trial applications to regulatory authorities prior to year end 2022 in anticipation of initiating a Phase 2 combination study of bemnifosbuvir and ruzasvir.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Dengue – AT-752</w:t>
      </w:r>
    </w:p>
    <w:p>
      <w:pPr>
        <w:spacing w:after="0" w:line="104" w:lineRule="exact"/>
        <w:rPr>
          <w:sz w:val="20"/>
          <w:szCs w:val="20"/>
          <w:color w:val="auto"/>
        </w:rPr>
      </w:pPr>
    </w:p>
    <w:p>
      <w:pPr>
        <w:jc w:val="both"/>
        <w:ind w:right="560"/>
        <w:spacing w:after="0" w:line="261" w:lineRule="auto"/>
        <w:rPr>
          <w:sz w:val="20"/>
          <w:szCs w:val="20"/>
          <w:color w:val="auto"/>
        </w:rPr>
      </w:pPr>
      <w:r>
        <w:rPr>
          <w:rFonts w:ascii="Arial" w:cs="Arial" w:eastAsia="Arial" w:hAnsi="Arial"/>
          <w:sz w:val="18"/>
          <w:szCs w:val="18"/>
          <w:color w:val="auto"/>
        </w:rPr>
        <w:t>Dengue is a mosquito-borne viral infection that infects up to 400 million people worldwide a year, causing substantial public health and economic burden. Currently there are no antiviral therapies approved by either the U.S. Food and Drug Administration (“FDA”) or the European Commission.</w:t>
      </w:r>
    </w:p>
    <w:p>
      <w:pPr>
        <w:spacing w:after="0" w:line="54" w:lineRule="exact"/>
        <w:rPr>
          <w:sz w:val="20"/>
          <w:szCs w:val="20"/>
          <w:color w:val="auto"/>
        </w:rPr>
      </w:pPr>
    </w:p>
    <w:p>
      <w:pPr>
        <w:jc w:val="both"/>
        <w:ind w:right="300"/>
        <w:spacing w:after="0" w:line="261" w:lineRule="auto"/>
        <w:rPr>
          <w:sz w:val="20"/>
          <w:szCs w:val="20"/>
          <w:color w:val="auto"/>
        </w:rPr>
      </w:pPr>
      <w:r>
        <w:rPr>
          <w:rFonts w:ascii="Arial" w:cs="Arial" w:eastAsia="Arial" w:hAnsi="Arial"/>
          <w:sz w:val="18"/>
          <w:szCs w:val="18"/>
          <w:color w:val="auto"/>
        </w:rPr>
        <w:t xml:space="preserve">To address this unmet medical need, we are developing AT-752, an oral, purine nucleotide prodrug product candidate for the treatment of dengue. AT-752 targets the inhibition of the dengue viral polymerase and, in preclinical studies, the drug candidate showed potent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activity against all dengue serotypes tested, as well as potent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antiviral activity in small animal models.</w:t>
      </w:r>
    </w:p>
    <w:p>
      <w:pPr>
        <w:spacing w:after="0" w:line="54"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We are currently conducting the global Phase 2 DEFEND-2 (</w:t>
      </w:r>
      <w:r>
        <w:rPr>
          <w:rFonts w:ascii="Arial" w:cs="Arial" w:eastAsia="Arial" w:hAnsi="Arial"/>
          <w:sz w:val="18"/>
          <w:szCs w:val="18"/>
          <w:b w:val="1"/>
          <w:bCs w:val="1"/>
          <w:u w:val="single" w:color="auto"/>
          <w:color w:val="auto"/>
        </w:rPr>
        <w:t>DE</w:t>
      </w:r>
      <w:r>
        <w:rPr>
          <w:rFonts w:ascii="Arial" w:cs="Arial" w:eastAsia="Arial" w:hAnsi="Arial"/>
          <w:sz w:val="18"/>
          <w:szCs w:val="18"/>
          <w:color w:val="auto"/>
        </w:rPr>
        <w:t xml:space="preserve">ngue </w:t>
      </w:r>
      <w:r>
        <w:rPr>
          <w:rFonts w:ascii="Arial" w:cs="Arial" w:eastAsia="Arial" w:hAnsi="Arial"/>
          <w:sz w:val="18"/>
          <w:szCs w:val="18"/>
          <w:b w:val="1"/>
          <w:bCs w:val="1"/>
          <w:u w:val="single" w:color="auto"/>
          <w:color w:val="auto"/>
        </w:rPr>
        <w:t>F</w:t>
      </w:r>
      <w:r>
        <w:rPr>
          <w:rFonts w:ascii="Arial" w:cs="Arial" w:eastAsia="Arial" w:hAnsi="Arial"/>
          <w:sz w:val="18"/>
          <w:szCs w:val="18"/>
          <w:color w:val="auto"/>
        </w:rPr>
        <w:t xml:space="preserve">ever </w:t>
      </w:r>
      <w:r>
        <w:rPr>
          <w:rFonts w:ascii="Arial" w:cs="Arial" w:eastAsia="Arial" w:hAnsi="Arial"/>
          <w:sz w:val="18"/>
          <w:szCs w:val="18"/>
          <w:b w:val="1"/>
          <w:bCs w:val="1"/>
          <w:u w:val="single" w:color="auto"/>
          <w:color w:val="auto"/>
        </w:rPr>
        <w:t>END</w:t>
      </w:r>
      <w:r>
        <w:rPr>
          <w:rFonts w:ascii="Arial" w:cs="Arial" w:eastAsia="Arial" w:hAnsi="Arial"/>
          <w:sz w:val="18"/>
          <w:szCs w:val="18"/>
          <w:color w:val="auto"/>
        </w:rPr>
        <w:t>) study of AT-752 for the treatment of dengue. The randomized, double-blind, placebo-controlled study is designed to evaluate multiple doses of AT-752 in three cohorts with each cohort consisting of 20 adult patients infected with dengue. The primary objective of the study is to evaluate antiviral activity, with change from baseline in dengue virus (DENV) viral load as the primary endpoint [DENV RNA by reverse transcription-polymerase chain reaction (RT-PCR)].</w:t>
      </w:r>
    </w:p>
    <w:p>
      <w:pPr>
        <w:spacing w:after="0" w:line="8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addition to the DEFEND-2 study, we are currently conducting a dengue human challenge trial. This trial, which is being run exclusively in the United States, is designed to evaluate the effect of AT-752 in healthy volunteers who are challenged with an attenuated DENV-1 virus strain after receiving AT-752 or placebo.</w:t>
      </w:r>
    </w:p>
    <w:p>
      <w:pPr>
        <w:spacing w:after="0" w:line="74"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The FDA has granted Fast Track Designation to AT-752 for the treatment of dengue infection. The FDA’s Fast Track Designation is designed to facilitate the potentially expedited development and review of new drugs and biologics that are intended to treat serious or life-threatening conditions and demonstrate the potential to meet unmet medical needs.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Roche collaboration</w:t>
      </w:r>
    </w:p>
    <w:p>
      <w:pPr>
        <w:spacing w:after="0" w:line="10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In October 2020, we entered into a License Agreement (the “Roche License Agreement”) with F. Hoffmann-LaRoche Ltd. and Genentech, Inc. (together, “Roche”) under which we granted an exclusive license for certain development and commercialization rights related to bemnifosbuvir outside of the United States (other than for certain HCV uses) to Roche. As partial consideration, Roche paid us an upfront payment of $350.0 million which was received in November 2020. Additionally, upon realization of a development milestone in June 2021, we received an additional $50.0 million from Roche.</w:t>
      </w:r>
    </w:p>
    <w:p>
      <w:pPr>
        <w:spacing w:after="0" w:line="69"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In November 2021, we received notice from Roche that they had elected to terminate the Roche License Agreement in its entirety on a worldwide basis including Japan, with an effective date of February 10, 2022.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0" w:name="page21"/>
    <w:bookmarkEnd w:id="20"/>
    <w:p>
      <w:pPr>
        <w:ind w:right="180"/>
        <w:spacing w:after="0" w:line="251" w:lineRule="auto"/>
        <w:rPr>
          <w:sz w:val="20"/>
          <w:szCs w:val="20"/>
          <w:color w:val="auto"/>
        </w:rPr>
      </w:pPr>
      <w:r>
        <w:rPr>
          <w:rFonts w:ascii="Arial" w:cs="Arial" w:eastAsia="Arial" w:hAnsi="Arial"/>
          <w:sz w:val="18"/>
          <w:szCs w:val="18"/>
          <w:color w:val="auto"/>
        </w:rPr>
        <w:t>December 2021, we delivered to Roche notice that we intended to continue the development of bemnifosbuvir and we have been working with Roche to effect an orderly wind down of activities in accordance with the terms of the Roche License Agreement. The obligations of Roche to equally share the costs associated with development activities terminated on February 10, 2022. We are now responsible for, and alone will bear the costs associated with the development of bemnifosbuvir. Additionally, we remain liable to Roche for certain expenses associated with transition related activities occurring after the effective date of the termination of the Roche License Agreement.</w:t>
      </w:r>
    </w:p>
    <w:p>
      <w:pPr>
        <w:spacing w:after="0" w:line="65"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As a result of the termination of the Roche License Agreement, we have regained worldwide exclusive rights from Roche to research, develop, manufacture and commercialize bemnifosbuvir in all fields of use.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0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As of September 30, 2022, we had cash, cash equivalents and marketable securities of $665.0 million. Net cash used in operating activities was $99.4 million for the nine months ended September 30, 2022.</w:t>
      </w:r>
    </w:p>
    <w:p>
      <w:pPr>
        <w:spacing w:after="0" w:line="46"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We expect that our net cash used in operating activities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we may incur additional costs as we continue to operate as a public company. We believe that our available cash and cash equivalents will be sufficient to fund our planned operations through at least 2025.</w:t>
      </w:r>
    </w:p>
    <w:p>
      <w:pPr>
        <w:spacing w:after="0" w:line="6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do not have any products approved for sale and have not generated any product revenue since inception. We do not anticipate generating any revenue from product sales for the foreseeable future. 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6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plan to continue to use third-party service providers, including contract research organizations (“CROs”) and contract manufacturing organizations (“CMOs”), to carry out our preclinical and clinical development and to manufacture and supply the materials to be used during the development and commercialization of our product candidates.</w:t>
      </w:r>
    </w:p>
    <w:p>
      <w:pPr>
        <w:spacing w:after="0" w:line="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we continue to advance our programs, we expect to incur significantly higher expenses over the next several years. We anticipate that our expenses will increase significantly in connection with our ongoing activities, as we:</w:t>
      </w:r>
    </w:p>
    <w:p>
      <w:pPr>
        <w:spacing w:after="0" w:line="59"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continue clinical development of bemnifosbuvir for the treatment of COVID-19;</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continue clinical development of AT-752 for the treatment of dengue;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initiate clinical development of bemnifosbuvir and ruzasvir for the treatment of HCV;</w:t>
      </w:r>
    </w:p>
    <w:p>
      <w:pPr>
        <w:spacing w:after="0" w:line="116" w:lineRule="exact"/>
        <w:rPr>
          <w:rFonts w:ascii="Times New Roman" w:cs="Times New Roman" w:eastAsia="Times New Roman" w:hAnsi="Times New Roman"/>
          <w:sz w:val="18"/>
          <w:szCs w:val="18"/>
          <w:color w:val="auto"/>
        </w:rPr>
      </w:pPr>
    </w:p>
    <w:p>
      <w:pPr>
        <w:ind w:left="1020" w:right="64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continue discovery and IND-enabling activities in anticipation of nominating a protease inhibitor product candidate for the treatment of COVID-19;</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initiate clinical development of bemnifosbuvir in combination with a protease inhibitor for the treatment of COVID-19;</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continue discovery and IND-enabling activities in anticipation of a nominating a product candidate for the treatment of RSV;</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hire additional research, development and administrative personnel;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commercialization capabilities if we are successful in developing our product candidates.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date, we have not generated any revenue from product sales. Our revenue has been collaboration revenue solely derived from the Roche License Agreement, which was terminated in February 2022. If our development efforts for our product candidates are successful and result in commercialization, we may generate additional revenue in the future from a combination of product sales or payments from collaboration or license agreements that we may enter into with third parties.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Substantially all of our research and development expenses consist of expenses incurred in connection with the development of our product candidates. These expenses include fees paid to third parties, including CROs and CMOs, to conduct certain research and development activities on our behalf, consulting costs, certain payroll and personnel-related expenses, including salaries and bonuses, employee benefit costs and stock-based compensation expenses for our research and product development employees and allocated overhead, including rent, equipment, depreciation, information technology costs and utilities attributable to research and development personnel. We expense both internal and external research and development expenses as they are incurred. In circumstances where amounts have been paid in advance or in excess of costs incurred, we record a prepaid expense, which is expensed as services are performed or goods are delivered.</w:t>
      </w:r>
    </w:p>
    <w:p>
      <w:pPr>
        <w:spacing w:after="0" w:line="6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 significant portion of our research and development costs have been external costs, which we track by therapeutic area. Our internal research and development costs are primarily personnel-related costs, including stock-based compensation, facility costs, including depreciation and lab consumables. We have not historically tracked our internal research and development expenses by therapeutic area as they are deployed across multiple programs.</w:t>
      </w:r>
    </w:p>
    <w:p>
      <w:pPr>
        <w:spacing w:after="0" w:line="6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As discussed in Note 3 to our unaudited condensed consolidated financial statements, during the term of the Roche License Agreement which terminated in February 2022, we and Roche shared certain manufacturing and clinical development costs on a 50/50 basis. Billings to us by Roche for our percentage share of such expenses were recorded in research and development expenses. These costs represented a material portion of our total expenses through March 31, 2022. During the three months ended September 30, 2022, we recorded a reduction to research and development expenses of $14.5 million related to a credit received from Roche. The credit recorded was the result of changes in estimated amounts originally reported by Roche and subsequently adjusted following the close out of certain activities conducted by Roche during the period in which we and Roche shared costs.</w:t>
      </w:r>
    </w:p>
    <w:p>
      <w:pPr>
        <w:spacing w:after="0" w:line="6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following table summarizes our external research and development expenses by indication and internal research and development expenses: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584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2320" w:type="dxa"/>
            <w:vAlign w:val="bottom"/>
            <w:gridSpan w:val="3"/>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2280" w:type="dxa"/>
            <w:vAlign w:val="bottom"/>
            <w:gridSpan w:val="3"/>
            <w:shd w:val="clear" w:color="auto" w:fill="000000"/>
          </w:tcPr>
          <w:p>
            <w:pPr>
              <w:spacing w:after="0"/>
              <w:rPr>
                <w:sz w:val="5"/>
                <w:szCs w:val="5"/>
                <w:color w:val="auto"/>
              </w:rPr>
            </w:pPr>
          </w:p>
        </w:tc>
      </w:tr>
      <w:tr>
        <w:trPr>
          <w:trHeight w:val="170"/>
        </w:trPr>
        <w:tc>
          <w:tcPr>
            <w:tcW w:w="5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3"/>
          </w:tcPr>
          <w:p>
            <w:pPr>
              <w:jc w:val="right"/>
              <w:ind w:right="30"/>
              <w:spacing w:after="0" w:line="170"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3"/>
          </w:tcPr>
          <w:p>
            <w:pPr>
              <w:jc w:val="right"/>
              <w:ind w:right="30"/>
              <w:spacing w:after="0" w:line="170" w:lineRule="exact"/>
              <w:rPr>
                <w:sz w:val="20"/>
                <w:szCs w:val="20"/>
                <w:color w:val="auto"/>
              </w:rPr>
            </w:pPr>
            <w:r>
              <w:rPr>
                <w:rFonts w:ascii="Arial" w:cs="Arial" w:eastAsia="Arial" w:hAnsi="Arial"/>
                <w:sz w:val="18"/>
                <w:szCs w:val="18"/>
                <w:b w:val="1"/>
                <w:bCs w:val="1"/>
                <w:color w:val="auto"/>
              </w:rPr>
              <w:t>Nine Months Ended</w:t>
            </w:r>
          </w:p>
        </w:tc>
      </w:tr>
      <w:tr>
        <w:trPr>
          <w:trHeight w:val="235"/>
        </w:trPr>
        <w:tc>
          <w:tcPr>
            <w:tcW w:w="5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10"/>
        </w:trPr>
        <w:tc>
          <w:tcPr>
            <w:tcW w:w="5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COVID-19 external costs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(10,243)</w:t>
            </w:r>
          </w:p>
        </w:tc>
        <w:tc>
          <w:tcPr>
            <w:tcW w:w="68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28,515</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4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75,469</w:t>
            </w: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Dengue external costs</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2,577</w:t>
            </w:r>
          </w:p>
        </w:tc>
        <w:tc>
          <w:tcPr>
            <w:tcW w:w="6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3,214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8,440</w:t>
            </w:r>
          </w:p>
        </w:tc>
        <w:tc>
          <w:tcPr>
            <w:tcW w:w="4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6,806</w:t>
            </w:r>
          </w:p>
        </w:tc>
      </w:tr>
      <w:tr>
        <w:trPr>
          <w:trHeight w:val="21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HCV external costs</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963</w:t>
            </w: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1,338</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4,700</w:t>
            </w: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1,378</w:t>
            </w: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RSV external costs</w:t>
            </w:r>
          </w:p>
        </w:tc>
        <w:tc>
          <w:tcPr>
            <w:tcW w:w="3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588</w:t>
            </w:r>
          </w:p>
        </w:tc>
        <w:tc>
          <w:tcPr>
            <w:tcW w:w="6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1,654</w:t>
            </w:r>
          </w:p>
        </w:tc>
        <w:tc>
          <w:tcPr>
            <w:tcW w:w="4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1,552</w:t>
            </w:r>
          </w:p>
        </w:tc>
      </w:tr>
      <w:tr>
        <w:trPr>
          <w:trHeight w:val="21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Internal research and development costs</w:t>
            </w: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11,020</w:t>
            </w:r>
          </w:p>
        </w:tc>
        <w:tc>
          <w:tcPr>
            <w:tcW w:w="6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9,343</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32,878</w:t>
            </w:r>
          </w:p>
        </w:tc>
        <w:tc>
          <w:tcPr>
            <w:tcW w:w="4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24,189</w:t>
            </w:r>
          </w:p>
        </w:tc>
      </w:tr>
      <w:tr>
        <w:trPr>
          <w:trHeight w:val="210"/>
        </w:trPr>
        <w:tc>
          <w:tcPr>
            <w:tcW w:w="5840" w:type="dxa"/>
            <w:vAlign w:val="bottom"/>
          </w:tcPr>
          <w:p>
            <w:pPr>
              <w:ind w:left="20"/>
              <w:spacing w:after="0"/>
              <w:rPr>
                <w:sz w:val="20"/>
                <w:szCs w:val="20"/>
                <w:color w:val="auto"/>
              </w:rPr>
            </w:pPr>
            <w:r>
              <w:rPr>
                <w:rFonts w:ascii="Arial" w:cs="Arial" w:eastAsia="Arial" w:hAnsi="Arial"/>
                <w:sz w:val="18"/>
                <w:szCs w:val="18"/>
                <w:color w:val="auto"/>
              </w:rPr>
              <w:t>Total research and development costs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4,905</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43,019</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54,396</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109,394</w:t>
            </w:r>
          </w:p>
        </w:tc>
      </w:tr>
      <w:tr>
        <w:trPr>
          <w:trHeight w:val="68"/>
        </w:trPr>
        <w:tc>
          <w:tcPr>
            <w:tcW w:w="584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-187960</wp:posOffset>
            </wp:positionV>
            <wp:extent cx="9398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6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are focusing substantially all of our resources on the development of our product candidates, particularly bemnifosbuvir. We expect our research and development expenses to increase substantially for at least the next few years, as we seek to initiate additional clinical trials for our product candidates, complete our clinical programs, pursue regulatory approval of our product candidates and prepare for the possible commercialization of these product candidates. Predicting the timing or cost to complete our clinical programs or validation of our commercial manufacturing and supply processes is difficult and delays may occur because of many factors, including factors outside of our control. For example, if the FDA or other regulatory authorities were to require us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2" w:name="page23"/>
    <w:bookmarkEnd w:id="22"/>
    <w:p>
      <w:pPr>
        <w:ind w:right="220"/>
        <w:spacing w:after="0" w:line="261" w:lineRule="auto"/>
        <w:rPr>
          <w:sz w:val="20"/>
          <w:szCs w:val="20"/>
          <w:color w:val="auto"/>
        </w:rPr>
      </w:pPr>
      <w:r>
        <w:rPr>
          <w:rFonts w:ascii="Arial" w:cs="Arial" w:eastAsia="Arial" w:hAnsi="Arial"/>
          <w:sz w:val="18"/>
          <w:szCs w:val="18"/>
          <w:color w:val="auto"/>
        </w:rPr>
        <w:t>to conduct clinical trials beyond those that we currently anticipate, we could be required to expend significant additional financial resources and time on the completion of clinical development. Furthermore, we are unable to predict when or if our product candidates will receive regulatory approval with any certainty.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salaries and bonuses, benefits and stock-based compensation expenses, professional fees for legal, consulting, accounting and tax services, allocated overhead, including rent, equipment, depreciation, information technology costs and utilities, and other general operating expenses not otherwise classified as research and development expenses.</w:t>
      </w:r>
    </w:p>
    <w:p>
      <w:pPr>
        <w:spacing w:after="0" w:line="6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anticipate that our general and administrative expenses may increase as a result of increased personnel costs, expanded infrastructure, increased consulting, legal and accounting services costs associated with complying with Nasdaq and SEC requirements and increased investor relations costs as the company continues to grow.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and other, net, consists primarily of interest income earned on our cash, cash equivalents and marketable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664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600" w:type="dxa"/>
            <w:vAlign w:val="bottom"/>
            <w:gridSpan w:val="3"/>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gridSpan w:val="3"/>
          </w:tcPr>
          <w:p>
            <w:pPr>
              <w:jc w:val="right"/>
              <w:ind w:right="30"/>
              <w:spacing w:after="0" w:line="170" w:lineRule="exact"/>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6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540" w:type="dxa"/>
            <w:vAlign w:val="bottom"/>
          </w:tcPr>
          <w:p>
            <w:pPr>
              <w:spacing w:after="0"/>
              <w:rPr>
                <w:sz w:val="20"/>
                <w:szCs w:val="20"/>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32,811</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(32,811)</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4,905</w:t>
            </w: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43,019</w:t>
            </w: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(38,114)</w:t>
            </w:r>
          </w:p>
        </w:tc>
        <w:tc>
          <w:tcPr>
            <w:tcW w:w="0" w:type="dxa"/>
            <w:vAlign w:val="bottom"/>
          </w:tcPr>
          <w:p>
            <w:pPr>
              <w:spacing w:after="0"/>
              <w:rPr>
                <w:sz w:val="1"/>
                <w:szCs w:val="1"/>
                <w:color w:val="auto"/>
              </w:rPr>
            </w:pPr>
          </w:p>
        </w:tc>
      </w:tr>
      <w:tr>
        <w:trPr>
          <w:trHeight w:val="216"/>
        </w:trPr>
        <w:tc>
          <w:tcPr>
            <w:tcW w:w="66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11,376</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11,939</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16,281</w:t>
            </w:r>
          </w:p>
        </w:tc>
        <w:tc>
          <w:tcPr>
            <w:tcW w:w="5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54,958</w:t>
            </w: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(38,677)</w:t>
            </w: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4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(16,281)</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(22,147)</w:t>
            </w:r>
          </w:p>
        </w:tc>
        <w:tc>
          <w:tcPr>
            <w:tcW w:w="5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income and other, net</w:t>
            </w: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4,382</w:t>
            </w:r>
          </w:p>
        </w:tc>
        <w:tc>
          <w:tcPr>
            <w:tcW w:w="5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(11,899)</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(22,094)</w:t>
            </w:r>
          </w:p>
        </w:tc>
        <w:tc>
          <w:tcPr>
            <w:tcW w:w="5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Income tax benefit (expense)</w:t>
            </w: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3,833</w:t>
            </w:r>
          </w:p>
        </w:tc>
        <w:tc>
          <w:tcPr>
            <w:tcW w:w="5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(6,100)</w:t>
            </w: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9,933</w:t>
            </w: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8"/>
                <w:szCs w:val="18"/>
                <w:color w:val="auto"/>
              </w:rPr>
              <w:t>Net income (loss) and comprehensive income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(8,066)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(28,194)</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20,128</w:t>
            </w:r>
          </w:p>
        </w:tc>
        <w:tc>
          <w:tcPr>
            <w:tcW w:w="0" w:type="dxa"/>
            <w:vAlign w:val="bottom"/>
          </w:tcPr>
          <w:p>
            <w:pPr>
              <w:spacing w:after="0"/>
              <w:rPr>
                <w:sz w:val="1"/>
                <w:szCs w:val="1"/>
                <w:color w:val="auto"/>
              </w:rPr>
            </w:pPr>
          </w:p>
        </w:tc>
      </w:tr>
      <w:tr>
        <w:trPr>
          <w:trHeight w:val="68"/>
        </w:trPr>
        <w:tc>
          <w:tcPr>
            <w:tcW w:w="664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Collaboration revenue for the three months ended September 30, 2021 was derived from the Roche License Agreement that was executed in October 2020 and terminated in February 2022. As discussed in Note 3 to our unaudited condensed consolidated financial statements included elsewhere in this Quarterly Report on Form 10-Q, following receipt in November 2021 of the notice from Roche terminating the agreement, we recognized all remaining revenue in 2021. We had no collaboration revenue for the three months ended September 30,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Research and development expenses decreased by $38.1 million from $43.0 million for the three months ended September 30, 2021 to $4.9 million for the three months ended September 30, 2022. Research and development expenses primarily consists of external expenses incurred related to services provided by the CROs and CMOs in conjunction with the advancement of product candidates. Research and development expenses recorded for the Roche cost share agreement for the three months ended September 30, 2021 were $25.3 million compared to a credit of $14.5 million recorded for the three months ended September 30, 2022. Partially offsetting the decrease in research and development expenses was an increase of $1.7 million related to salaries and bonuses, benefits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3" w:name="page24"/>
    <w:bookmarkEnd w:id="23"/>
    <w:p>
      <w:pPr>
        <w:ind w:right="820"/>
        <w:spacing w:after="0" w:line="256" w:lineRule="auto"/>
        <w:rPr>
          <w:sz w:val="20"/>
          <w:szCs w:val="20"/>
          <w:color w:val="auto"/>
        </w:rPr>
      </w:pPr>
      <w:r>
        <w:rPr>
          <w:rFonts w:ascii="Arial" w:cs="Arial" w:eastAsia="Arial" w:hAnsi="Arial"/>
          <w:sz w:val="18"/>
          <w:szCs w:val="18"/>
          <w:color w:val="auto"/>
        </w:rPr>
        <w:t>and stock-based compensation expense for our research and development employees and consulting fees and other research and development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General and administrative expenses remained relatively consistent at approximately $11.9 million for the three months ended September 30, 2021 and $11.4 million for the three months ended September 30,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1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Interest income and other, net, increased by $4.4 million from less than $0.1 million for the three months ended September 30, 2021 to $4.4 million during the three months ended September 30, 2022. The increase was primarily a result of investing in higher yield marketable securities and higher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02"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We recorded a net benefit for income taxes of $3.8 million for the three months ended September 30, 2022 compared to a provision for income taxes of $6.1 million for the three months ended September 30, 2021. The net benefit recorded for the three months ended September 30, 2022 was primarily the result of changes in estimates between our original provision for 2021 income taxes and the actual amounts reflected in the income tax returns as filed. For the three months ended September 30, 2021, we recorded income tax expense related to pre-tax income earned primarily due to amounts received from the Roche License Agreement.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664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2620" w:type="dxa"/>
            <w:vAlign w:val="bottom"/>
            <w:gridSpan w:val="3"/>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20" w:type="dxa"/>
            <w:vAlign w:val="bottom"/>
            <w:gridSpan w:val="3"/>
          </w:tcPr>
          <w:p>
            <w:pPr>
              <w:jc w:val="right"/>
              <w:ind w:right="30"/>
              <w:spacing w:after="0" w:line="170" w:lineRule="exact"/>
              <w:rPr>
                <w:sz w:val="20"/>
                <w:szCs w:val="20"/>
                <w:color w:val="auto"/>
              </w:rPr>
            </w:pPr>
            <w:r>
              <w:rPr>
                <w:rFonts w:ascii="Arial" w:cs="Arial" w:eastAsia="Arial" w:hAnsi="Arial"/>
                <w:sz w:val="18"/>
                <w:szCs w:val="18"/>
                <w:b w:val="1"/>
                <w:bCs w:val="1"/>
                <w:color w:val="auto"/>
              </w:rPr>
              <w:t>Nine Months Ended</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6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520" w:type="dxa"/>
            <w:vAlign w:val="bottom"/>
          </w:tcPr>
          <w:p>
            <w:pPr>
              <w:spacing w:after="0"/>
              <w:rPr>
                <w:sz w:val="20"/>
                <w:szCs w:val="20"/>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 thousands)</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159,187</w:t>
            </w:r>
          </w:p>
        </w:tc>
        <w:tc>
          <w:tcPr>
            <w:tcW w:w="5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(159,187)</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54,396</w:t>
            </w:r>
          </w:p>
        </w:tc>
        <w:tc>
          <w:tcPr>
            <w:tcW w:w="4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109,394</w:t>
            </w: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(54,998)</w:t>
            </w:r>
          </w:p>
        </w:tc>
        <w:tc>
          <w:tcPr>
            <w:tcW w:w="0" w:type="dxa"/>
            <w:vAlign w:val="bottom"/>
          </w:tcPr>
          <w:p>
            <w:pPr>
              <w:spacing w:after="0"/>
              <w:rPr>
                <w:sz w:val="1"/>
                <w:szCs w:val="1"/>
                <w:color w:val="auto"/>
              </w:rPr>
            </w:pPr>
          </w:p>
        </w:tc>
      </w:tr>
      <w:tr>
        <w:trPr>
          <w:trHeight w:val="216"/>
        </w:trPr>
        <w:tc>
          <w:tcPr>
            <w:tcW w:w="66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36,355</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32,597</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90,751</w:t>
            </w:r>
          </w:p>
        </w:tc>
        <w:tc>
          <w:tcPr>
            <w:tcW w:w="4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141,991</w:t>
            </w:r>
          </w:p>
        </w:tc>
        <w:tc>
          <w:tcPr>
            <w:tcW w:w="5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(51,240)</w:t>
            </w: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4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(90,751)</w:t>
            </w:r>
          </w:p>
        </w:tc>
        <w:tc>
          <w:tcPr>
            <w:tcW w:w="4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17,196</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(107,947)</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income and other, net</w:t>
            </w:r>
          </w:p>
        </w:tc>
        <w:tc>
          <w:tcPr>
            <w:tcW w:w="4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5,560</w:t>
            </w:r>
          </w:p>
        </w:tc>
        <w:tc>
          <w:tcPr>
            <w:tcW w:w="4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162</w:t>
            </w:r>
          </w:p>
        </w:tc>
        <w:tc>
          <w:tcPr>
            <w:tcW w:w="5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(85,191)</w:t>
            </w:r>
          </w:p>
        </w:tc>
        <w:tc>
          <w:tcPr>
            <w:tcW w:w="4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17,358</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(102,549)</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Income tax benefit (expense)</w:t>
            </w:r>
          </w:p>
        </w:tc>
        <w:tc>
          <w:tcPr>
            <w:tcW w:w="4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3,713</w:t>
            </w:r>
          </w:p>
        </w:tc>
        <w:tc>
          <w:tcPr>
            <w:tcW w:w="4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(13,300)</w:t>
            </w:r>
          </w:p>
        </w:tc>
        <w:tc>
          <w:tcPr>
            <w:tcW w:w="5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17,013</w:t>
            </w: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Arial" w:cs="Arial" w:eastAsia="Arial" w:hAnsi="Arial"/>
                <w:sz w:val="18"/>
                <w:szCs w:val="18"/>
                <w:color w:val="auto"/>
              </w:rPr>
              <w:t>Net income (loss) and comprehensive income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(81,478)</w:t>
            </w: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4,058</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(85,536)</w:t>
            </w:r>
          </w:p>
        </w:tc>
        <w:tc>
          <w:tcPr>
            <w:tcW w:w="0" w:type="dxa"/>
            <w:vAlign w:val="bottom"/>
          </w:tcPr>
          <w:p>
            <w:pPr>
              <w:spacing w:after="0"/>
              <w:rPr>
                <w:sz w:val="1"/>
                <w:szCs w:val="1"/>
                <w:color w:val="auto"/>
              </w:rPr>
            </w:pPr>
          </w:p>
        </w:tc>
      </w:tr>
      <w:tr>
        <w:trPr>
          <w:trHeight w:val="68"/>
        </w:trPr>
        <w:tc>
          <w:tcPr>
            <w:tcW w:w="664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02" w:lineRule="exact"/>
        <w:rPr>
          <w:sz w:val="20"/>
          <w:szCs w:val="20"/>
          <w:color w:val="auto"/>
        </w:rPr>
      </w:pPr>
    </w:p>
    <w:p>
      <w:pPr>
        <w:ind w:right="40" w:firstLine="27"/>
        <w:spacing w:after="0" w:line="247" w:lineRule="auto"/>
        <w:rPr>
          <w:sz w:val="20"/>
          <w:szCs w:val="20"/>
          <w:color w:val="auto"/>
        </w:rPr>
      </w:pPr>
      <w:r>
        <w:rPr>
          <w:rFonts w:ascii="Arial" w:cs="Arial" w:eastAsia="Arial" w:hAnsi="Arial"/>
          <w:sz w:val="18"/>
          <w:szCs w:val="18"/>
          <w:color w:val="auto"/>
        </w:rPr>
        <w:t>Collaboration revenue for the nine months ended September 30, 2021 was derived from the Roche License Agreement that was executed in October 2020 and terminated in February 2022. As discussed in Note 3 to our unaudited condensed consolidated financial statements included elsewhere in this Quarterly Report on Form 10-Q, following receipt in November 2021 of the notice from Roche terminating the agreement, the Company recognized all remaining revenue in 2021. We had no collaboration revenue for the nine months ended September 30,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Research and development expenses decreased by $55.0 million from $109.4 million for the nine months ended September 30, 2021 to $54.4 million for the nine months ended September 30, 2022. Research and development expense primarily consists of external expenses incurred related to services provided by the CROs and CMOs in conjunction with the advancement of product candidates. Research and development expenses decreased from the nine months ended September 30, 2021 to the nine months ended September 30, 2022 primarily due to a reduction in the amount of $68.0 million related to our share of costs incurred by Roche including a credit of $14.5 million for the nine months ended September 30, 2022. This reduction was offset by a $5.0 million increase related to costs associated with dengue and HCV development activities. Partially offsetting the decrease 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4" w:name="page25"/>
    <w:bookmarkEnd w:id="24"/>
    <w:p>
      <w:pPr>
        <w:spacing w:after="0" w:line="237" w:lineRule="auto"/>
        <w:rPr>
          <w:sz w:val="20"/>
          <w:szCs w:val="20"/>
          <w:color w:val="auto"/>
        </w:rPr>
      </w:pPr>
      <w:r>
        <w:rPr>
          <w:rFonts w:ascii="Arial" w:cs="Arial" w:eastAsia="Arial" w:hAnsi="Arial"/>
          <w:sz w:val="18"/>
          <w:szCs w:val="18"/>
          <w:color w:val="auto"/>
        </w:rPr>
        <w:t>external research and development expenses was an increase of $8.7 million related to internal expenses, including $3.9 million related to salaries, bonuses, benefits, $3.6 million related to stock-based compensation expense for our research and product development employees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$1.2 million related to consulting fees and other research and development expenses.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General and administrative expenses increased by $3.8 million from $32.6 million for the nine months ended September 30, 2021 to $36.4 million for the nine months ended September 30, 2022. The increase in general and administrative expenses was primarily due to an increase in payroll and personnel-related expenses of $3.8 million, including salaries, bonuses, benefits and stock-based compensation expense. In addition, there was an increase of $0.4 million for other general and administrative expenses.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Interest income and other, net, increased by $5.4 million from $0.1 million during the nine months ended September 30, 2021 to $5.5 million for the nine months ended September 30, 2022 primarily as a result of investing in higher yield marketable securities and higher interest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5"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We recorded a net benefit for income taxes of $3.7 million for the nine months ended September 30, 2022 compared to a provision for income taxes of $13.3 million for the nine months ended September 30, 2021. The net benefit recorded for the nine months ended September 30, 2022 was primarily the result of changes in estimates between our original provision for 2021 income taxes and the actual amounts reflected in the income tax returns as filed. For the nine months ended September 30, 2021, we recorded income tax expense related to pre-tax income earned primarily due to amounts received from the Roche License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of September 30, 2022, we had cash, cash equivalents and marketable securities of $665.0 million. Based upon our current operating plan, we believe that our available cash, cash equivalents and marketable securities will be sufficient to fund our planned operations through at least 2025.</w:t>
      </w:r>
    </w:p>
    <w:p>
      <w:pPr>
        <w:spacing w:after="0" w:line="5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entered into an open market sales agreement, or the Sales Agreement, with Jeffries, LLC, or Jeffries, in 2021 pursuant to which we may from time to time offer and sell shares of our common stock for an aggregate offering price of up to $ 200.0 million, through or to Jeffries, acting as sales agent or principal. We have agreed to pay Jeffries a commission of up to 3.0% of the aggregate gross proceeds from each sale of shares, reimburse legal fees and disbursements and provide Jeffries with customary indemnification and contribution rights. As of September 30, 2022, no shares have been issued under the Sales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and we do not know when, or if, this will occur. We expect to continue to incur increased expenditures for the foreseeable future, and we expect our expenses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may incur additional general and administrative costs as we continue to operate as a public company.</w:t>
      </w:r>
    </w:p>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will continue to require additional capital to develop our product candidates and fund operations for the foreseeable future. We may seek to raise capital through public or private equity or debt financings, collaborative or other arrangements with corporate sources, or through other sources of financing. We anticipate that we may need to raise substantial additional capital, the requirements for which will depend on many factors, including:</w:t>
      </w:r>
    </w:p>
    <w:p>
      <w:pPr>
        <w:spacing w:after="0" w:line="62" w:lineRule="exact"/>
        <w:rPr>
          <w:sz w:val="20"/>
          <w:szCs w:val="20"/>
          <w:color w:val="auto"/>
        </w:rPr>
      </w:pPr>
    </w:p>
    <w:p>
      <w:pPr>
        <w:ind w:left="1260" w:right="500" w:hanging="368"/>
        <w:spacing w:after="0" w:line="286" w:lineRule="auto"/>
        <w:tabs>
          <w:tab w:leader="none" w:pos="12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rate of progress and costs of our drug discovery efforts, preclinical development activities, laboratory testing and clinical trials for our product candidates;</w:t>
      </w:r>
    </w:p>
    <w:p>
      <w:pPr>
        <w:spacing w:after="0" w:line="32"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scope of clinical programs we decide to pursue;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25" w:name="page26"/>
    <w:bookmarkEnd w:id="25"/>
    <w:p>
      <w:pPr>
        <w:ind w:left="1260" w:hanging="368"/>
        <w:spacing w:after="0"/>
        <w:tabs>
          <w:tab w:leader="none" w:pos="12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timing and outcome of preparing for and undergoing regulatory review of our product candidates;</w:t>
      </w:r>
    </w:p>
    <w:p>
      <w:pPr>
        <w:spacing w:after="0" w:line="11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and costs of development and commercial manufacturing activities;</w:t>
      </w:r>
    </w:p>
    <w:p>
      <w:pPr>
        <w:spacing w:after="0" w:line="102"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02"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6" w:lineRule="exact"/>
        <w:rPr>
          <w:rFonts w:ascii="Times New Roman" w:cs="Times New Roman" w:eastAsia="Times New Roman" w:hAnsi="Times New Roman"/>
          <w:sz w:val="18"/>
          <w:szCs w:val="18"/>
          <w:color w:val="auto"/>
        </w:rPr>
      </w:pPr>
    </w:p>
    <w:p>
      <w:pPr>
        <w:ind w:left="1260" w:right="300" w:hanging="368"/>
        <w:spacing w:after="0" w:line="270" w:lineRule="auto"/>
        <w:tabs>
          <w:tab w:leader="none" w:pos="12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4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6" w:lineRule="exact"/>
        <w:rPr>
          <w:rFonts w:ascii="Times New Roman" w:cs="Times New Roman" w:eastAsia="Times New Roman" w:hAnsi="Times New Roman"/>
          <w:sz w:val="18"/>
          <w:szCs w:val="18"/>
          <w:color w:val="auto"/>
        </w:rPr>
      </w:pPr>
    </w:p>
    <w:p>
      <w:pPr>
        <w:ind w:left="1260" w:right="80" w:hanging="368"/>
        <w:spacing w:after="0" w:line="300" w:lineRule="auto"/>
        <w:tabs>
          <w:tab w:leader="none" w:pos="126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our efforts to enhance operational systems and our ability to attract, hire and retain qualified personnel, including personnel to support the development of our product candidates and, ultimately, the sale of our products, following regulatory approval;</w:t>
      </w:r>
    </w:p>
    <w:p>
      <w:pPr>
        <w:spacing w:after="0" w:line="23" w:lineRule="exact"/>
        <w:rPr>
          <w:rFonts w:ascii="Times New Roman" w:cs="Times New Roman" w:eastAsia="Times New Roman" w:hAnsi="Times New Roman"/>
          <w:sz w:val="17"/>
          <w:szCs w:val="17"/>
          <w:color w:val="auto"/>
        </w:rPr>
      </w:pPr>
    </w:p>
    <w:p>
      <w:pPr>
        <w:ind w:left="1260" w:hanging="368"/>
        <w:spacing w:after="0"/>
        <w:tabs>
          <w:tab w:leader="none" w:pos="12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implementation of operational, financial and management systems; and</w:t>
      </w:r>
    </w:p>
    <w:p>
      <w:pPr>
        <w:spacing w:after="0" w:line="102"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being a public company.</w:t>
      </w:r>
    </w:p>
    <w:p>
      <w:pPr>
        <w:spacing w:after="0" w:line="11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7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Adequate funding may not be available to us on acceptable terms or at all. Our failure to raise capital as and when needed could have a negative impact on our financial condition and our ability to pursue our business strategies. If we are unable to raise additional funds when needed, we may be required to delay, reduce, or terminate some or all of our development programs and clinical trials or we may also be required to sell or license to others rights to our product candidates in certain territories or indications that we would prefer to develop and commercialize ourselves.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spacing w:after="0" w:line="6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Market volatility, inflation, interest rate fluctuations and concerns related to the COVID-19 pandemic and geopolitical events, including civil or political unrest (such as the ongoing conflict between Ukraine and Russia), may have a significant impact on the availability of funding sources and the terms on which any funding may be available.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1A,“Risk Factors” for additional risks associated with our substantial capital requirements.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table sets forth the primary sources and uses of cash, cash equivalents, and restricted cash for each of the periods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77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840" w:type="dxa"/>
            <w:vAlign w:val="bottom"/>
            <w:gridSpan w:val="2"/>
            <w:shd w:val="clear" w:color="auto" w:fill="000000"/>
          </w:tcPr>
          <w:p>
            <w:pPr>
              <w:spacing w:after="0"/>
              <w:rPr>
                <w:sz w:val="5"/>
                <w:szCs w:val="5"/>
                <w:color w:val="auto"/>
              </w:rPr>
            </w:pPr>
          </w:p>
        </w:tc>
      </w:tr>
      <w:tr>
        <w:trPr>
          <w:trHeight w:val="170"/>
        </w:trPr>
        <w:tc>
          <w:tcPr>
            <w:tcW w:w="7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40" w:type="dxa"/>
            <w:vAlign w:val="bottom"/>
            <w:gridSpan w:val="2"/>
          </w:tcPr>
          <w:p>
            <w:pPr>
              <w:jc w:val="right"/>
              <w:ind w:right="30"/>
              <w:spacing w:after="0" w:line="170" w:lineRule="exact"/>
              <w:rPr>
                <w:sz w:val="20"/>
                <w:szCs w:val="20"/>
                <w:color w:val="auto"/>
              </w:rPr>
            </w:pPr>
            <w:r>
              <w:rPr>
                <w:rFonts w:ascii="Arial" w:cs="Arial" w:eastAsia="Arial" w:hAnsi="Arial"/>
                <w:sz w:val="18"/>
                <w:szCs w:val="18"/>
                <w:b w:val="1"/>
                <w:bCs w:val="1"/>
                <w:color w:val="auto"/>
              </w:rPr>
              <w:t>Nine Months Ended</w:t>
            </w:r>
          </w:p>
        </w:tc>
      </w:tr>
      <w:tr>
        <w:trPr>
          <w:trHeight w:val="235"/>
        </w:trPr>
        <w:tc>
          <w:tcPr>
            <w:tcW w:w="77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77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10"/>
        </w:trPr>
        <w:tc>
          <w:tcPr>
            <w:tcW w:w="7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40" w:type="dxa"/>
            <w:vAlign w:val="bottom"/>
            <w:gridSpan w:val="3"/>
          </w:tcPr>
          <w:p>
            <w:pPr>
              <w:jc w:val="right"/>
              <w:ind w:right="109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(99,437)</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(11,582)</w:t>
            </w:r>
          </w:p>
        </w:tc>
      </w:tr>
      <w:tr>
        <w:trPr>
          <w:trHeight w:val="216"/>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Investing activities</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(488,898)</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370</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1,323</w:t>
            </w: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(587,965)</w:t>
            </w: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(10,259)</w:t>
            </w:r>
          </w:p>
        </w:tc>
      </w:tr>
      <w:tr>
        <w:trPr>
          <w:trHeight w:val="68"/>
        </w:trPr>
        <w:tc>
          <w:tcPr>
            <w:tcW w:w="77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cash used in operating activities for the nine months ended 30, 2022 was $99.4 million. Cash used in operating activities was primarily due to net loss of $81.5 million and a net decrease in accounts payable and accrued expenses of $42.5 million, an increase in unbilled accounts receivable of $4.5 million and prepaid expenses of $4.5 million and amortization of premium and discounts on marketable securities of $2.5 million, partially offset by stock-based compensation of $35.1 million.</w:t>
      </w:r>
    </w:p>
    <w:p>
      <w:pPr>
        <w:spacing w:after="0" w:line="6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cash used in operating activities for the nine months ended September 30, 2021 was $11.6 million. Cash used in operating activities was primarily due to net income of $4.1 million offset by stock-based compensation of $28.3 million, an increase in accounts payable and accrued expenses of $61.2 million, an increase in other assets of $0.2 million, a decrease in prepaid expenses of $4.3 million and a decrease in deferred revenue of $109.2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5"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Cash used in investing activities for the nine months ended September 30, 2022 was $488.9 million and consisted of purchases of fixed assets of $1.9 million and purchases of marketable securities of $487.0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flows from investing activities for the nine months ended September 30, 2021.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0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Net cash provided by financing activities was $0.4 million for the nine months ended September 30, 2022 and consisted of proceeds from the exercise of stock options and shares purchased under the Company's ESPP.</w:t>
      </w:r>
    </w:p>
    <w:p>
      <w:pPr>
        <w:spacing w:after="0" w:line="5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Net cash provided by financing activities was $1.3 million for the nine months ended September 30, 2021 and consisted of proceeds from the exercise of stock options.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7"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There have been no material changes to our contractual obligations during the nine months ended September 30, 2022 from those previously disclosed in our Annual Report on Form 10-K for the year ended December 31, 2021.</w:t>
      </w:r>
    </w:p>
    <w:p>
      <w:pPr>
        <w:spacing w:after="0" w:line="4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enter into contracts in the normal course of business with third-party contract organizations including CROs and CMOs for preclinical and clinical studies and testing, manufacture and supply of our preclinical materials and other services and products used for operating purposes. These contracts do not contain any minimum purchase commitments and generally provide for termination following a certain period after notice, and therefore we believe that our non-cancelable obligations under these agreements are not material. Payments due upon cancelation consist only of payments for services provided and expenses incurred up to the date of cancelation.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color w:val="auto"/>
        </w:rPr>
        <w:t>Our financial statements have been prepared in accordance with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7" w:name="page28"/>
    <w:bookmarkEnd w:id="27"/>
    <w:p>
      <w:pPr>
        <w:ind w:right="260"/>
        <w:spacing w:after="0" w:line="287" w:lineRule="auto"/>
        <w:rPr>
          <w:sz w:val="20"/>
          <w:szCs w:val="20"/>
          <w:color w:val="auto"/>
        </w:rPr>
      </w:pPr>
      <w:r>
        <w:rPr>
          <w:rFonts w:ascii="Arial" w:cs="Arial" w:eastAsia="Arial" w:hAnsi="Arial"/>
          <w:sz w:val="18"/>
          <w:szCs w:val="18"/>
          <w:color w:val="auto"/>
        </w:rPr>
        <w:t>for making judgments about the carrying value of assets and liabilities that are not readily apparent from other sources. Actual results may differ from these estimates under different assumptions or conditions.</w:t>
      </w:r>
    </w:p>
    <w:p>
      <w:pPr>
        <w:spacing w:after="0" w:line="31"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Our critical accounting policies and estimates are described under the heading “Management’s Discussion and Analysis of Financial Condition and Results of Operations—Critical Accounting Policies and Estimates” in our Annual Report on Form 10-K for the year ended December 31, 2021. We believe that these accounting policies are critical to understanding our historical and future performance, as these policies relate to significant areas involving management’s judgments and estimates. During the nine months ended September 30, 2022, there were no material changes to our critical accounting policies from those discussed in our Annual Report on Form 10-K except for as noted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2"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consider all highly-liquid investments with an original maturity, or a remaining maturity at the time of purchase, of three months or less to be cash equivalents. Our cash equivalents include money market funds and commercial paper, which are highly liquid and have strong credit ratings. These investments are subject to minimal credit and market risks. Cash and cash equivalents are stated at cost, which approximates market value.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5"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Our investment strategy is focused on capital preservation. We invest in instruments that meet the credit quality standards outlined in our investment policy. Marketable securities consist of investments with maturities greater than three months. Marketable securities include U.S. treasury obligations, U.S. agency obligations, corporate debt, commercial paper and asset-backed securities. We classify all of our marketable securities as available-for-sale. Accordingly, these investments are recorded at fair value. Unrealized gains and losses are recorded as a component of other comprehensive income within stockholders’ equity. Amortization and accretion of discounts and premiums are recorded as interest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 xml:space="preserve">Fair value is defined as the price that would be received upon sale of an asset or paid to transfer a liability between market participants at measurement dates.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establishes a three-level valuation hierarchy for instruments measured at fair value. The hierarchy is based on the transparency of inputs to the valuation of an asset or liability as of the measurement date. The three levels are defined as follows:</w:t>
      </w:r>
    </w:p>
    <w:p>
      <w:pPr>
        <w:spacing w:after="0" w:line="238" w:lineRule="auto"/>
        <w:rPr>
          <w:sz w:val="20"/>
          <w:szCs w:val="20"/>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ind w:right="400"/>
        <w:spacing w:after="0" w:line="242" w:lineRule="auto"/>
        <w:rPr>
          <w:sz w:val="20"/>
          <w:szCs w:val="20"/>
          <w:color w:val="auto"/>
        </w:rPr>
      </w:pPr>
      <w:r>
        <w:rPr>
          <w:rFonts w:ascii="Arial" w:cs="Arial" w:eastAsia="Arial" w:hAnsi="Arial"/>
          <w:sz w:val="18"/>
          <w:szCs w:val="18"/>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Off-balance Sheet Risk</w:t>
      </w:r>
    </w:p>
    <w:p>
      <w:pPr>
        <w:spacing w:after="0" w:line="11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Financial instruments that potentially subject the Company to concentrations of credit risk primarily consist of cash equivalents and marketable securities. Under its investment policy, the Company limits amounts invested in such securities by credit rating, maturity, industry group, investment type and issuer, except for securities issued by the U.S. government. The Company does not believe that it is subject to any significant concentrations of credit risk from these financial instruments. The Company has no financial instruments with off-balance sheet risk, such as foreign exchange contracts, option contracts, or other foreign hedging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including in connection with any trade secret, copyright, patent or other intellectual property infringement claim by any third-party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28" w:name="page29"/>
    <w:bookmarkEnd w:id="28"/>
    <w:p>
      <w:pPr>
        <w:spacing w:after="0" w:line="248" w:lineRule="auto"/>
        <w:rPr>
          <w:sz w:val="20"/>
          <w:szCs w:val="20"/>
          <w:color w:val="auto"/>
        </w:rPr>
      </w:pPr>
      <w:r>
        <w:rPr>
          <w:rFonts w:ascii="Arial" w:cs="Arial" w:eastAsia="Arial" w:hAnsi="Arial"/>
          <w:sz w:val="18"/>
          <w:szCs w:val="18"/>
          <w:color w:val="auto"/>
        </w:rPr>
        <w:t>We have also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 and officer insurance coverage that reduces our exposure and enables us to recover a portion of any future amounts paid. We believe the estimated fair value of these indemnification agreements in excess of applicable insurance coverage is minimal.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See the section titled “Summary of Significant Accounting Policies—Recent Accounting Pronouncements” in Note 2 to our unaudited condensed consolidated financial statements included in this Quarterly Report on Form 10-Q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5"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or exchange rates. As of September 30, 2022, we had cash, cash equivalents and marketable securities of $665.0 million, consisting of interest-bearing money market funds for which the fair value would be affected by changes in the general level of U.S. interest rates. However, due to the short-term maturities and the low-risk profile of our cash equivalents, an immediate 10% relative change in interest rates would not have a material effect on the fair value of our cash equivalents or on our future interest income.</w:t>
      </w:r>
    </w:p>
    <w:p>
      <w:pPr>
        <w:spacing w:after="0" w:line="6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We do not believe that inflation, interest rate changes or foreign currency exchange rate fluctuations have had a material impact on our results of operations for any periods presented herein.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September 30, 2022, our disclosure controls and procedures were effective at the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September 30, 2022 that have materially affected, or are reasonably likely to materially affect, our internal control over financial reporting.</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1" w:right="41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are not subject to any material legal proceedings.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i w:val="1"/>
          <w:iCs w:val="1"/>
          <w:color w:val="auto"/>
        </w:rPr>
        <w:t>You should carefully consider the risks and uncertainties described below, as well as the other information in this Quarterly Report on Form 10-Q, including our unaudited condensed consolidated financial statements and the related notes and “Management’s Discussion and Analysis of Results of Operations and Financial Condition.” Our business, financial condition, results of operations or prospects could be materially and adversely affected if any of these risks occurs, and as a result, the market price of our common stock could decline and you could lose all or part of your investment.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significant uncertainty around our development of bemnifosbuvir as a potential treatment for COVID-19.</w:t>
      </w:r>
    </w:p>
    <w:p>
      <w:pPr>
        <w:spacing w:after="0" w:line="11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development of bemnifosbuvir for the treatment of COVID-19 is in its early stages, and we may not be successful in our development of bemnifosbuvir as a potential treatment for COVID-19. In October 2020, we entered into a license agreement (as amended, the “Roche License Agreement”) with F. Hoffmann-LaRoche Ltd. and Genentech, Inc. (together, “Roche”) under which we granted to Roche an exclusive license to development and commercialization rights related to certain of our compounds, including bemnifosbuvir, outside of the United States (other than for certain HCV uses). Together with Roche, in April 2021, we initiated a randomized, double blind, multi -center, placebo-controlled Phase 3 clinical trial to study bemnifosbuvir in adult and adolescent patients with mild or moderate COVID-19 in the outpatient setting (“MORNINGSKY”) and we subsequently initiated a Phase 3 six month follow-up study (“MEADOWSPRING”) to assess the impact of bemnifosbuvir treatment on long-term sequelae of COVID-19 in the patients previously enrolled in MORNINGSKY. The Phase 3 clinical trials were begun while two Phase 2 clinical trials evaluating bemnifosbuvir in patients with COVID1-19 were ongoing. One of these Phase 2 clinical trials enrolled hospitalized patients and the other Phase 2 clinical trial (MOONSONG) enrolled outpatients. In October 2021, we, together with Roche, completed MOONSONG, and we announced that we did not meet the primary endpoint of reduction from baseline in the amount of SARS-CoV-2 virus in patients with mild or moderate COVID-19 compared to placebo in the overall study population, of which approximately two-thirds of enrolled patients were low-risk with mild symptoms. In November 2021, Roche notified us that it was terminating the Roche License Agreement effective February 10, 2022. In December 2021 due to the changing COVID -19 treatment landscape, including the availability of new oral antiviral treatment regimens, we determined to discontinue each of the phase 3 MORNINGSKY and MEADOWSPRING clinical trials. We did not enroll a sufficient number of patients in either study to conduct prespecified statistical analyses. In January 2022 we determined to close out the Phase 2 clinical trial in hospitalized patients.</w:t>
      </w:r>
    </w:p>
    <w:p>
      <w:pPr>
        <w:spacing w:after="0" w:line="7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 May 2022, we reported topline results from the MORNINGSKY trial and the final analysis of data from the Phase 2 clinical trial in high-risk hospitalized patients.</w:t>
      </w:r>
    </w:p>
    <w:p>
      <w:pPr>
        <w:spacing w:after="0" w:line="5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the topline analysis of data from the MORNINGSKY trial, the primary endpoint, time to symptom alleviation, was not achieved. However, a 71% reduction in hospitalization (2.9% versus 10%) was observed (p=0.047, unadjusted, exploratory) in the bemnifosbuvir arm (n=137) versus placebo (n=70). There were no deaths in the MORNINGSKY trial.</w:t>
      </w:r>
    </w:p>
    <w:p>
      <w:pPr>
        <w:spacing w:after="0" w:line="7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Final clinical results reported from the Phase 2 study in high-risk hospitalized patients (n=83) showed that the overall rate of disease progression was low, which we believe had an impact on the ability to assess the primary endpoint of progression of respiratory insufficiency (PRI) rate. More specifically, these results, suggest potential clinical benefit showing a 7.5% PRI rate for bemnifosbuvir 550 mg BID versus a 10% PRI rate for placebo (primary endpoint). There were three deaths in the study, no deaths were reported with patients treated with bemnifosbuvir versus three deaths reported with placebo. Final virology results (secondary endpoint) were consistent with previously reported interim data from this study. Bemnifosbuvir was generally well tolerated with no drug related serious adverse events and no adverse events leading to treatment discontinuation.</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Given these results, we are advancing the development of bemnifosbuvir for the treatment of COVID-19 in high risk non-hospitalized patients pursuing both a mono- and combination strategy. We have designed and are currently engaged in activities to initiate a global, randomized, double blind placebo controlled Phase 3 clinical</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30" w:name="page31"/>
    <w:bookmarkEnd w:id="30"/>
    <w:p>
      <w:pPr>
        <w:ind w:right="480"/>
        <w:spacing w:after="0" w:line="287" w:lineRule="auto"/>
        <w:rPr>
          <w:sz w:val="20"/>
          <w:szCs w:val="20"/>
          <w:color w:val="auto"/>
        </w:rPr>
      </w:pPr>
      <w:r>
        <w:rPr>
          <w:rFonts w:ascii="Arial" w:cs="Arial" w:eastAsia="Arial" w:hAnsi="Arial"/>
          <w:sz w:val="18"/>
          <w:szCs w:val="18"/>
          <w:color w:val="auto"/>
        </w:rPr>
        <w:t>known as SUNRISE-3. We are also engaged in the discovery of a proprietary protease inhibitor that could potentially be combined with bemnifosbuvir for the treatment of COVID-19. We do not know if either of these approaches will be successful.</w:t>
      </w:r>
    </w:p>
    <w:p>
      <w:pPr>
        <w:spacing w:after="0" w:line="3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While, we have begun to internally develop a potential protease inhibitor to evaluate in combination with bemnifosbuvir, these efforts are at a very early stage and we do not know if such efforts will be successful, or if successful, when a protease inhibitor product candidate generated from our discovery efforts may be permitted to enter clinical development. Alternatively, we may in-license or acquire the rights to develop and commercialize a protease inhibitor drug candidate from a third-party. Proposing, negotiating and implementing acquisition or in-license of a protease inhibitor or any other product candidate that may be combined with bemnifosbuvir for the potential treatment of COVID-19 may be a lengthy and complex process. Other companies, including those with substantially greater financial, marketing and sales resources, may compete with us for the acquisition of such product candidates. We may not be able to acquire the rights to additional product candidates on terms that we find acceptable, if at all.</w:t>
      </w:r>
    </w:p>
    <w:p>
      <w:pPr>
        <w:spacing w:after="0" w:line="72"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In addition, clinical trials evaluating combination regimens such as the one we are proposing with the combination of bemnifosbuvir and a protease inhibitor are subject to additional risks, including the potential requirement to sufficiently demonstrate the effect, if any, of each constituent component of the combination regimen to the satisfaction of the United States Food and Drug Administration (“FDA”) or other regulatory authorities.</w:t>
      </w:r>
    </w:p>
    <w:p>
      <w:pPr>
        <w:spacing w:after="0" w:line="7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have committed and plan to continue to commit significant financial and personnel resources to the development of bemnifosbuvir as a mono- and combination therapy for the treatment for COVID-19 (each, a “bemnifosbuvir COV19 product candidate”). If we are unable to successfully develop one or more bemnifosbuvir COV19 product candidates, we will have taken resources away from other development programs and will not be able to recuperate the resources dedicated to developing bemnifosbuvir COV19 product candidates, which could have a material adverse impact on our business. If we are unable to complete the SUNRISE-3 clinical trial or if data from our Phase 3 SUNRISE-3 clinical trial and other clinical trials are not supportive of further development or commercialization of one or more bemnifosbuvir COV19 product candidates, or the investor community otherwise has a negative reaction to the data, the demand for our common stock could decrease significantly, and the price of our common stock could decline substantially, which could result in significant losses for our stockholders.</w:t>
      </w:r>
    </w:p>
    <w:p>
      <w:pPr>
        <w:spacing w:after="0" w:line="8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Further, while we believe there is currently an urgent need for oral antiviral treatments for COVID-19, the longevity and extent of the ongoing COVID-19 pandemic is uncertain and it is unclear whether SARS-CoV-2 will become an endemic human coronavirus that may circulate in the human population after the current pandemic has subsided. If the pandemic were to dissipate, whether due to a significant decrease in the number or severity of new infections, the effectiveness of vaccines, the effectiveness of other treatment options, or otherwise, the need for treatments could decrease significantly. If the need for a treatment decreases before or soon after commercialization of a bemnifosbuvir COV19 product candidate, if successfully developed and approved, our business could be adversely impacted.</w:t>
      </w:r>
    </w:p>
    <w:p>
      <w:pPr>
        <w:spacing w:after="0" w:line="179" w:lineRule="exact"/>
        <w:rPr>
          <w:sz w:val="20"/>
          <w:szCs w:val="20"/>
          <w:color w:val="auto"/>
        </w:rPr>
      </w:pPr>
    </w:p>
    <w:p>
      <w:pPr>
        <w:jc w:val="both"/>
        <w:ind w:right="940"/>
        <w:spacing w:after="0" w:line="264" w:lineRule="auto"/>
        <w:rPr>
          <w:sz w:val="20"/>
          <w:szCs w:val="20"/>
          <w:color w:val="auto"/>
        </w:rPr>
      </w:pPr>
      <w:r>
        <w:rPr>
          <w:rFonts w:ascii="Arial" w:cs="Arial" w:eastAsia="Arial" w:hAnsi="Arial"/>
          <w:sz w:val="18"/>
          <w:szCs w:val="18"/>
          <w:b w:val="1"/>
          <w:bCs w:val="1"/>
          <w:i w:val="1"/>
          <w:iCs w:val="1"/>
          <w:color w:val="auto"/>
        </w:rPr>
        <w:t>A bemnifosbuvir COV19 product candidate, even if successfully developed and approved, is expected to face significant competition from other treatments and vaccines for COVID-19 which have been authorized or approved for use or are in development.</w:t>
      </w:r>
    </w:p>
    <w:p>
      <w:pPr>
        <w:spacing w:after="0" w:line="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Many biotechnology and pharmaceutical companies are developing treatments for COVID-19 or vaccines against SARS-CoV-2, the virus that causes COVID-19. Many of these companies, which include large pharmaceutical companies, have greater resources for development and established commercialization capabilities.</w:t>
      </w:r>
    </w:p>
    <w:p>
      <w:pPr>
        <w:spacing w:after="0" w:line="5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example, in November 2021, Lagevrio</w:t>
      </w:r>
      <w:r>
        <w:rPr>
          <w:rFonts w:ascii="Arial" w:cs="Arial" w:eastAsia="Arial" w:hAnsi="Arial"/>
          <w:sz w:val="24"/>
          <w:szCs w:val="24"/>
          <w:color w:val="auto"/>
          <w:vertAlign w:val="superscript"/>
        </w:rPr>
        <w:t>TM</w:t>
      </w:r>
      <w:r>
        <w:rPr>
          <w:rFonts w:ascii="Arial" w:cs="Arial" w:eastAsia="Arial" w:hAnsi="Arial"/>
          <w:sz w:val="18"/>
          <w:szCs w:val="18"/>
          <w:color w:val="auto"/>
        </w:rPr>
        <w:t>, or molnupiravir, an orally administered direct-acting antiviral, being developed by Merck and Ridgeback Biotherapeutics (“Ridgeback”) for the treatment of adults with mild to moderate COVID-19 in the outpatient setting received conditional marketing authorization for use from the health authorities in the United Kingdom. In December 2021, the FDA issued an emergency use authorization for Lagevrio for the treatment of mild-to-moderate COVID-19 in certain adults who are at high-risk for progression to severe COVID-19, including hospitalization or death. Merck and Ridgeback have obtained similar authorizations from numerous other global health authorities. In December 2021, the FDA issued an emergency use authorization for Paxlovid™, an orally administered direct-acting antiviral being developed by Pfizer Inc. (“Pfizer”) consisting of nirmatrelvir, a protease inhibitor, and ritonavir, for the treatment of adults with mild to moderate COVID-19 in the outpatient setting. In January 2022, the European Medicines Agency recommended conditional marketing authorization for Paxlovid.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1" w:name="page32"/>
    <w:bookmarkEnd w:id="31"/>
    <w:p>
      <w:pPr>
        <w:ind w:right="100"/>
        <w:spacing w:after="0" w:line="261" w:lineRule="auto"/>
        <w:rPr>
          <w:sz w:val="20"/>
          <w:szCs w:val="20"/>
          <w:color w:val="auto"/>
        </w:rPr>
      </w:pPr>
      <w:r>
        <w:rPr>
          <w:rFonts w:ascii="Arial" w:cs="Arial" w:eastAsia="Arial" w:hAnsi="Arial"/>
          <w:sz w:val="18"/>
          <w:szCs w:val="18"/>
          <w:color w:val="auto"/>
        </w:rPr>
        <w:t>Other products for the treatment of COVID-19 are currently authorized for use or approved by health regulatory authorities in numerous countries throughout the world. These products include the antiviral drug Veklury® (remdesivir), a direct acting antiviral marketed by Gilead Sciences, Inc. for the treatment of COVID-19 for certain patients requiring hospitalization.</w:t>
      </w:r>
    </w:p>
    <w:p>
      <w:pPr>
        <w:spacing w:after="0" w:line="5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addition to therapeutics, vaccines indicated for active immunization to prevent COVID-19 have been approved or authorized for emergency use by the FDA. Vaccine manufacturers, including Pfizer and BioNTech and Moderna, Inc. (“Moderna”) have also created, developed and received regulatory authorization in a number of jurisdictions for the use of vaccine “boosters,” which are intended to extend the immunizing effect initiated with the administration of the initial vaccine regimen.</w:t>
      </w:r>
    </w:p>
    <w:p>
      <w:pPr>
        <w:spacing w:after="0" w:line="7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Additional vaccines and therapeutics are in development by other pharmaceutical and biopharmaceutical companies. Other companies developing oral direct acting antivirals for treatment of COVID-19 include Enanta Pharmaceuticals, Inc., Gilead Sciences, Inc., Shionogi &amp; Co., Ltd., Aligos Therapeutics, Inc., Pardes Biosciences, Inc., Ascletis pharma, Inc., and others in Asia.</w:t>
      </w:r>
    </w:p>
    <w:p>
      <w:pPr>
        <w:spacing w:after="0" w:line="7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Given the products currently approved or authorized for use as well as those in development by others, any treatment we may develop could face significant competition. If we are unable to develop a treatment that can be distinguished based on efficacy, safety, cost or other factors from the growing number of treatments for COVID-19 or if any treatment becomes the standard of care, can be administered at a lower cost, or is more successful at commercializing an approved treatment, even if a bemnifosbuvir COV19 product candidate is approved, we may not be able to successfully commercialize such a product for the treatment of COVID-19, or compete with other treatments or vaccines, which would adversely impact our business and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business and financial results.</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global emergence of variants and subvariants of SARS-CoV-2, including the Delta and Omicron variant and subvariants such as BA.2 and BA.2.12.1, BA.4, BA.5, and more recently BA.4.6, BA.2.75.2, BQ.1 and BQ.1.1 has resulted in an increasing number of infections, including breakthrough infections in persons who have been vaccinated against the infection. In the United States, travel bans and government stay-at-home orders in response to the initial outbreak caused widespread disruption in business operations and economic activity. Governmental authorities around the world implemented measures to reduce the spread of COVID-19. These measures, including suggested or mandated “shelter-in-place” orders, adversely affected workforces, customers, consumer sentiment, economies, and financial markets, and, along with decreased consumer spending, contributed to an economic downturn in the United States. Future resurgences in cases may result in renewal of measures, many of which are currently relaxed, that are intended to reduce the spread of COVID-19. In response to the public health directives and orders and to help minimize the risk of COVID-19 for our employees, we have taken precautionary measures, including implementing work-from-home policies for all our employees. Many of our third-party collaborators, such as our CMOs, clinical research organizations (“CROs”), suppliers and others, have taken similar precautionary measures. At times during the pandemic, these measures have disrupted our business and delayed certain of our clinical programs and timelines. For example, our Phase 1/2a clinical trial in patients with hepatitis C virus (“HCV”) was paused when clinical trial sites closed due to COVID-19 precautions by the countries and medical facilities where the trial was to be conducted</w:t>
      </w:r>
    </w:p>
    <w:p>
      <w:pPr>
        <w:spacing w:after="0" w:line="7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impact to our operations due to elongation or resurgence of the COVID-19 pandemic could be severe and could negatively affect our business, financial condition and results of operations. To the extent the COVID-19 pandemic adversely affects our business and financial results, it may also have the effect of heightening many of the other risk factors described in this “Risk Factors” section, such as those relating to our clinical trial timelines, our ability to enroll subjects for clinical trials and obtain materials that are required for the manufacture of our product candidates, and our ability to raise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or other public health crises may materially and adversely affect our clinical trials.</w:t>
      </w:r>
    </w:p>
    <w:p>
      <w:pPr>
        <w:spacing w:after="0" w:line="10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As a result of the COVID-19 pandemic or other public health crises, we may experience additional disruptions that could severely impact our clinical trials, including but not limited to:</w:t>
      </w:r>
    </w:p>
    <w:p>
      <w:pPr>
        <w:spacing w:after="0" w:line="31" w:lineRule="exact"/>
        <w:rPr>
          <w:sz w:val="20"/>
          <w:szCs w:val="20"/>
          <w:color w:val="auto"/>
        </w:rPr>
      </w:pPr>
    </w:p>
    <w:p>
      <w:pPr>
        <w:ind w:left="1020" w:right="20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enrolling patients in a clinical trial as a result of rapidly evolving treatment paradigms, particularly in the case of patients with COVID-19;</w:t>
      </w:r>
    </w:p>
    <w:p>
      <w:pPr>
        <w:spacing w:after="0" w:line="59" w:lineRule="exact"/>
        <w:rPr>
          <w:rFonts w:ascii="Times New Roman" w:cs="Times New Roman" w:eastAsia="Times New Roman" w:hAnsi="Times New Roman"/>
          <w:sz w:val="18"/>
          <w:szCs w:val="18"/>
          <w:color w:val="auto"/>
        </w:rPr>
      </w:pPr>
    </w:p>
    <w:p>
      <w:pPr>
        <w:ind w:left="1020" w:right="80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patients that may not be able to comply with clinical trial protocols if quarantines impede patient movement or interrupt healthcare services;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32" w:name="page33"/>
    <w:bookmarkEnd w:id="32"/>
    <w:p>
      <w:pPr>
        <w:ind w:left="1020" w:right="260" w:hanging="503"/>
        <w:spacing w:after="0" w:line="28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 or the overwork of existing investigators and staff;</w:t>
      </w:r>
    </w:p>
    <w:p>
      <w:pPr>
        <w:spacing w:after="0" w:line="32"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or prioritization of healthcare resources away from the conduct of clinical trials and towards the COVID-19 pandemic or other public health crises, including the diversion of hospitals serving as our clinical trial sites and hospital staff supporting the conduct of our clinical trials;</w:t>
      </w:r>
    </w:p>
    <w:p>
      <w:pPr>
        <w:spacing w:after="0" w:line="55" w:lineRule="exact"/>
        <w:rPr>
          <w:rFonts w:ascii="Times New Roman" w:cs="Times New Roman" w:eastAsia="Times New Roman" w:hAnsi="Times New Roman"/>
          <w:sz w:val="18"/>
          <w:szCs w:val="18"/>
          <w:color w:val="auto"/>
        </w:rPr>
      </w:pPr>
    </w:p>
    <w:p>
      <w:pPr>
        <w:ind w:left="1020" w:right="54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or delays in preclinical studies due to restricted or limited operations at research and development laboratory facilities;</w:t>
      </w:r>
    </w:p>
    <w:p>
      <w:pPr>
        <w:spacing w:after="0" w:line="59" w:lineRule="exact"/>
        <w:rPr>
          <w:rFonts w:ascii="Times New Roman" w:cs="Times New Roman" w:eastAsia="Times New Roman" w:hAnsi="Times New Roman"/>
          <w:sz w:val="18"/>
          <w:szCs w:val="18"/>
          <w:color w:val="auto"/>
        </w:rPr>
      </w:pPr>
    </w:p>
    <w:p>
      <w:pPr>
        <w:ind w:left="1020" w:right="112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state or provincial governments, employers and others;</w:t>
      </w:r>
    </w:p>
    <w:p>
      <w:pPr>
        <w:spacing w:after="0" w:line="46" w:lineRule="exact"/>
        <w:rPr>
          <w:rFonts w:ascii="Times New Roman" w:cs="Times New Roman" w:eastAsia="Times New Roman" w:hAnsi="Times New Roman"/>
          <w:sz w:val="18"/>
          <w:szCs w:val="18"/>
          <w:color w:val="auto"/>
        </w:rPr>
      </w:pPr>
    </w:p>
    <w:p>
      <w:pPr>
        <w:jc w:val="both"/>
        <w:ind w:left="1020" w:right="460" w:hanging="503"/>
        <w:spacing w:after="0" w:line="300" w:lineRule="auto"/>
        <w:tabs>
          <w:tab w:leader="none" w:pos="10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the risk that participants enrolled in our non-COVID-19-related clinical trials will contract COVID-19 while the clinical trial is ongoing, which could impact the results of the clinical trial, including by increasing the number of observed adverse events;</w:t>
      </w:r>
    </w:p>
    <w:p>
      <w:pPr>
        <w:spacing w:after="0" w:line="36" w:lineRule="exact"/>
        <w:rPr>
          <w:rFonts w:ascii="Times New Roman" w:cs="Times New Roman" w:eastAsia="Times New Roman" w:hAnsi="Times New Roman"/>
          <w:sz w:val="17"/>
          <w:szCs w:val="17"/>
          <w:color w:val="auto"/>
        </w:rPr>
      </w:pPr>
    </w:p>
    <w:p>
      <w:pPr>
        <w:ind w:left="1020" w:right="44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02"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and supplies;</w:t>
      </w:r>
    </w:p>
    <w:p>
      <w:pPr>
        <w:spacing w:after="0" w:line="59"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local regulations as part of a response to the COVID-19 pandemic or other public health crises that may require us to change the ways in which our clinical trials are conducted, which may result in unexpected costs, or to discontinue the clinical trials altogether;</w:t>
      </w:r>
    </w:p>
    <w:p>
      <w:pPr>
        <w:spacing w:after="0" w:line="76"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refusal of the FDA or foreign regulatory authorities to accept data from clinical trials in these affected geographies.</w:t>
      </w:r>
    </w:p>
    <w:p>
      <w:pPr>
        <w:spacing w:after="0" w:line="11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symptoms, progression, and transmission of COVID-19 resulting from infection with a particular variant, as evidenced with Delta or Omicron variants differ in multiple ways including severity of symptoms and rate of transmissibility. This rapid and continuing emergence of variants and the evolution of disease manifestation presents additional challenges for the conduct of our clinical trials in COVID-19 patients. For example, COVID-19 patients have presented with a wide range of symptoms and side effects, which may make it more difficult for clinical trial investigators to determine whether any adverse events observed in our clinical trials are related to bemnifosbuvir or are consistent with the underlying disease. Any increase in the severity or incidence of adverse events deemed to be related to bemnifosbuvir or any combination regimen we seek to develop could delay or prevent its regulatory approval, which could have a material adverse effect on our business, financial condition and results of operations. In addition, efficacy and antiviral results from a COVID-19 clinical trial may be affected by, among other things, which variant or variants causes the infection and evolving immunization status of the patients enrolling in the clinical trial, resulting in response rates that may also be variable over time as the pandemic progresses.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06"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have a limited operating history and no history of successfully developing or commercializing any approved antiviral products, which may make it difficult to evaluate the success of our business to date and to assess the prospects for our future viability.</w:t>
      </w:r>
    </w:p>
    <w:p>
      <w:pPr>
        <w:spacing w:after="0" w:line="4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a clinical-stage biopharmaceutical company. Our operations to date have been limited to financing and staffing our company, developing our technology and identifying and developing our product candidates. Our prospects must be considered in light of the uncertainties, risks, expenses and difficulties frequently encountered by biopharmaceutical companies in their early stages of operations. We have not yet demonstrated an ability to complete any late-stage or pivotal clinical trials, obtain marketing approval, manufacture a product at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3" w:name="page34"/>
    <w:bookmarkEnd w:id="33"/>
    <w:p>
      <w:pPr>
        <w:ind w:right="20"/>
        <w:spacing w:after="0" w:line="252" w:lineRule="auto"/>
        <w:rPr>
          <w:sz w:val="20"/>
          <w:szCs w:val="20"/>
          <w:color w:val="auto"/>
        </w:rPr>
      </w:pPr>
      <w:r>
        <w:rPr>
          <w:rFonts w:ascii="Arial" w:cs="Arial" w:eastAsia="Arial" w:hAnsi="Arial"/>
          <w:sz w:val="18"/>
          <w:szCs w:val="18"/>
          <w:color w:val="auto"/>
        </w:rPr>
        <w:t>commercial-scale, or conduct sales and marketing activities necessary for successful product commercialization, or arrange for third parties to do these activities on our behalf. Consequently, predictions about our future success or viability may not be as accurate as they could be if we had a longer operating history or a history of successfully developing, obtaining marketing approval for and commercializing antiviral therapies.</w:t>
      </w:r>
    </w:p>
    <w:p>
      <w:pPr>
        <w:spacing w:after="0" w:line="76"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obstacles. For example, due to changes in the COVID-19 landscape, we discontinued our Phase 3 MORNINGSKY trial in 2021.</w:t>
      </w:r>
    </w:p>
    <w:p>
      <w:pPr>
        <w:spacing w:after="0" w:line="4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In connection with our development of a combination bemnifosbuvir COV19 product, we expect to be required to conduct earlier-stage trials before we can advance to any late- or pivotal-stage clinical trials, and therefore will require additional time and resources, including the resources required to discover or acquire a product or product candidate that we can evaluate in combination with bemnifosbuvir. If we successfully develop and obtain approval of any product candidate, we will need to transition from a company with a research and development focus to a company capable of supporting commercial activities. We may not be successful in this transition.</w:t>
      </w:r>
    </w:p>
    <w:p>
      <w:pPr>
        <w:spacing w:after="0" w:line="8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we continue to build our business, we expect our financial condition and operating results may fluctuate significantly from quarter to quarter and year to year due to a variety of factors, many of which are beyond our control. For example, the decision by Roche to terminate the Roche License Agreement also terminated Roche’s obligation, after February 10, 2022, the effective date of the termination of the Roche License Agreement, to share with us costs associated with the development of bemnifosbuvir for the treatment of COVID-19.</w:t>
      </w:r>
    </w:p>
    <w:p>
      <w:pPr>
        <w:spacing w:after="0" w:line="62"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Additionally, as a further result of the termination of the Roche License Agreement, we will not receive any other revenue from Roche beyond the upfront payment we received in 2020 and the milestone payment we received in 2021. Accordingly, you should not rely upon the results included in this report or reports for any other particular prior quarterly or annual period as indications of future operating performance.</w:t>
      </w:r>
    </w:p>
    <w:p>
      <w:pPr>
        <w:spacing w:after="0" w:line="1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have incurred significant operating expenses since inception and expect to incur significant additional operating expenses for the foreseeable future. We have no products that have generated any commercial revenue and we do not expect to maintain profitability in 2022 and for the foreseeable future.</w:t>
      </w:r>
    </w:p>
    <w:p>
      <w:pPr>
        <w:spacing w:after="0" w:line="44" w:lineRule="exact"/>
        <w:rPr>
          <w:sz w:val="20"/>
          <w:szCs w:val="20"/>
          <w:color w:val="auto"/>
        </w:rPr>
      </w:pPr>
    </w:p>
    <w:p>
      <w:pPr>
        <w:jc w:val="both"/>
        <w:ind w:right="160"/>
        <w:spacing w:after="0" w:line="245" w:lineRule="auto"/>
        <w:rPr>
          <w:sz w:val="20"/>
          <w:szCs w:val="20"/>
          <w:color w:val="auto"/>
        </w:rPr>
      </w:pPr>
      <w:r>
        <w:rPr>
          <w:rFonts w:ascii="Arial" w:cs="Arial" w:eastAsia="Arial" w:hAnsi="Arial"/>
          <w:sz w:val="18"/>
          <w:szCs w:val="18"/>
          <w:color w:val="auto"/>
        </w:rPr>
        <w:t>We have incurred significant operating expenses since our inception. For the nine months ended September 30, 2022 and the year ended December 31, 2021, our operating expenses were $90.8 million and $213.0 million, respectively. In 2021, as a result of the termination by Roche of the Roche License Agreement, which resulted in the recognition of revenue for accounting purposes associated with the deferred revenue balance associated with upfront payment and the milestone payment we received from Roche, we recorded operating income for the year ended December 31, 2021. For the nine months ended September 30, 2022, we have not recorded any operating income and do not expect to realize operating income in 2022 or for the foreseeable future.</w:t>
      </w:r>
    </w:p>
    <w:p>
      <w:pPr>
        <w:spacing w:after="0" w:line="8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have not commercialized any products and have never generated any revenue from product sales. We have devoted almost all of our financial resources to research and development, including our clinical trials and preclinical development activities. We expect to continue to incur significant additional operating expenses and to incur operating losses in the remainder of 2022 and for the foreseeable future as we seek to advance product candidates through clinical development, continue preclinical development, expand our research and development activities, discover or acquire and develop product candidates, including any product candidate we may seek to combine with bemnifosbuvir for the potential treatment of COVID-19, complete preclinical studies and clinical trials, seek regulatory approval and, if we receive regulatory approval, commercialize our products.</w:t>
      </w:r>
    </w:p>
    <w:p>
      <w:pPr>
        <w:spacing w:after="0" w:line="6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order to obtain the FDA’s or a foreign regulatory authority’s approval to market any product candidate in the United States or abroad, respectively, we must submit to the FDA a New Drug Application (“NDA”) or similar application to the foreign regulatory authority demonstrating to the FDA’s or foreign regulatory authority’s satisfaction that the product candidate is safe and effective for its intended use(s). This demonstration requires significant research and extensive data from animal tests, which are referred to as nonclinical or preclinical studies, as well as human tests, which are referred to as clinical trials. Furthermore, the costs of advancing product candidates into each succeeding clinical phase tend to increase substantially over time. The total costs to advance any of our product candidates to marketing approval in even a single jurisdiction would be substantial and difficult to accurately predict. Because of the numerous risks and uncertainties associated with the development of drug products, we are unable to accurately predict the timing or amount of increased expenses or when, or if, we will be able to begin generating revenue from the commercialization of products or again achieve profitability. As we advance our Phase 3 SUNRISE-3 clinical trial we expect our expenses will increase substantially. Additionally, our expenses will also increase substantially if or as we: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34" w:name="page35"/>
    <w:bookmarkEnd w:id="34"/>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initiate clinical trials of a bemnifosbuvir combination regimen for the treatment of patients with COVID-19;</w:t>
      </w:r>
    </w:p>
    <w:p>
      <w:pPr>
        <w:spacing w:after="0" w:line="116" w:lineRule="exact"/>
        <w:rPr>
          <w:rFonts w:ascii="Times New Roman" w:cs="Times New Roman" w:eastAsia="Times New Roman" w:hAnsi="Times New Roman"/>
          <w:sz w:val="18"/>
          <w:szCs w:val="18"/>
          <w:color w:val="auto"/>
        </w:rPr>
      </w:pPr>
    </w:p>
    <w:p>
      <w:pPr>
        <w:ind w:left="1020" w:right="380" w:hanging="503"/>
        <w:spacing w:after="0" w:line="274"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advance the development of our other product candidates, including the ongoing clinical development of AT-752 for the treatment and prevention of dengue, our planned clinical development of bemnifosbuvir in combination with ruzasvir for the treatment of HCV, and the preclinical development of potential other product candidates, including for the treatment of RSV;</w:t>
      </w:r>
    </w:p>
    <w:p>
      <w:pPr>
        <w:spacing w:after="0" w:line="58"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discover and develop additional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and marketing approvals for product candidates that successfully complete clinical trials, if any;</w:t>
      </w:r>
    </w:p>
    <w:p>
      <w:pPr>
        <w:spacing w:after="0" w:line="102" w:lineRule="exact"/>
        <w:rPr>
          <w:rFonts w:ascii="Times New Roman" w:cs="Times New Roman" w:eastAsia="Times New Roman" w:hAnsi="Times New Roman"/>
          <w:sz w:val="18"/>
          <w:szCs w:val="18"/>
          <w:color w:val="auto"/>
        </w:rPr>
      </w:pPr>
    </w:p>
    <w:p>
      <w:pPr>
        <w:ind w:left="1020" w:right="420" w:hanging="503"/>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manufacturing and supply chain capacity sufficient to provide commercial quantities of any product candidates for which we may obtain marketing approval, if any;</w:t>
      </w:r>
    </w:p>
    <w:p>
      <w:pPr>
        <w:spacing w:after="0" w:line="32"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internal systems and distribution infrastructure to commercialize any products for which we may obtain regulatory approval, if any, in geographies in which we plan to commercialize our products ourselves or with co-promotion collaborators;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02"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hire additional staff, including clinical, scientific, technical, regulatory, operational, financial, commercial and support personnel, to execute our business plan and support our product development and potential future commercialization efforts;</w:t>
      </w:r>
    </w:p>
    <w:p>
      <w:pPr>
        <w:spacing w:after="0" w:line="59"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more extensively utilize external vendors for support with respect to research, development, manufacturing, commercialization, regulatory, pharmacovigilance and other functions;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commercial products, additional product candidates and technologies;</w:t>
      </w:r>
    </w:p>
    <w:p>
      <w:pPr>
        <w:spacing w:after="0" w:line="116" w:lineRule="exact"/>
        <w:rPr>
          <w:rFonts w:ascii="Times New Roman" w:cs="Times New Roman" w:eastAsia="Times New Roman" w:hAnsi="Times New Roman"/>
          <w:sz w:val="18"/>
          <w:szCs w:val="18"/>
          <w:color w:val="auto"/>
        </w:rPr>
      </w:pPr>
    </w:p>
    <w:p>
      <w:pPr>
        <w:ind w:left="1020" w:right="40" w:hanging="503"/>
        <w:spacing w:after="0" w:line="252"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make milestone, royalty or other payments under the license agreement we entered into in December 2021 with MSD International GmbH, an affiliate of Merck &amp; Co, Inc. (“Merck”) with respect to the development and commercialization of ruzasvir and any future in-license agreements relating to other product candidates; and</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legal, accounting and other expenses in operating our business as a public company.</w:t>
      </w:r>
    </w:p>
    <w:p>
      <w:pPr>
        <w:spacing w:after="0" w:line="103"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Furthermore, our ability to successfully develop, commercialize and license any products and generate product revenue is subject to substantial additional risks and uncertainties. Each of our product candidates and any future product candidate we may discover, license or otherwise acquire, will require additional preclinical and/or clinical development, regulatory approval in not less than one jurisdiction, the securing of manufacturing supply, capacity, distribution channels and expertise, the use of external vendors, the building of a commercial organization, substantial investment and significant marketing efforts before we generate any revenue from product sales. As a result, we expect to continue to incur operating expenses and use cash for operating activities for the foreseeable future. These operating expenses and use of cash have had, and will continue to have, an adverse effect on our working capital. Additionally, we expect to incur operating losses in foreseeable future periods.</w:t>
      </w:r>
    </w:p>
    <w:p>
      <w:pPr>
        <w:spacing w:after="0" w:line="7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amount of future expenses or losses and our ability to achieve or maintain profitability in future years, if ever, are uncertain. We have no products that have generated any commercial revenue, do not expect to generate revenues from the commercial sale of products in the foreseeable future, and might never generate revenues from the sale of products. Our ability to generate product revenue and maintain profitability will depend on, among other things, successful completion of the clinical development of our product candidates; obtaining necessary regulatory approvals from the FDA and foreign regulatory authorities; establishing manufacturing and sales capabilities; market acceptance of our products, if approved, and establishing marketing infrastructure to commercialize our product candidates for which we obtain approval; and raising sufficient funds to finance our activities. We might not succeed at any of these undertakings. If we are unsuccessful at some or all of these undertakings, our business, prospects, and results of operations may be materially adversely affected.</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We will require substantial additional financing, which may not be available on acceptable terms, or at all. A failure to obtain this necessary capital when needed could force us to delay, limit, reduce or terminate our product development or commercialization efforts.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35" w:name="page36"/>
    <w:bookmarkEnd w:id="35"/>
    <w:p>
      <w:pPr>
        <w:ind w:right="40"/>
        <w:spacing w:after="0" w:line="248" w:lineRule="auto"/>
        <w:rPr>
          <w:sz w:val="20"/>
          <w:szCs w:val="20"/>
          <w:color w:val="auto"/>
        </w:rPr>
      </w:pPr>
      <w:r>
        <w:rPr>
          <w:rFonts w:ascii="Arial" w:cs="Arial" w:eastAsia="Arial" w:hAnsi="Arial"/>
          <w:sz w:val="18"/>
          <w:szCs w:val="18"/>
          <w:color w:val="auto"/>
        </w:rPr>
        <w:t>Since inception, we have incurred substantial operating expenses. We expect to incur substantial expenses to in connection with the conduct of the Phase 3 SUNRISE-3 clinical trial. Additionally, we anticipate to incur substantial expenses in connection with the clinical development of a combination bemnifosbuvir COV19 product candidate and, the combination of bemnifosbuvir and ruzasvir for the treatment of HCV and AT-752 for the treatment of dengue. Additionally, we expect to incur significant expenses in the future in connection with clinical trials for other product candidates and in our efforts to identify new product candidates, through internal discovery efforts or through acquisition or licensing.</w:t>
      </w:r>
    </w:p>
    <w:p>
      <w:pPr>
        <w:spacing w:after="0" w:line="67"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will continue to need additional capital to fund future clinical trials and preclinical development, which we may raise through equity offerings, debt financings, marketing and distribution arrangements and other collaborations, strategic alliances and licensing arrangements or other sources. Additional sources of financing might not be available on favorable terms, if at all. If we do not succeed in raising additional funds on acceptable terms, we might be unable to initiate or complete planned clinical trials or seek regulatory approvals of any of our product candidates from the FDA, or any foreign regulatory authorities, and could be forced to discontinue product development. In addition, attempting to secure additional financing may divert the time and attention of our management from day-to-day activities and harm our product candidate development efforts.</w:t>
      </w:r>
    </w:p>
    <w:p>
      <w:pPr>
        <w:spacing w:after="0" w:line="6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Based on our current operating plan, we believe that our cash and cash equivalents as of September 30, 2022 will be sufficient to fund our operating expenses and capital expenditure requirements through at least 2025. This estimate is based on assumptions that may prove to be wrong, and we could use our available capital resources sooner than we currently expect. We will require significant additional funds in order to launch and commercialize our current and any future product candidates to the extent that such launch and commercialization are not the responsibility of a collaborator.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if approved, commercialization of any product candidate we develop.</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 but not limited to:</w:t>
      </w:r>
    </w:p>
    <w:p>
      <w:pPr>
        <w:spacing w:after="0" w:line="104" w:lineRule="exact"/>
        <w:rPr>
          <w:sz w:val="20"/>
          <w:szCs w:val="20"/>
          <w:color w:val="auto"/>
        </w:rPr>
      </w:pPr>
    </w:p>
    <w:p>
      <w:pPr>
        <w:ind w:left="1020" w:right="2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costs associated with discovery, license or acquisition of a protease inhibitor or another direct acting antiviral product candidate to combine with bemnifosbuvir and develop for the treatment of patients with COVID-19;</w:t>
      </w:r>
    </w:p>
    <w:p>
      <w:pPr>
        <w:spacing w:after="0" w:line="59"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our preclinical studies and clinical trials, in particular our Phase 3 SUNRISE-3 clinical trial;</w:t>
      </w:r>
    </w:p>
    <w:p>
      <w:pPr>
        <w:spacing w:after="0" w:line="4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the costs involved in, obtaining marketing approvals for our current and future product candidates in regions where we choose to commercialize any products;</w:t>
      </w:r>
    </w:p>
    <w:p>
      <w:pPr>
        <w:spacing w:after="0" w:line="59" w:lineRule="exact"/>
        <w:rPr>
          <w:rFonts w:ascii="Times New Roman" w:cs="Times New Roman" w:eastAsia="Times New Roman" w:hAnsi="Times New Roman"/>
          <w:sz w:val="18"/>
          <w:szCs w:val="18"/>
          <w:color w:val="auto"/>
        </w:rPr>
      </w:pPr>
    </w:p>
    <w:p>
      <w:pPr>
        <w:ind w:left="1020" w:right="78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future product candidates and potential additional indications that we may pursue and their development requirements;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stability, scale, yield and cost of manufacturing our product candidates for clinical trials, in preparation for regulatory approval and in preparation for commercialization;</w:t>
      </w:r>
    </w:p>
    <w:p>
      <w:pPr>
        <w:spacing w:after="0" w:line="32" w:lineRule="exact"/>
        <w:rPr>
          <w:rFonts w:ascii="Times New Roman" w:cs="Times New Roman" w:eastAsia="Times New Roman" w:hAnsi="Times New Roman"/>
          <w:sz w:val="18"/>
          <w:szCs w:val="18"/>
          <w:color w:val="auto"/>
        </w:rPr>
      </w:pPr>
    </w:p>
    <w:p>
      <w:pPr>
        <w:ind w:left="1020" w:right="40" w:hanging="503"/>
        <w:spacing w:after="0" w:line="26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commercialization activities for any approved product candidate to the extent such costs are not the responsibility of any collaborators, including the costs and timing of establishing product sales, marketing, distribution and manufacturing capabilities;</w:t>
      </w:r>
    </w:p>
    <w:p>
      <w:pPr>
        <w:spacing w:after="0" w:line="55" w:lineRule="exact"/>
        <w:rPr>
          <w:rFonts w:ascii="Times New Roman" w:cs="Times New Roman" w:eastAsia="Times New Roman" w:hAnsi="Times New Roman"/>
          <w:sz w:val="18"/>
          <w:szCs w:val="18"/>
          <w:color w:val="auto"/>
        </w:rPr>
      </w:pPr>
    </w:p>
    <w:p>
      <w:pPr>
        <w:ind w:left="1020" w:right="66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revenue, if any, received from commercial sales of our product candidates, should any of our product candidates receive marketing approval;</w:t>
      </w:r>
    </w:p>
    <w:p>
      <w:pPr>
        <w:spacing w:after="0" w:line="59" w:lineRule="exact"/>
        <w:rPr>
          <w:rFonts w:ascii="Times New Roman" w:cs="Times New Roman" w:eastAsia="Times New Roman" w:hAnsi="Times New Roman"/>
          <w:sz w:val="18"/>
          <w:szCs w:val="18"/>
          <w:color w:val="auto"/>
        </w:rPr>
      </w:pPr>
    </w:p>
    <w:p>
      <w:pPr>
        <w:ind w:left="1020" w:right="60" w:hanging="503"/>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changes in pharmaceutical pricing and reimbursement infrastructure which are anticipated in connection with the enactment of the Inflation Reduction Act of 2022 ("IRA") and other legislation and regulations that may be subsequently enacted;</w:t>
      </w:r>
    </w:p>
    <w:p>
      <w:pPr>
        <w:spacing w:after="0" w:line="7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receipt of regulatory approval, revenue, if any, received from commercial sales for any approved indications for any of our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compete with other therapies in the indications we target;</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in-license or acquire rights to products, product candidates or technologies in addition to ruzasvir;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6" w:name="page37"/>
    <w:bookmarkEnd w:id="36"/>
    <w:p>
      <w:pPr>
        <w:ind w:left="1020" w:right="440" w:hanging="503"/>
        <w:spacing w:after="0" w:line="286"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continued growth of our headcount and associated costs as we expand our research and development capabilities and establish a commercial infrastructure;</w:t>
      </w:r>
    </w:p>
    <w:p>
      <w:pPr>
        <w:spacing w:after="0" w:line="32"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preparing, filing and prosecuting patent applications and maintaining and protecting our intellectual property rights, including enforcing and defending intellectual property-related claims; and</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continued costs of operating as a public company.</w:t>
      </w:r>
    </w:p>
    <w:p>
      <w:pPr>
        <w:spacing w:after="0" w:line="10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cannot be certain that additional funding will be available on acceptable terms, or at all. The COVID-19 pandemic, including the evolution of new and existing variants of COVID-19, and geopolitical events, including civil or political unrest (such as the ongoing war between Ukraine and Russia), have resulted in a significant disruption of global financial markets. In addition, recent or future market volatility, increased inflation and higher interest rates, if sustained, may increase our cost of financing and may restrict our access to potential sources of future liquidity. If we are unable to raise additional capital in sufficient amounts, on terms acceptable to us, or on a timely basis, we may have to significantly delay, scale back or discontinue the development or commercialization of our product candidates or other research and development initiatives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product sales and may not be able to achieve profitability.</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Due to the recognition of revenue for accounting purposes of certain payments we received under the terminated Roche License Agreement, we recognized operating income for the year ended December 31, 2021, however, our ability to achieve and sustain future profitability depends upon our ability to generate revenue from product sales. Other than from the Roche License Agreement, we have not generated any revenue and do not expect to generate product revenue unless or until we successfully complete clinical development and obtain regulatory approval of, and then successfully commercialize, at least one of our product candidates. Our product candidates are in varying stages of development, which is expected to necessitate additional preclinical studies in some cases and in all cases will require additional clinical development as well as regulatory review and approval, substantial investment, access to sufficient commercial manufacturing capacity and significant marketing efforts before we can generate any revenue from product sales. Currently, we do not anticipate generating revenue from product sales for at least the next several years. Our ability to generate revenue depends on a number of factors, including, but not limited to:</w:t>
      </w:r>
    </w:p>
    <w:p>
      <w:pPr>
        <w:spacing w:after="0" w:line="83" w:lineRule="exact"/>
        <w:rPr>
          <w:sz w:val="20"/>
          <w:szCs w:val="20"/>
          <w:color w:val="auto"/>
        </w:rPr>
      </w:pPr>
    </w:p>
    <w:p>
      <w:pPr>
        <w:ind w:left="1020" w:right="20" w:hanging="503"/>
        <w:spacing w:after="0" w:line="246"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timely initiation and completion of our Phase 3 SUNRISE-3 clinical trial, other clinical trials of our bemnifosbuvir COV19 product candidates, bemnifosbuvir and ruzasvir, and AT-752, our preclinical studies and other future clinical trials, which may be significantly slower or more costly than we currently anticipate and will depend substantially upon the performance of third-party contractors;</w:t>
      </w:r>
    </w:p>
    <w:p>
      <w:pPr>
        <w:spacing w:after="0" w:line="82"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complete additional investigational new drug application (“IND”) enabling studies and successfully submit INDs or comparable applications to allow us to initiate clinical trials for our product candidates;</w:t>
      </w:r>
    </w:p>
    <w:p>
      <w:pPr>
        <w:spacing w:after="0" w:line="46" w:lineRule="exact"/>
        <w:rPr>
          <w:rFonts w:ascii="Times New Roman" w:cs="Times New Roman" w:eastAsia="Times New Roman" w:hAnsi="Times New Roman"/>
          <w:sz w:val="18"/>
          <w:szCs w:val="18"/>
          <w:color w:val="auto"/>
        </w:rPr>
      </w:pPr>
    </w:p>
    <w:p>
      <w:pPr>
        <w:ind w:left="1020" w:right="160" w:hanging="503"/>
        <w:spacing w:after="0" w:line="26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55" w:lineRule="exact"/>
        <w:rPr>
          <w:rFonts w:ascii="Times New Roman" w:cs="Times New Roman" w:eastAsia="Times New Roman" w:hAnsi="Times New Roman"/>
          <w:sz w:val="18"/>
          <w:szCs w:val="18"/>
          <w:color w:val="auto"/>
        </w:rPr>
      </w:pPr>
    </w:p>
    <w:p>
      <w:pPr>
        <w:ind w:left="1020" w:right="340" w:hanging="503"/>
        <w:spacing w:after="0" w:line="286"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demonstrate to the satisfaction of the FDA or similar foreign regulatory authorities the safety and efficacy of our product candidates or any future product candidates;</w:t>
      </w:r>
    </w:p>
    <w:p>
      <w:pPr>
        <w:spacing w:after="0" w:line="32"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product candidates, if any;</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timely receipt of necessary marketing approvals from the FDA or similar foreign regulatory authorities;</w:t>
      </w:r>
    </w:p>
    <w:p>
      <w:pPr>
        <w:spacing w:after="0" w:line="102"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perceived advantages and relative cost, convenience and efficacy of any bemnifosbuvir COV19 product, we may be able to commercialize, compared to other COVID-19 therapies as well as the accuracy and sufficiency of clinical evidence supporting its performance;</w:t>
      </w:r>
    </w:p>
    <w:p>
      <w:pPr>
        <w:spacing w:after="0" w:line="55"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physicians, operators of clinics and patients to utilize or adopt any of our product candidates or future product candidates as potential antiviral therapies;</w:t>
      </w:r>
    </w:p>
    <w:p>
      <w:pPr>
        <w:spacing w:after="0" w:line="46"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37" w:name="page38"/>
    <w:bookmarkEnd w:id="37"/>
    <w:p>
      <w:pPr>
        <w:ind w:left="1020" w:right="40"/>
        <w:spacing w:after="0" w:line="287" w:lineRule="auto"/>
        <w:rPr>
          <w:sz w:val="20"/>
          <w:szCs w:val="20"/>
          <w:color w:val="auto"/>
        </w:rPr>
      </w:pPr>
      <w:r>
        <w:rPr>
          <w:rFonts w:ascii="Arial" w:cs="Arial" w:eastAsia="Arial" w:hAnsi="Arial"/>
          <w:sz w:val="18"/>
          <w:szCs w:val="18"/>
          <w:color w:val="auto"/>
        </w:rPr>
        <w:t>manufacturing processes that are compliant with current good manufacturing practices (“cGMP”) or similar requirements outside the United States;</w:t>
      </w:r>
    </w:p>
    <w:p>
      <w:pPr>
        <w:spacing w:after="0" w:line="31" w:lineRule="exact"/>
        <w:rPr>
          <w:sz w:val="20"/>
          <w:szCs w:val="20"/>
          <w:color w:val="auto"/>
        </w:rPr>
      </w:pPr>
    </w:p>
    <w:p>
      <w:pPr>
        <w:jc w:val="both"/>
        <w:ind w:left="1020" w:right="380" w:hanging="503"/>
        <w:spacing w:after="0" w:line="26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licensed for marketing, reimbursement, sale and distribution in such countries and territories, whether alone or in collaboration with others; and</w:t>
      </w:r>
    </w:p>
    <w:p>
      <w:pPr>
        <w:spacing w:after="0" w:line="55" w:lineRule="exact"/>
        <w:rPr>
          <w:rFonts w:ascii="Times New Roman" w:cs="Times New Roman" w:eastAsia="Times New Roman" w:hAnsi="Times New Roman"/>
          <w:sz w:val="18"/>
          <w:szCs w:val="18"/>
          <w:color w:val="auto"/>
        </w:rPr>
      </w:pPr>
    </w:p>
    <w:p>
      <w:pPr>
        <w:ind w:left="1020" w:right="28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maintain, protect and enforce intellectual property rights in and to our product candidates or any future product candidates.</w:t>
      </w:r>
    </w:p>
    <w:p>
      <w:pPr>
        <w:spacing w:after="0" w:line="6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be able to maintain profitability after generating product sales or meet outside expectations for our profitability. If we are unable to achieve or sustain profitability or to meet outside expectations for our profitability, the value of our common stock will be materially adversely affected. In addition, if we are unable to generate sufficient revenue through the sale of any products, we may be unable to continue operations.</w:t>
      </w:r>
    </w:p>
    <w:p>
      <w:pPr>
        <w:spacing w:after="0" w:line="179"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to offset taxable income may be subject to certain limitations.</w:t>
      </w:r>
    </w:p>
    <w:p>
      <w:pPr>
        <w:spacing w:after="0" w:line="4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utilized federal and state net operating loss carryforwards (“NOLs”) of approximately $52.8 million and $52.6 million, respectively, during the year ending December 31, 2021. We utilized federal and state research and development credit carryforwards of $0.7 million and $0.3 million, respectively during the year ended December 31, 2021.</w:t>
      </w:r>
    </w:p>
    <w:p>
      <w:pPr>
        <w:spacing w:after="0" w:line="7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In general, under Sections 382 and 383 of the Internal Revenue Code of 1986, as amended (the “Code”), a corporation that undergoes an “ownership change,” generally defined as a greater than 50% change by value in its equity ownership over a three-year period, is subject to limitations on its ability to utilize its pre-change NOLs and its research and development credit carryforwards to offset future taxable income. Our NOLs and research and development credit carryforwards may be subject to limitations arising from previous ownership changes, and if we undergo an ownership change, our ability to utilize NOLs (to the extent not previously utilized) and research and development credit carryforwards could be further limited by Sections 382 and 383 of the Code.</w:t>
      </w:r>
    </w:p>
    <w:p>
      <w:pPr>
        <w:spacing w:after="0" w:line="8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For fiscal year 2021, we have completed a Section 382 study, the results of which indicated that no ownership shift occurred during such period. However, this conclusion could be challenged by tax authorities. In addition, future changes in our stock ownership, some of which might be beyond our control, could result in an ownership change under Sections 382 and 383 of the Code. For these reasons, we may not be able to utilize existing NOLs or research and development credit carryforwards or net operating losses and research and development credits that may be generated in the future.</w:t>
      </w:r>
    </w:p>
    <w:p>
      <w:pPr>
        <w:spacing w:after="0" w:line="179"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4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Even if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w:t>
      </w:r>
    </w:p>
    <w:p>
      <w:pPr>
        <w:spacing w:after="0" w:line="190" w:lineRule="exact"/>
        <w:rPr>
          <w:sz w:val="20"/>
          <w:szCs w:val="20"/>
          <w:color w:val="auto"/>
        </w:rPr>
      </w:pPr>
    </w:p>
    <w:p>
      <w:pPr>
        <w:ind w:right="540"/>
        <w:spacing w:after="0" w:line="281" w:lineRule="auto"/>
        <w:rPr>
          <w:sz w:val="20"/>
          <w:szCs w:val="20"/>
          <w:color w:val="auto"/>
        </w:rPr>
      </w:pPr>
      <w:r>
        <w:rPr>
          <w:rFonts w:ascii="Arial" w:cs="Arial" w:eastAsia="Arial" w:hAnsi="Arial"/>
          <w:sz w:val="18"/>
          <w:szCs w:val="18"/>
          <w:b w:val="1"/>
          <w:bCs w:val="1"/>
          <w:color w:val="auto"/>
        </w:rPr>
        <w:t>Risks Related to the Discovery, Development, Preclinical and Clinical Testing, Manufacturing and Regulatory Approval of Our Product Candidates</w:t>
      </w:r>
    </w:p>
    <w:p>
      <w:pPr>
        <w:spacing w:after="0" w:line="138"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b w:val="1"/>
          <w:bCs w:val="1"/>
          <w:i w:val="1"/>
          <w:iCs w:val="1"/>
          <w:color w:val="auto"/>
        </w:rPr>
        <w:t>Our business is highly dependent on our ability to develop one or more bemnifosbuvir COV19 product candidates. If we are not successful in developing a bemnifosbuvir COV19 product candidate, our business will be harmed. Our business is also highly dependent on the success of our other most advanced product candidates, including the combination of bemnifosbuvir and ruzasvir for the treatment of HCV, and AT-752 for the treatment of dengue, each of which will require significant additional clinical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8" w:name="page39"/>
    <w:bookmarkEnd w:id="38"/>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testing before we can seek regulatory approval and potentially launch commercial sales. If these product candidates fail in clinical development, do not receive regulatory approval or are not successfully commercialized, or are significantly delayed in doing so, our business will be harmed.</w:t>
      </w:r>
    </w:p>
    <w:p>
      <w:pPr>
        <w:spacing w:after="0" w:line="4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 substantial portion of our business and future success depends on our ability to develop one or more bemnifosbuvir COV19 product candidates and to develop, obtain regulatory approval for and successfully commercialize the combination of bemnifosbuvir and ruzasvir for the treatment of HCV and AT-752 for the treatment of dengue. We currently have no products that are approved for commercial sale and have not completed the development of any of our product candidates, and we may never be able to develop marketable products. During the near term we expect that a substantial portion of our efforts and expenditures will continue to be devoted to developing a potential bemnifosbuvir COV19 product candidate. Among other things, this effort will require the successful completion of our Phase 3 SUNRISE-3 clinical trial and additional nonclinical and clinical development and the incurrence of expenses related to discovering, acquiring or in-licensing a drug or drug candidate to combine with bemnifosbuvir for the treatment of COVID-19. COVID-19, while currently a global pandemic, is unpredictable and therapies, including any bemnifosbuvir COV19 product candidate, may be adversely impacted up to the point of obsolescence by the emergence of new variants or subvariants. Additionally, we expect that a substantial portion of our efforts and expenditures over the next few years will be devoted to developing the combination of bemnifosbuvir and ruzasvir for the treatment of HCV and AT-752 for the treatment and prevention of dengue, each of which will require additional clinical development, management of clinical, medical affairs and manufacturing activities, obtaining regulatory approvals in multiple jurisdictions, securing of manufacturing supply, building of a commercial organization, substantial investment and significant marketing efforts. We cannot be certain that any of our current or future product candidates will be successful in clinical trials, receive regulatory approval or be successfully commercialized even if we receive regulatory approval. For example, each of a prior Phase 2 clinical trial and the Phase 3 MORNINGSKY clinical trial evaluating bemnifosbuvir for the treatment of COVID-19 in outpatients failed to meet its primary endpoint in the overall study population. Further, our development of any product candidate may be delayed, which may affect our ability to successfully commercialize such product candidate.</w:t>
      </w:r>
    </w:p>
    <w:p>
      <w:pPr>
        <w:spacing w:after="0" w:line="7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If our competitors develop products to treat diseases and, if applicable, specified patient populations which our current or future product candidates are being developed to treat, before we are able to successfully develop a product candidate, or if our competitors develop any products that are superior to our product candidates, our potential market share could become smaller or non-existent. Even if we receive approval to market any product candidate, we cannot be certain that our product candidates will be as or more effective than other commercially available alternatives, successfully commercialized or widely accepted in the marketplace. Nor can we be certain that, if approved, the safety and efficacy profile of our product candidates will be consistent with the results observed in clinical trials or in the case of a bemnifosbuvir COV19 product candidate, that it will demonstrate efficacy against continuing mutations of the SARS-COV-2 virus, the causative agent of COVID-19. If we are not successful in the clinical development of our most advanced product candidates or in developing our bemnifosbuvir COV19 product candidate, the required regulatory approvals for these product candidates are not obtained, there are significant delays in the development or approval of these product candidates, or any approved products are not commercially successful, our business, financial condition and results of operations may be materially harmed.</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w:t>
      </w:r>
    </w:p>
    <w:p>
      <w:pPr>
        <w:spacing w:after="0" w:line="4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w:t>
      </w:r>
    </w:p>
    <w:p>
      <w:pPr>
        <w:spacing w:after="0" w:line="67"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color w:val="auto"/>
        </w:rPr>
        <w:t>Regulatory authorities have substantial discretion in the approval process and may refuse to accept any application or may decide that our data are insufficient for approval and require additional preclinical, clinical or other studies. We have not submitted an NDA for, or obtained regulatory approval of, any product candidate. We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1" w:right="359" w:bottom="1440" w:gutter="0" w:footer="0" w:header="0"/>
        </w:sectPr>
      </w:pPr>
    </w:p>
    <w:bookmarkStart w:id="39" w:name="page40"/>
    <w:bookmarkEnd w:id="39"/>
    <w:p>
      <w:pPr>
        <w:jc w:val="both"/>
        <w:ind w:right="40"/>
        <w:spacing w:after="0" w:line="252" w:lineRule="auto"/>
        <w:rPr>
          <w:sz w:val="20"/>
          <w:szCs w:val="20"/>
          <w:color w:val="auto"/>
        </w:rPr>
      </w:pPr>
      <w:r>
        <w:rPr>
          <w:rFonts w:ascii="Arial" w:cs="Arial" w:eastAsia="Arial" w:hAnsi="Arial"/>
          <w:sz w:val="18"/>
          <w:szCs w:val="18"/>
          <w:color w:val="auto"/>
        </w:rPr>
        <w:t>must complete additional preclinical or nonclinical studies and clinical trials to demonstrate the safety and efficacy of our product candidates in humans to the satisfaction of the regulatory authorities before we will be able to obtain these approvals, and it is possible that none of our existing product candidates or any product candidates we may seek to develop in the future will ever obtain regulatory approval. Applications for our product candidates could fail to receive regulatory approval for many reasons, including but not limited to the following:</w:t>
      </w:r>
    </w:p>
    <w:p>
      <w:pPr>
        <w:spacing w:after="0" w:line="76" w:lineRule="exact"/>
        <w:rPr>
          <w:sz w:val="20"/>
          <w:szCs w:val="20"/>
          <w:color w:val="auto"/>
        </w:rPr>
      </w:pPr>
    </w:p>
    <w:p>
      <w:pPr>
        <w:ind w:left="1020" w:right="4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the design, implementation or interpretation of results of our clinical trials;</w:t>
      </w:r>
    </w:p>
    <w:p>
      <w:pPr>
        <w:spacing w:after="0" w:line="46" w:lineRule="exact"/>
        <w:rPr>
          <w:rFonts w:ascii="Times New Roman" w:cs="Times New Roman" w:eastAsia="Times New Roman" w:hAnsi="Times New Roman"/>
          <w:sz w:val="18"/>
          <w:szCs w:val="18"/>
          <w:color w:val="auto"/>
        </w:rPr>
      </w:pPr>
    </w:p>
    <w:p>
      <w:pPr>
        <w:jc w:val="both"/>
        <w:ind w:left="1020" w:right="20" w:hanging="503"/>
        <w:spacing w:after="0" w:line="26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55"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59"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FDA or comparable foreign regulatory authorities that a product candidate’s clinical and other benefits outweigh its safety risks;</w:t>
      </w:r>
    </w:p>
    <w:p>
      <w:pPr>
        <w:spacing w:after="0" w:line="46" w:lineRule="exact"/>
        <w:rPr>
          <w:rFonts w:ascii="Times New Roman" w:cs="Times New Roman" w:eastAsia="Times New Roman" w:hAnsi="Times New Roman"/>
          <w:sz w:val="18"/>
          <w:szCs w:val="18"/>
          <w:color w:val="auto"/>
        </w:rPr>
      </w:pPr>
    </w:p>
    <w:p>
      <w:pPr>
        <w:ind w:left="1020" w:right="400" w:hanging="503"/>
        <w:spacing w:after="0" w:line="286"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32" w:lineRule="exact"/>
        <w:rPr>
          <w:rFonts w:ascii="Times New Roman" w:cs="Times New Roman" w:eastAsia="Times New Roman" w:hAnsi="Times New Roman"/>
          <w:sz w:val="18"/>
          <w:szCs w:val="18"/>
          <w:color w:val="auto"/>
        </w:rPr>
      </w:pPr>
    </w:p>
    <w:p>
      <w:pPr>
        <w:ind w:left="1020" w:right="40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59" w:lineRule="exact"/>
        <w:rPr>
          <w:rFonts w:ascii="Times New Roman" w:cs="Times New Roman" w:eastAsia="Times New Roman" w:hAnsi="Times New Roman"/>
          <w:sz w:val="18"/>
          <w:szCs w:val="18"/>
          <w:color w:val="auto"/>
        </w:rPr>
      </w:pPr>
    </w:p>
    <w:p>
      <w:pPr>
        <w:ind w:left="1020" w:right="64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4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seriously harm our business. In addition, even if we or our collaborators were to obtain approval, regulatory authorities may approve any of our product candidates for fewer or more limited indications than we request, may impose significant limitations in the form of narrow indications, warnings, or a Risk Evaluation and Mitigation Strategy (“REMS”) or similar risk management measures.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95"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b w:val="1"/>
          <w:bCs w:val="1"/>
          <w:i w:val="1"/>
          <w:iCs w:val="1"/>
          <w:color w:val="auto"/>
        </w:rPr>
        <w:t>Clinical development, including enrollment of patients in clinical trials, is an expensive, lengthy and uncertain process. We may encounter substantial delays and costs in our clinical trials, or may not be able to conduct or complete our clinical trials on the timelines we expect, if at all.</w:t>
      </w:r>
    </w:p>
    <w:p>
      <w:pPr>
        <w:spacing w:after="0" w:line="6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time-consuming and subject to uncertainty. A failure of one or more clinical trials can occur at any stage of the process, such as the failure in October 2021 of bemnifosbuvir to meet the primary endpoint in the overall patient population in the Phase 2 MOONSONG clinical trial. The outcome of preclinical studies and early-stage clinical trials may not be predictive of the success of later clinical trials. This may be particularly true in the development of therapeutics for the treatment of COVID-19, including our development of bemnifosbuvir COV19 product candidates, where the evolution of the virus and disease have occurred at such a rapid rate that product candidates in development have the potential to become obsolete before clinical development is completed. Moreover, preclinical and clinical data, particularly the analysis of exploratory endpoints and analysis of data derived from patient subgroups, such as the data from the MORNINGSKY study upon which we have relied to continue clinical development, are often susceptible to varying interpretations, and many companies that have believed their product candidates performed satisfactorily in preclinical studies and clinical trials have nonetheless failed to obtain marketing approval of their drugs. To date, we have not completed any late-stage or pivotal clinical trials for any of our product candidates. We cannot guarantee that our Phase 3 SUNRISE-3 clinical trial or any of our other planned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0" w:name="page41"/>
    <w:bookmarkEnd w:id="40"/>
    <w:p>
      <w:pPr>
        <w:ind w:right="80"/>
        <w:spacing w:after="0" w:line="251" w:lineRule="auto"/>
        <w:rPr>
          <w:sz w:val="20"/>
          <w:szCs w:val="20"/>
          <w:color w:val="auto"/>
        </w:rPr>
      </w:pPr>
      <w:r>
        <w:rPr>
          <w:rFonts w:ascii="Arial" w:cs="Arial" w:eastAsia="Arial" w:hAnsi="Arial"/>
          <w:sz w:val="18"/>
          <w:szCs w:val="18"/>
          <w:color w:val="auto"/>
        </w:rPr>
        <w:t>or ongoing clinical trials will be initiated or conducted as planned or completed on schedule, if at all. We also cannot be sure that submission of any future IND or similar application will result in the FDA or other regulatory authority, as applicable, allowing future clinical trials to begin in a timely manner, if at all. Moreover, even if these trials begin, issues may arise that could cause regulatory authorities to suspend or terminate such clinical trials. A failure of one or more clinical trials can occur at any stage of testing, and our future clinical trials may not be successful. Events that may prevent successful or timely initiation or completion of clinical trials include but are not limited to:</w:t>
      </w:r>
    </w:p>
    <w:p>
      <w:pPr>
        <w:spacing w:after="0" w:line="65" w:lineRule="exact"/>
        <w:rPr>
          <w:sz w:val="20"/>
          <w:szCs w:val="20"/>
          <w:color w:val="auto"/>
        </w:rPr>
      </w:pPr>
    </w:p>
    <w:p>
      <w:pPr>
        <w:ind w:left="1020" w:right="38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generate sufficient preclinical, toxicology, or other in vivo or in vitro data to support the initiation or continuation of clinical trials;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reaching a consensus with regulatory authorities on study design or implementation of the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failure in obtaining regulatory authorization to commence a trial;</w:t>
      </w:r>
    </w:p>
    <w:p>
      <w:pPr>
        <w:spacing w:after="0" w:line="102" w:lineRule="exact"/>
        <w:rPr>
          <w:rFonts w:ascii="Times New Roman" w:cs="Times New Roman" w:eastAsia="Times New Roman" w:hAnsi="Times New Roman"/>
          <w:sz w:val="18"/>
          <w:szCs w:val="18"/>
          <w:color w:val="auto"/>
        </w:rPr>
      </w:pPr>
    </w:p>
    <w:p>
      <w:pPr>
        <w:ind w:left="1020" w:right="44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CROs and clinical trial sites;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identifying, recruiting and training suitable clinical investigators;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obtaining required institutional review board (“IRB”) or ethics committee approval at each clinical trial site;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recruiting, screening and enrolling suitable patients to participate in our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46" w:lineRule="exact"/>
        <w:rPr>
          <w:rFonts w:ascii="Times New Roman" w:cs="Times New Roman" w:eastAsia="Times New Roman" w:hAnsi="Times New Roman"/>
          <w:sz w:val="18"/>
          <w:szCs w:val="18"/>
          <w:color w:val="auto"/>
        </w:rPr>
      </w:pPr>
    </w:p>
    <w:p>
      <w:pPr>
        <w:ind w:left="1020" w:right="120" w:hanging="503"/>
        <w:spacing w:after="0" w:line="286"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32" w:lineRule="exact"/>
        <w:rPr>
          <w:rFonts w:ascii="Times New Roman" w:cs="Times New Roman" w:eastAsia="Times New Roman" w:hAnsi="Times New Roman"/>
          <w:sz w:val="18"/>
          <w:szCs w:val="18"/>
          <w:color w:val="auto"/>
        </w:rPr>
      </w:pPr>
    </w:p>
    <w:p>
      <w:pPr>
        <w:ind w:left="1020" w:right="16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temporary or permanent clinical hold by regulatory authorities for a number of reasons, including after review of an IND or amendment or equivalent foreign application or amendment; as a result of a new safety finding that presents unreasonable risk to clinical trial participants; or a negative finding from an inspection of our clinical trial operations or study sites;</w:t>
      </w:r>
    </w:p>
    <w:p>
      <w:pPr>
        <w:spacing w:after="0" w:line="61" w:lineRule="exact"/>
        <w:rPr>
          <w:rFonts w:ascii="Times New Roman" w:cs="Times New Roman" w:eastAsia="Times New Roman" w:hAnsi="Times New Roman"/>
          <w:sz w:val="18"/>
          <w:szCs w:val="18"/>
          <w:color w:val="auto"/>
        </w:rPr>
      </w:pPr>
    </w:p>
    <w:p>
      <w:pPr>
        <w:ind w:left="1020" w:right="40" w:hanging="503"/>
        <w:spacing w:after="0" w:line="26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55" w:lineRule="exact"/>
        <w:rPr>
          <w:rFonts w:ascii="Times New Roman" w:cs="Times New Roman" w:eastAsia="Times New Roman" w:hAnsi="Times New Roman"/>
          <w:sz w:val="18"/>
          <w:szCs w:val="18"/>
          <w:color w:val="auto"/>
        </w:rPr>
      </w:pPr>
    </w:p>
    <w:p>
      <w:pPr>
        <w:ind w:left="1020" w:right="340" w:hanging="503"/>
        <w:spacing w:after="0" w:line="26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delays caused by patients withdrawing from clinical trials or failing to return for post-treatment follow-up, including due to the COVID-19 pandemic or political unrest and war, including the current conflict between the Ukraine and Russia and any escalation or spillover into additional regions;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difficulty collaborating with patient groups and investigators;</w:t>
      </w:r>
    </w:p>
    <w:p>
      <w:pPr>
        <w:spacing w:after="0" w:line="102" w:lineRule="exact"/>
        <w:rPr>
          <w:rFonts w:ascii="Times New Roman" w:cs="Times New Roman" w:eastAsia="Times New Roman" w:hAnsi="Times New Roman"/>
          <w:sz w:val="18"/>
          <w:szCs w:val="18"/>
          <w:color w:val="auto"/>
        </w:rPr>
      </w:pPr>
    </w:p>
    <w:p>
      <w:pPr>
        <w:ind w:left="1020" w:right="120" w:hanging="503"/>
        <w:spacing w:after="0" w:line="26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our CROs, other third parties or us to adhere to clinical trial protocols; failure to perform in accordance with the FDA’s or any other regulatory authority’s good clinical practice requirements (“GCPs”), or applicable regulatory guidelines in other countries;</w:t>
      </w:r>
    </w:p>
    <w:p>
      <w:pPr>
        <w:spacing w:after="0" w:line="55" w:lineRule="exact"/>
        <w:rPr>
          <w:rFonts w:ascii="Times New Roman" w:cs="Times New Roman" w:eastAsia="Times New Roman" w:hAnsi="Times New Roman"/>
          <w:sz w:val="18"/>
          <w:szCs w:val="18"/>
          <w:color w:val="auto"/>
        </w:rPr>
      </w:pPr>
    </w:p>
    <w:p>
      <w:pPr>
        <w:ind w:left="1020" w:right="640" w:hanging="503"/>
        <w:spacing w:after="0" w:line="286"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occurrence of adverse events associated with the product candidate that are viewed to outweigh its potential benefits, or occurrence of adverse events in trial of the same class of agents conducted by other companies;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the clinical trial protocols;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sites deviating from trial protocol or dropping out of a trial;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41" w:name="page42"/>
    <w:bookmarkEnd w:id="41"/>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selection of clinical endpoints that require prolonged periods of observation or analyses of resulting data;</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32"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transfer of manufacturing processes to larger-scale facilities operated by a CMO and delays or failure by our CMOs or us to make any necessary changes to such manufacturing process; and</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103"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difficulties or delays in initiating, enrolling, conducting or completing our planned and ongoing clinical trials. In particular, the rate of incidence, testing and diagnosis of COVID-19, changes in the standard of care for the treatment of COVID-19, which is rapidly evolving due to the mutation of the virus, rapidly increasing knowledge being obtained by healthcare providers, rates and durability of vaccines, and availability of an increasing number of therapeutic options, may impact the initiation or successful completion of our Phase 3 SUNRISE-3 clinical trial and our other COVID-19-related clinical trials.</w:t>
      </w:r>
    </w:p>
    <w:p>
      <w:pPr>
        <w:spacing w:after="0" w:line="82"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Any inability to successfully initiate or complete our Phase 3 SUNRISE-3 clinical trial or our other ongoing and planned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any approved products have patent protection and may allow our competitors to bring products to market before we do, which could impair our ability to successfully commercialize our product candidates and may seriously harm our business.</w:t>
      </w:r>
    </w:p>
    <w:p>
      <w:pPr>
        <w:spacing w:after="0" w:line="8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(“DSMB”)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8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Further, conducting clinical trials in foreign countries, as we are currently doing with our dengue clinical trials, are planning to do for the Phase 3 SUNRISE-3 clinical trial and otherwise expect to continue doing for our other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6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7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Delays in the completion of any clinical trial of our product candidates will increase our costs, slow down our product candidate development and approval process and delay or potentially jeopardize our ability to commence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2" w:name="page43"/>
    <w:bookmarkEnd w:id="42"/>
    <w:p>
      <w:pPr>
        <w:ind w:right="180"/>
        <w:spacing w:after="0" w:line="251" w:lineRule="auto"/>
        <w:rPr>
          <w:sz w:val="20"/>
          <w:szCs w:val="20"/>
          <w:color w:val="auto"/>
        </w:rPr>
      </w:pPr>
      <w:r>
        <w:rPr>
          <w:rFonts w:ascii="Arial" w:cs="Arial" w:eastAsia="Arial" w:hAnsi="Arial"/>
          <w:sz w:val="18"/>
          <w:szCs w:val="18"/>
          <w:color w:val="auto"/>
        </w:rPr>
        <w:t>product sales and generate product revenue. In addition, many of the factors that cause, or lead to, a delay in the commencement or completion of clinical trials may also ultimately lead to the denial of regulatory approval of our product candidates. Any delays to our clinical trials that occur as a result could shorten any period during which we may have the exclusive right to commercialize our product candidates and our competitors may be able to bring products to market before we do, which could significantly reduce the commercial viability of our product candidates. Any of these occurrences may harm our business, financial condition and prospects significantly.</w:t>
      </w:r>
    </w:p>
    <w:p>
      <w:pPr>
        <w:spacing w:after="0" w:line="6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European Union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may still choose to submit a CTA under either the Clinical Trials Directive or the CTR until January 31, 2023 and, if authorized, those will be governed by the Clinical Trials Directive until January 31, 2025. By that date, all ongoing trials will become subject to the provisions of the CTR. Compliance with the CTR requirements by us and our third-party service providers, such as clinical research organizations (“CROs”), may impact our developments plans.</w:t>
      </w:r>
    </w:p>
    <w:p>
      <w:pPr>
        <w:spacing w:after="0" w:line="7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It is currently unclear to what extent the United Kingdom (“UK”) will seek to align its regulations with the EU. The UK regulatory framework in relation to clinical trials is derived from existing EU legislation (as implemented into UK law, through secondary legislation). On January 17, 2022, the UK Medicines and Healthcare products Regulatory Agency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marketing authorization in the EU for our product candidates on the basis of clinical trials conducted in the UK.</w:t>
      </w:r>
    </w:p>
    <w:p>
      <w:pPr>
        <w:spacing w:after="0" w:line="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governing clinical trials, our development plans may also be impacted.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intend to develop our product candidates in combination with other therapies, which exposes us to additional risks.</w:t>
      </w:r>
    </w:p>
    <w:p>
      <w:pPr>
        <w:spacing w:after="0" w:line="102"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Combination therapies are commonly used for the treatment of viral infections. We are currently planning to develop combination therapies for the treatment of COVID-19 and HCV. Developing combination therapies exposes us to additional clinical risks, such as the requirement that we demonstrate the safety and efficacy of each active component of any combination regimen we may develop.</w:t>
      </w:r>
    </w:p>
    <w:p>
      <w:pPr>
        <w:spacing w:after="0" w:line="5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For the treatment of COVID-19 patients, in addition to our development of bemnifosbuvir as a monotherapy, we anticipate to develop a combination product consisting of bemnifosbuvir and a protease inhibitor that is currently the subject of internal discovery efforts. For the treatment of HCV, we are currently pursuing development of bemnifosbuvir in combination with ruzasvir, a product candidate that has not yet been approved for marketing by the FDA or similar foreign regulatory authorities. We may not be able to market and sell any product candidate we develop in combination with any such unapproved therapies that do not ultimately obtain marketing approval.</w:t>
      </w:r>
    </w:p>
    <w:p>
      <w:pPr>
        <w:spacing w:after="0" w:line="6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If the FDA or similar foreign regulatory authorities do not approve these other combination agents or revoke their approval of, or if safety, efficacy, manufacturing, or supply issues arise with the drugs or biologics we choose to evaluate in combination with our product candidates, we may be unable to obtain approval of or market our product candidates for combination therapy regimens.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3" w:name="page44"/>
    <w:bookmarkEnd w:id="43"/>
    <w:p>
      <w:pPr>
        <w:jc w:val="both"/>
        <w:spacing w:after="0" w:line="252" w:lineRule="auto"/>
        <w:rPr>
          <w:sz w:val="20"/>
          <w:szCs w:val="20"/>
          <w:color w:val="auto"/>
        </w:rPr>
      </w:pPr>
      <w:r>
        <w:rPr>
          <w:rFonts w:ascii="Arial" w:cs="Arial" w:eastAsia="Arial" w:hAnsi="Arial"/>
          <w:sz w:val="18"/>
          <w:szCs w:val="18"/>
          <w:color w:val="auto"/>
        </w:rPr>
        <w:t>Additionally, if the third-party manufacturers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186"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b w:val="1"/>
          <w:bCs w:val="1"/>
          <w:i w:val="1"/>
          <w:iCs w:val="1"/>
          <w:color w:val="auto"/>
        </w:rPr>
        <w:t>Our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65"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Adverse events or other undesirable side effects caused by our product candidates could cause us, our collaborators, any DSMB for a trial, or regulatory authorities to interrupt, delay or halt clinical trials and could result in a more restrictive label or the delay or denial of regulatory approval by the FDA or other comparable foreign regulatory authorities.</w:t>
      </w:r>
    </w:p>
    <w:p>
      <w:pPr>
        <w:spacing w:after="0" w:line="6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w:t>
      </w:r>
    </w:p>
    <w:p>
      <w:pPr>
        <w:spacing w:after="0" w:line="8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If any serious adverse events occur, clinical trials or commercial distribution of any product candidates or products we develop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to cease further development of, deny approval of, or require us to cease selling any product candidates or products for any or all targeted indications. If we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71" w:lineRule="exact"/>
        <w:rPr>
          <w:sz w:val="20"/>
          <w:szCs w:val="20"/>
          <w:color w:val="auto"/>
        </w:rPr>
      </w:pPr>
    </w:p>
    <w:p>
      <w:pPr>
        <w:ind w:left="1020" w:right="40" w:hanging="503"/>
        <w:spacing w:after="0" w:line="286"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or distribution;</w:t>
      </w:r>
    </w:p>
    <w:p>
      <w:pPr>
        <w:spacing w:after="0" w:line="32" w:lineRule="exact"/>
        <w:rPr>
          <w:rFonts w:ascii="Times New Roman" w:cs="Times New Roman" w:eastAsia="Times New Roman" w:hAnsi="Times New Roman"/>
          <w:sz w:val="18"/>
          <w:szCs w:val="18"/>
          <w:color w:val="auto"/>
        </w:rPr>
      </w:pPr>
    </w:p>
    <w:p>
      <w:pPr>
        <w:ind w:left="1020" w:right="220" w:hanging="503"/>
        <w:spacing w:after="0" w:line="26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02" w:lineRule="exact"/>
        <w:rPr>
          <w:rFonts w:ascii="Times New Roman" w:cs="Times New Roman" w:eastAsia="Times New Roman" w:hAnsi="Times New Roman"/>
          <w:sz w:val="18"/>
          <w:szCs w:val="18"/>
          <w:color w:val="auto"/>
        </w:rPr>
      </w:pPr>
    </w:p>
    <w:p>
      <w:pPr>
        <w:ind w:left="1020" w:right="220" w:hanging="503"/>
        <w:spacing w:after="0" w:line="286"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create a REMS or similar risk management measures which could include a medication guide outlining the risks of such side effects for distribution to patients;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subject to fines, injunctions or the imposition of criminal penalties;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sued and held liable for harm caused to patients;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10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seriously harm our business, financial condition and results of operations.</w:t>
      </w:r>
    </w:p>
    <w:p>
      <w:pPr>
        <w:spacing w:after="0" w:line="169"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31"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4" w:name="page45"/>
    <w:bookmarkEnd w:id="44"/>
    <w:p>
      <w:pPr>
        <w:ind w:right="140"/>
        <w:spacing w:after="0" w:line="287" w:lineRule="auto"/>
        <w:rPr>
          <w:sz w:val="20"/>
          <w:szCs w:val="20"/>
          <w:color w:val="auto"/>
        </w:rPr>
      </w:pPr>
      <w:r>
        <w:rPr>
          <w:rFonts w:ascii="Arial" w:cs="Arial" w:eastAsia="Arial" w:hAnsi="Arial"/>
          <w:sz w:val="18"/>
          <w:szCs w:val="18"/>
          <w:color w:val="auto"/>
        </w:rPr>
        <w:t>a sufficient number of patients who remain in the trial until its conclusion. The enrollment of patients depends on many factors, including but not limited to:</w:t>
      </w:r>
    </w:p>
    <w:p>
      <w:pPr>
        <w:spacing w:after="0" w:line="31"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patient eligibility criteria defined in the protocol;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the target disease population;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proximity of patients to trial sites;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design of the trial;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02"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patient consents;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patients enrolled in clinical trials will drop out of the trials before trial completion; and</w:t>
      </w:r>
    </w:p>
    <w:p>
      <w:pPr>
        <w:spacing w:after="0" w:line="102" w:lineRule="exact"/>
        <w:rPr>
          <w:rFonts w:ascii="Times New Roman" w:cs="Times New Roman" w:eastAsia="Times New Roman" w:hAnsi="Times New Roman"/>
          <w:sz w:val="18"/>
          <w:szCs w:val="18"/>
          <w:color w:val="auto"/>
        </w:rPr>
      </w:pPr>
    </w:p>
    <w:p>
      <w:pPr>
        <w:ind w:left="1020" w:right="440" w:hanging="503"/>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other factors outside of our control, such as the COVID-19 pandemic which has, among other things, created substantial burdens on healthcare providers who may be required to prioritize immediate critical patient care over clinical research and political unrest and war, including the current conflict between the Ukraine and Russia and any escalation or spillover into additional regions.</w:t>
      </w:r>
    </w:p>
    <w:p>
      <w:pPr>
        <w:spacing w:after="0" w:line="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or similar areas,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w:t>
      </w:r>
    </w:p>
    <w:p>
      <w:pPr>
        <w:spacing w:after="0" w:line="6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Delays in patient enrollment may result in increased costs or may affect the timing or outcome of our ongoing and planned clinical trials, which could prevent completion or commencement of these trials and adversely affect our ability to advance the development of our product candidates.</w:t>
      </w:r>
    </w:p>
    <w:p>
      <w:pPr>
        <w:spacing w:after="0" w:line="16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A Fast Track Designation by the FDA may not lead to a faster development or regulatory review or approval process, and does not increase the likelihood that our product candidates will receive marketing approval.</w:t>
      </w:r>
    </w:p>
    <w:p>
      <w:pPr>
        <w:spacing w:after="0" w:line="3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have received Fast Track Designation for AT-752 for the treatment of dengue infection and may seek such designation for certain of our other product candidates.</w:t>
      </w:r>
    </w:p>
    <w:p>
      <w:pPr>
        <w:spacing w:after="0" w:line="3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If a product candidate is intended for the treatment of a serious or life-threatening condition and the product candidate demonstrates the potential to address unmet medical needs for such condition, the product candidate sponsor may apply for Fast Track Designation. The sponsor of a product candidate that has received Fast Track Designation may have opportunities for more frequent interactions with the FDA review team during product development and, once a New Drug Application (“NDA”) is submitted, the NDA may be eligible for priority review. An NDA for a Fast Track product candidate may also be eligible for rolling review, where the FDA may consider review of sections of the NDA on a rolling basis before the complete NDA is submitted.</w:t>
      </w:r>
    </w:p>
    <w:p>
      <w:pPr>
        <w:spacing w:after="0" w:line="6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FDA has broad discretion whether or not to grant Fast Track Designation to any particular product candidate. As a result, we may seek such Fast Track Designation for other product candidates, including our COVID-19 product candidate, but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Many product candidates that have received Fast Track Designation have nevertheless failed to obtain approval.</w:t>
      </w:r>
    </w:p>
    <w:p>
      <w:pPr>
        <w:spacing w:after="0" w:line="69"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We currently conduct clinical trials, and may in the future choose to conduct additional clinical trials, of our product candidates in sites outside the United States, and the FDA may not accept data from trials conducted in foreign locations.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We currently conduct, and expect in the future to conduct, clinical trials outside the United States for our product candidates.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there are risks inherent in conducting clinical trials in multiple jurisdictions, inside and outside of the United States, such as:</w:t>
      </w:r>
    </w:p>
    <w:p>
      <w:pPr>
        <w:spacing w:after="0" w:line="99" w:lineRule="exact"/>
        <w:rPr>
          <w:sz w:val="20"/>
          <w:szCs w:val="20"/>
          <w:color w:val="auto"/>
        </w:rPr>
      </w:pPr>
    </w:p>
    <w:p>
      <w:pPr>
        <w:ind w:left="1020" w:right="1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and administrative requirements of the jurisdiction where the trial is conducted that could burden or limit our ability to conduct our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foreign exchange fluctuations;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customs, shipment and storage requirements;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cultural differences in medical practice and clinical research; and</w:t>
      </w:r>
    </w:p>
    <w:p>
      <w:pPr>
        <w:spacing w:after="0" w:line="102" w:lineRule="exact"/>
        <w:rPr>
          <w:rFonts w:ascii="Times New Roman" w:cs="Times New Roman" w:eastAsia="Times New Roman" w:hAnsi="Times New Roman"/>
          <w:sz w:val="18"/>
          <w:szCs w:val="18"/>
          <w:color w:val="auto"/>
        </w:rPr>
      </w:pPr>
    </w:p>
    <w:p>
      <w:pPr>
        <w:ind w:left="1020" w:right="100" w:hanging="503"/>
        <w:spacing w:after="0" w:line="286"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the patient populations in such trials are not considered representative as compared to the patient population in the target markets where approval is being sought.</w:t>
      </w:r>
    </w:p>
    <w:p>
      <w:pPr>
        <w:spacing w:after="0" w:line="14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Consequently, the top-line or preliminary data that we report may differ from final results reported from the same studies, or different conclusions or considerations may qualify such preliminary or topline data, once additional data have been received and fully evaluated. Top-line and preliminary data also remain subject to audit and verification procedures that may result in the final results being materially different from the preliminary or topline data we previously published. As a result, top-line data should be viewed with caution until the final data are available.</w:t>
      </w:r>
    </w:p>
    <w:p>
      <w:pPr>
        <w:spacing w:after="0" w:line="85"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subsequently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results could significantly harm our business prospects. Further, disclosure of interim data by us or by our competitors could result in volatility in the price of our common stock.</w:t>
      </w:r>
    </w:p>
    <w:p>
      <w:pPr>
        <w:spacing w:after="0" w:line="6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6" w:name="page47"/>
    <w:bookmarkEnd w:id="46"/>
    <w:p>
      <w:pPr>
        <w:ind w:right="180"/>
        <w:spacing w:after="0" w:line="251" w:lineRule="auto"/>
        <w:rPr>
          <w:sz w:val="20"/>
          <w:szCs w:val="20"/>
          <w:color w:val="auto"/>
        </w:rPr>
      </w:pPr>
      <w:r>
        <w:rPr>
          <w:rFonts w:ascii="Arial" w:cs="Arial" w:eastAsia="Arial" w:hAnsi="Arial"/>
          <w:sz w:val="18"/>
          <w:szCs w:val="18"/>
          <w:color w:val="auto"/>
        </w:rPr>
        <w:t>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and successfully develop additional product candidates.</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Part of our strategy involves identifying novel product candidates. The process by which we identify novel product candidates may fail to yield product candidates for clinical development for a number of reasons, including those discussed in these risk factors and also:</w:t>
      </w:r>
    </w:p>
    <w:p>
      <w:pPr>
        <w:spacing w:after="0" w:line="31"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competitors may develop alternatives that render our potential product candidates obsolete or less attractive;</w:t>
      </w:r>
    </w:p>
    <w:p>
      <w:pPr>
        <w:spacing w:after="0" w:line="102" w:lineRule="exact"/>
        <w:rPr>
          <w:rFonts w:ascii="Times New Roman" w:cs="Times New Roman" w:eastAsia="Times New Roman" w:hAnsi="Times New Roman"/>
          <w:sz w:val="18"/>
          <w:szCs w:val="18"/>
          <w:color w:val="auto"/>
        </w:rPr>
      </w:pPr>
    </w:p>
    <w:p>
      <w:pPr>
        <w:ind w:left="1020" w:right="260" w:hanging="503"/>
        <w:spacing w:after="0" w:line="286"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candidates we develop may nevertheless be covered by third-parties’ patent or other intellectual property or exclusive rights;</w:t>
      </w:r>
    </w:p>
    <w:p>
      <w:pPr>
        <w:spacing w:after="0" w:line="32" w:lineRule="exact"/>
        <w:rPr>
          <w:rFonts w:ascii="Times New Roman" w:cs="Times New Roman" w:eastAsia="Times New Roman" w:hAnsi="Times New Roman"/>
          <w:sz w:val="18"/>
          <w:szCs w:val="18"/>
          <w:color w:val="auto"/>
        </w:rPr>
      </w:pPr>
    </w:p>
    <w:p>
      <w:pPr>
        <w:ind w:left="1020" w:right="100" w:hanging="503"/>
        <w:spacing w:after="0" w:line="300" w:lineRule="auto"/>
        <w:tabs>
          <w:tab w:leader="none" w:pos="102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candidates may, on further study, be shown to have harmful side effects, toxicities or other characteristics that indicate that they are unlikely to be products that will receive marketing approval or achieve market acceptance, if approved;</w:t>
      </w:r>
    </w:p>
    <w:p>
      <w:pPr>
        <w:spacing w:after="0" w:line="36"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candidates may not be effective in treating their targeted diseases or symptoms;</w:t>
      </w:r>
    </w:p>
    <w:p>
      <w:pPr>
        <w:spacing w:after="0" w:line="102" w:lineRule="exact"/>
        <w:rPr>
          <w:rFonts w:ascii="Times New Roman" w:cs="Times New Roman" w:eastAsia="Times New Roman" w:hAnsi="Times New Roman"/>
          <w:sz w:val="18"/>
          <w:szCs w:val="18"/>
          <w:color w:val="auto"/>
        </w:rPr>
      </w:pPr>
    </w:p>
    <w:p>
      <w:pPr>
        <w:ind w:left="1020" w:right="44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for a potential product candidate may change so that the continued development of that product candidate is no longer reasonable;</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 potential product candidate may not be capable of being produced in commercial quantities at an acceptable cost, or at all; or</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pathway for a potential product candidate is highly complex and difficult to navigate successfully or economically.</w:t>
      </w:r>
    </w:p>
    <w:p>
      <w:pPr>
        <w:spacing w:after="0" w:line="10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If we are unable to identify and successfully develop and commercialize additional suitable product candidates, this would adversely impact our business strategy and our financial position.</w:t>
      </w:r>
    </w:p>
    <w:p>
      <w:pPr>
        <w:spacing w:after="0" w:line="141"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We may focus on potential product candidates that may prove to be unsuccessful and we may have to forego opportunities to develop other product candidates that may prove to be more successful.</w:t>
      </w:r>
    </w:p>
    <w:p>
      <w:pPr>
        <w:spacing w:after="0" w:line="4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may choose to focus our efforts and resources on a potential product candidate that ultimately proves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w:t>
      </w:r>
    </w:p>
    <w:p>
      <w:pPr>
        <w:spacing w:after="0" w:line="7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Furthermore, we have limited financial and personnel resources and are placing significant focus on the development of our lead product candidates, particularly bemnifosbuvir COV19 product candidates, bemnifosbuvir in combination with ruzasvir for the treatment of HCV and AT-752 for the treatment and prevention of dengue, and as such, we may forgo or delay pursuit of 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future product candidate, we may relinquish valuable rights to those future product candidates through collaboration, licensing or other royalty arrangements in cases in which it would have been more advantageous for us to retain sole development and commercialization rights to such future product candidates.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47" w:name="page48"/>
    <w:bookmarkEnd w:id="47"/>
    <w:p>
      <w:pPr>
        <w:ind w:right="200"/>
        <w:spacing w:after="0" w:line="247" w:lineRule="auto"/>
        <w:rPr>
          <w:sz w:val="20"/>
          <w:szCs w:val="20"/>
          <w:color w:val="auto"/>
        </w:rPr>
      </w:pPr>
      <w:r>
        <w:rPr>
          <w:rFonts w:ascii="Arial" w:cs="Arial" w:eastAsia="Arial" w:hAnsi="Arial"/>
          <w:sz w:val="18"/>
          <w:szCs w:val="18"/>
          <w:b w:val="1"/>
          <w:bCs w:val="1"/>
          <w:i w:val="1"/>
          <w:iCs w:val="1"/>
          <w:color w:val="auto"/>
        </w:rPr>
        <w:t>We may attempt to secure FDA approval of certain product candidates through the use of the accelerated approval pathway or similar expedited approval pathways outside the United States.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or similar expedited approval by foreign regulatory authorities, if our confirmatory trials do not verify clinical benefit, or if we do not comply with rigorous post-marketing requirements, the FDA or foreign regulatory authorities may seek to withdraw accelerated approval or similar expedited approval.</w:t>
      </w:r>
    </w:p>
    <w:p>
      <w:pPr>
        <w:spacing w:after="0" w:line="73"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We are developing certain product candidates for the treatment of serious and life-threatening conditions, and therefore may decide to seek approval of such product candidates under the FDA’s accelerated approval pathway. A product candidate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8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the sponsor fails to conduct such studies in a timely manner, or if such post-approval studies fail to verify the drug’s predicted clinical benefit, the FDA may withdraw its approval of the drug on an expedited basis.</w:t>
      </w:r>
    </w:p>
    <w:p>
      <w:pPr>
        <w:spacing w:after="0" w:line="6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the EU,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European Medicines Agency (“EMA”), the marketing authorization will cease to be renewed. Furthermore, marketing authorizations may also be granted “under exceptional circumstances” when the applicant can show that it is unable to provide comprehensive data on the efficacy and safety under normal conditions of use even after the product has been authorized and subject to the introduction of specific procedures. This may arise when the intended indications are very rare and, in the present state of scientific knowledge, it is not possible to provide comprehensive information, or when generating data may be contrary to generally accepted ethical principles. This type of marketing authorization is close to a conditional marketing authorization as it is reserved to medicinal products to be approved for severe diseases or unmet medical needs and the applicant does not hold the complete data set legally required for the grant of a marketing authorization. However, unlike a conditional marketing authorization, the applicant does not have to provide the missing data and will never have to. Although a marketing authorization “under exceptional circumstances” is granted definitively, the risk-benefit balance of the medicinal product is reviewed annually and the marketing authorization may be withdrawn where the risk-benefit ratio is no longer favorable.</w:t>
      </w:r>
    </w:p>
    <w:p>
      <w:pPr>
        <w:spacing w:after="0" w:line="6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If we decide to submit an NDA seeking accelerated approval or receive an expedited regulatory designation for our product candidates, there can be no assurance that such submission or application will be accepted or that any expedited development, review or approval will be granted on a timely basis, or at all. Failure to obtain accelerated approval or any other form of expedited development, review or approval for a product candidate would result in a longer time period prior to commercialization of such product candidate, if any, and could increase the cost of development of such product candidate, which could harm our competitive position in the marketplace.</w:t>
      </w:r>
    </w:p>
    <w:p>
      <w:pPr>
        <w:spacing w:after="0" w:line="71"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or any future collaboration partners from obtaining approvals for the commercialization of any product candidate we develop.</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48" w:name="page49"/>
    <w:bookmarkEnd w:id="48"/>
    <w:p>
      <w:pPr>
        <w:ind w:right="60"/>
        <w:spacing w:after="0" w:line="242" w:lineRule="auto"/>
        <w:rPr>
          <w:sz w:val="20"/>
          <w:szCs w:val="20"/>
          <w:color w:val="auto"/>
        </w:rPr>
      </w:pPr>
      <w:r>
        <w:rPr>
          <w:rFonts w:ascii="Arial" w:cs="Arial" w:eastAsia="Arial" w:hAnsi="Arial"/>
          <w:sz w:val="18"/>
          <w:szCs w:val="18"/>
          <w:color w:val="auto"/>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Any product candidates we develop may not be effective, may be only moderately effective, or may prove to have undesirable or unintended side effects, toxicities or other characteristics that may preclude our obtaining marketing approval or prevent or limit commercial use. Failure to obtain marketing approval for a product candidate will prevent us from commercializing the product candidate in a given jurisdiction. Our development programs are early-stage and we have not received approval to market any product candidates from regulatory authorities in any jurisdiction. It is possible that none of the product candidates we are developing or that we may seek to develop in the future will ever obtain regulatory approval. We, as a company, have no experience in filing and supporting the applications necessary to gain marketing approvals and expect to rely on third-party CROs, suppliers, vendors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w:t>
      </w:r>
    </w:p>
    <w:p>
      <w:pPr>
        <w:spacing w:after="0" w:line="8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numerous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w:t>
      </w:r>
      <w:r>
        <w:rPr>
          <w:rFonts w:ascii="Arial" w:cs="Arial" w:eastAsia="Arial" w:hAnsi="Arial"/>
          <w:sz w:val="18"/>
          <w:szCs w:val="18"/>
          <w:b w:val="1"/>
          <w:bCs w:val="1"/>
          <w:color w:val="auto"/>
        </w:rPr>
        <w:t>.</w:t>
      </w:r>
      <w:r>
        <w:rPr>
          <w:rFonts w:ascii="Arial" w:cs="Arial" w:eastAsia="Arial" w:hAnsi="Arial"/>
          <w:sz w:val="18"/>
          <w:szCs w:val="18"/>
          <w:color w:val="auto"/>
        </w:rPr>
        <w:t xml:space="preserve"> For instance, the EU pharmaceutical legislation is currently undergoing a complete review process, in the context of the Pharmaceutical Strategy for Europe initiative, launched by the European Commission in November 2020. A proposal for revision of several legislative instruments related to medicinal products (potentially revising the duration of regulatory exclusivity, eligibility for expedited pathways, etc.) is expected to be adopted by the European Commission by the end of 2022. The proposed revisions, once they are agreed and adopted by the European Parliament and European Council (not expected before the end of 2024) may have a significant impact on the pharmaceutical industry in the long term.</w:t>
      </w:r>
    </w:p>
    <w:p>
      <w:pPr>
        <w:spacing w:after="0" w:line="69"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69"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auto"/>
        </w:rPr>
        <w:t>If we experience delays in obtaining approval or if we fail to obtain approval of any product candidates we may develop, the commercial prospects for those product candidates may be harmed, and our ability to generate product revenue will be materially impaired.</w:t>
      </w:r>
    </w:p>
    <w:p>
      <w:pPr>
        <w:spacing w:after="0" w:line="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We may seek an EUA from the FDA or comparable emergency use authorizations from foreign regulatory authorities with respect to our bemnifosbuvir COV19 product candidate in development for the treatment of COVID-19, and if we fail to obtain or maintain such authorizations, we may be required to pursue a more lengthy clinical development process than we expect, and our business may be harmed</w:t>
      </w:r>
      <w:r>
        <w:rPr>
          <w:rFonts w:ascii="Arial" w:cs="Arial" w:eastAsia="Arial" w:hAnsi="Arial"/>
          <w:sz w:val="18"/>
          <w:szCs w:val="18"/>
          <w:color w:val="auto"/>
        </w:rPr>
        <w:t>.</w:t>
      </w:r>
    </w:p>
    <w:p>
      <w:pPr>
        <w:spacing w:after="0" w:line="5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If available at the time we have sufficient data from our Phase 3 SUNRISE-3 clinical trial and other COVID-19 clinical trials, we may seek an EUA from the FDA or comparable emergency use authorizations from other foreign regulatory authorities with respect to our bemnifosbuvir COV19 product candidates. The FDA has the authority to issue an EUA only under certain circumstances, such as during a public health emergency, pursuant to a declaration by the Secretary of the Department of Health and Human Services, or HHS, that an emergency exists justifying the issuance of EUAs for certain types of products (referred to as EUA declarations). On March 27, 2020, the Secretary of HHS declared that circumstances exist justifying authorization of drugs and biologics during the COVID-19 pandemic, subject to the terms of any EUA that is issued for a specific product. Once an EUA declaration has been issued and remains in place, the FDA can issue EUAs for products that fall within the scope of that declaration. To issue an EUA, the FDA Commissioner must conclude that (1) the chemical, biological, radioactive or nuclear agent, or CBRN, that is referred to in the EUA declaration can cause serious or life-threatening diseases or conditions; (2) based on the totality of scientific evidence available, it is reasonable to believe that the product may be effective in diagnosing, treating, or preventing the disease or condition attributable to the CBRN and that the product’s known and potential benefits outweigh its known and potential</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49" w:name="page50"/>
    <w:bookmarkEnd w:id="49"/>
    <w:p>
      <w:pPr>
        <w:ind w:right="380"/>
        <w:spacing w:after="0" w:line="287" w:lineRule="auto"/>
        <w:rPr>
          <w:sz w:val="20"/>
          <w:szCs w:val="20"/>
          <w:color w:val="auto"/>
        </w:rPr>
      </w:pPr>
      <w:r>
        <w:rPr>
          <w:rFonts w:ascii="Arial" w:cs="Arial" w:eastAsia="Arial" w:hAnsi="Arial"/>
          <w:sz w:val="18"/>
          <w:szCs w:val="18"/>
          <w:color w:val="auto"/>
        </w:rPr>
        <w:t>risks; and (3) there is no adequate, approved, and available alternative to the product. Currently there are two oral direct acting antivirals Paxlovid</w:t>
      </w:r>
      <w:r>
        <w:rPr>
          <w:rFonts w:ascii="Arial" w:cs="Arial" w:eastAsia="Arial" w:hAnsi="Arial"/>
          <w:sz w:val="18"/>
          <w:szCs w:val="18"/>
          <w:color w:val="212529"/>
        </w:rPr>
        <w:t>™</w:t>
      </w:r>
      <w:r>
        <w:rPr>
          <w:rFonts w:ascii="Arial" w:cs="Arial" w:eastAsia="Arial" w:hAnsi="Arial"/>
          <w:sz w:val="18"/>
          <w:szCs w:val="18"/>
          <w:color w:val="auto"/>
        </w:rPr>
        <w:t xml:space="preserve">(nirmatrelvir and ritonavir) and </w:t>
      </w:r>
      <w:r>
        <w:rPr>
          <w:rFonts w:ascii="Arial" w:cs="Arial" w:eastAsia="Arial" w:hAnsi="Arial"/>
          <w:sz w:val="18"/>
          <w:szCs w:val="18"/>
          <w:color w:val="212529"/>
        </w:rPr>
        <w:t>LAGEVRIO® (molnupiravir)</w:t>
      </w:r>
      <w:r>
        <w:rPr>
          <w:rFonts w:ascii="Arial" w:cs="Arial" w:eastAsia="Arial" w:hAnsi="Arial"/>
          <w:sz w:val="18"/>
          <w:szCs w:val="18"/>
          <w:color w:val="auto"/>
        </w:rPr>
        <w:t xml:space="preserve"> authorized for emergency use for high risk COVID-19 patients.</w:t>
      </w:r>
    </w:p>
    <w:p>
      <w:pPr>
        <w:spacing w:after="0" w:line="31"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FDA’s standards for granting an EUA are lower than for approving NDAs in accordance with traditional review procedures, and even if we seek and obtain an EUA for one or more of our product candidates, we cannot assure you that the FDA would approve a NDA for such product candidate, if such approval is required. Accordingly, even if we obtain an EUA for a bemnifosbuvir COV19 product candidate, we may be required to conduct additional clinical trials before we are able to submit an NDA or comparable marketing applications for such product candidate.</w:t>
      </w:r>
    </w:p>
    <w:p>
      <w:pPr>
        <w:spacing w:after="0" w:line="82"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In addition, the authorization to market products under an EUA is limited to the period of time the EUA declaration is in effect, and the FDA can revoke an EUA in certain circumstances. The FDA’s policies regarding an EUA can change unexpectedly. We cannot predict how long any authorization, if obtained, will remain in place. The FDA’s policies regarding vaccines and other products used to diagnose, treat or mitigate COVID-19 remain in flux as the FDA responds to new and evolving public health information and clinical evidence.</w:t>
      </w:r>
    </w:p>
    <w:p>
      <w:pPr>
        <w:spacing w:after="0" w:line="17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Therefore, even if, upon presentation of the data from our Phase 3 SUNRISE-3 clinical trial and other COVID-19 clinical trials, we should obtain an EUA or other emergency authorizations for a bemnifosbuvir COV19 product candidate, it is possible that such EUA or other authorizations may be revoked and we may be required to cease any commercialization activities, until, if ever, we receive NDA approval for such product. Any cessation of commercialization activities would adversely impact our business, financial condition and results of operations.</w:t>
      </w:r>
    </w:p>
    <w:p>
      <w:pPr>
        <w:spacing w:after="0" w:line="84"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3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time-consuming. Regulatory requirements can vary widely from country to country and could delay or prevent the introduction of our products in those countries. Satisfying these and other regulatory requirements is costly, time-consuming,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as an organization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79"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antiviral products are well established in the medical community for the treatment of HCV and in the U.S., two oral antivirals, Paxlovid and Lagevrio, are currently authorized for the treatment of COVID-19, and doctors may continue to rely on these therapies. If the product candidates we develop do not achieve an adequate level of acceptance, we may not generate significant product revenues and we may not become profitable. The degree of market acceptance of any product candidate, if approved for commercial sale, will depend on a number of factors, including but not limited to:</w:t>
      </w:r>
    </w:p>
    <w:p>
      <w:pPr>
        <w:spacing w:after="0" w:line="6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efficacy and potential advantages compared to alternative treatments;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offer our products, if approved, for sale at competitive prices;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convenience and ease of administration compared to alternative treatments;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0" w:name="page51"/>
    <w:bookmarkEnd w:id="50"/>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of marketing and distribution support;</w:t>
      </w:r>
    </w:p>
    <w:p>
      <w:pPr>
        <w:spacing w:after="0" w:line="102" w:lineRule="exact"/>
        <w:rPr>
          <w:rFonts w:ascii="Times New Roman" w:cs="Times New Roman" w:eastAsia="Times New Roman" w:hAnsi="Times New Roman"/>
          <w:sz w:val="18"/>
          <w:szCs w:val="18"/>
          <w:color w:val="auto"/>
        </w:rPr>
      </w:pPr>
    </w:p>
    <w:p>
      <w:pPr>
        <w:ind w:left="1020" w:right="74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adoption of a companion diagnostic and/or complementary diagnostic;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any side effects.</w:t>
      </w:r>
    </w:p>
    <w:p>
      <w:pPr>
        <w:spacing w:after="0" w:line="21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Disruptions at the FDA and foreign regulatory authorities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4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ability of the FDA and foreign regulatory authorities to review or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including a rapid substantial influx of applications from numerous sponsors as occurred with COVID-19.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6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Separately, in response to the COVID-19 pandemic, in March 2020, the FDA temporarily postponed routine surveillance inspections of domestic and foreign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July 2021, the FDA resumed standard inspectional operations of domestic facilities. More recently, the FDA has continued to monitor and implement changes to its inspectional activities to ensure the safety of its employees and those of the firms it regulates as it adapts to the evolving COVID-19 pandemic.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91" w:lineRule="exact"/>
        <w:rPr>
          <w:sz w:val="20"/>
          <w:szCs w:val="20"/>
          <w:color w:val="auto"/>
        </w:rPr>
      </w:pPr>
    </w:p>
    <w:p>
      <w:pPr>
        <w:ind w:right="660"/>
        <w:spacing w:after="0" w:line="278" w:lineRule="auto"/>
        <w:rPr>
          <w:sz w:val="20"/>
          <w:szCs w:val="20"/>
          <w:color w:val="auto"/>
        </w:rPr>
      </w:pPr>
      <w:r>
        <w:rPr>
          <w:rFonts w:ascii="Arial" w:cs="Arial" w:eastAsia="Arial" w:hAnsi="Arial"/>
          <w:sz w:val="18"/>
          <w:szCs w:val="18"/>
          <w:b w:val="1"/>
          <w:bCs w:val="1"/>
          <w:i w:val="1"/>
          <w:iCs w:val="1"/>
          <w:color w:val="auto"/>
        </w:rPr>
        <w:t>Our insurance policies are expensive and protect us only from some business risks, which leaves us exposed to significant uninsured liabilities.</w:t>
      </w:r>
    </w:p>
    <w:p>
      <w:pPr>
        <w:spacing w:after="0" w:line="31" w:lineRule="exact"/>
        <w:rPr>
          <w:sz w:val="20"/>
          <w:szCs w:val="20"/>
          <w:color w:val="auto"/>
        </w:rPr>
      </w:pPr>
    </w:p>
    <w:p>
      <w:pPr>
        <w:jc w:val="both"/>
        <w:ind w:right="380"/>
        <w:spacing w:after="0" w:line="261" w:lineRule="auto"/>
        <w:rPr>
          <w:sz w:val="20"/>
          <w:szCs w:val="20"/>
          <w:color w:val="auto"/>
        </w:rPr>
      </w:pPr>
      <w:r>
        <w:rPr>
          <w:rFonts w:ascii="Arial" w:cs="Arial" w:eastAsia="Arial" w:hAnsi="Arial"/>
          <w:sz w:val="18"/>
          <w:szCs w:val="18"/>
          <w:color w:val="auto"/>
        </w:rPr>
        <w:t>Though we have insurance coverage for clinical trial product liability, we do not carry insurance for all categories of risk that our business may encounter. Some of the policies we currently maintain include general liability, property, auto, workers’ compensation, umbrella, and directors’ and officers’ insurance.</w:t>
      </w:r>
    </w:p>
    <w:p>
      <w:pPr>
        <w:spacing w:after="0" w:line="5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As a part of the clinical trial regulatory submission process, in many countries, we are required to provide local insurance coverage covering claims that persons associated with the clinical trial may assert if they are or believe they are injured as a result of participation in the clinical trial or contact with the investigational product candidate being studied in the clinical trial. These local insurance policies can be time consuming to obtain which may delay the anticipated start of a clinical trial in a particular country. Additionally, these local insurance policies may not cover all the claims an injured party may assert and may be insufficient to cover the losses associated with our defense of the claim and any judgement against us that may result.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1" w:name="page52"/>
    <w:bookmarkEnd w:id="51"/>
    <w:p>
      <w:pPr>
        <w:ind w:right="20"/>
        <w:spacing w:after="0" w:line="243" w:lineRule="auto"/>
        <w:rPr>
          <w:sz w:val="20"/>
          <w:szCs w:val="20"/>
          <w:color w:val="auto"/>
        </w:rPr>
      </w:pPr>
      <w:r>
        <w:rPr>
          <w:rFonts w:ascii="Arial" w:cs="Arial" w:eastAsia="Arial" w:hAnsi="Arial"/>
          <w:sz w:val="18"/>
          <w:szCs w:val="18"/>
          <w:color w:val="auto"/>
        </w:rPr>
        <w:t>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any of our product candidates, we intend to acquire insurance coverage to include the sale of commercial products; however, we may be unable to obtain product liability insurance on commercially reasonable terms or in adequate amounts. A successful product liability claim or series of claims brought against us could cause our stock price to decline and, if judgments are for claims not covered by or are in amounts that exceed our insurance coverage, could adversely affect our results of operations and business, including preventing or limiting the development and commercialization of any product candidates we develop.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7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Operating as a public company has and may in the future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and cash equivalents position and results of operations.</w:t>
      </w:r>
    </w:p>
    <w:p>
      <w:pPr>
        <w:spacing w:after="0" w:line="177"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b w:val="1"/>
          <w:bCs w:val="1"/>
          <w:i w:val="1"/>
          <w:iCs w:val="1"/>
          <w:color w:val="auto"/>
        </w:rPr>
        <w:t>Our business and operations may suffer in the event of information technology system failures, cyberattacks, or deficiencies, which could materially affect our results.</w:t>
      </w:r>
    </w:p>
    <w:p>
      <w:pPr>
        <w:spacing w:after="0" w:line="45"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Our information technology systems, as well as those of our CROs and other contractors and consultants, are vulnerable to attack, failure and damage from computer viruses and other malware (e.g., ransomware), unauthorized access or other cybersecurity attacks, malfeasance by external or internal parties, human error (e.g., social engineering, phishing), natural disasters (including hurricanes), terrorism, war, fire and telecommunication or electrical failures. In the ordinary course of our business, we directly or indirectly collect, store and transmit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w:t>
      </w:r>
    </w:p>
    <w:p>
      <w:pPr>
        <w:spacing w:after="0" w:line="7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Despite security measures that we and our critical third parties (e.g., collaborators) implement, our information technology systems may be vulnerable to attacks by hackers or internal bad actors, or breached due to human error, a technical vulnerability, malfeasance or other disruptions. The risk of a security breach or disruption, particularly through cyber-attacks or cyber intrusion, including by computer hackers, foreign governments, and cyber terrorists, has generally increased as the number, level of persistence, intensity and sophistication of attempted attacks and intrusions from around the world have increased. As a result of the COVID-19 pandemic, we may also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nor may we be able to implement preventive measures effective against all such security threats.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Because of this, we may also experience security breaches that may remain undetected for an extended period. Even if identified, we may be unable to adequately investigate or remediate incidents or breaches due to attacks increasingly using tools and techniques that are designed to circumvent controls, to avoid detection, and to remove or obfuscate forensic evidence. We cannot assure you that our data protection efforts and our investment in information technology will prevent significant breakdowns, data leakages or breaches in our systems or those of our CROs and other contractors and consultants.</w:t>
      </w:r>
    </w:p>
    <w:p>
      <w:pPr>
        <w:spacing w:after="0" w:line="8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and certain of our service providers are from time to time subject to cyberattacks and security incidents. While we do not believe that we have experienced any significant system failure, accident or security breach to date, such an event were to occur and cause interruptions in our operations, it could result in a material disruption of our product candidate development programs. For example, the loss data from completed, ongoing or planned preclinical studies or clinical trials could result in delays in our regulatory approval efforts and significantly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2" w:name="page53"/>
    <w:bookmarkEnd w:id="52"/>
    <w:p>
      <w:pPr>
        <w:ind w:right="60"/>
        <w:spacing w:after="0" w:line="261" w:lineRule="auto"/>
        <w:rPr>
          <w:sz w:val="20"/>
          <w:szCs w:val="20"/>
          <w:color w:val="auto"/>
        </w:rPr>
      </w:pPr>
      <w:r>
        <w:rPr>
          <w:rFonts w:ascii="Arial" w:cs="Arial" w:eastAsia="Arial" w:hAnsi="Arial"/>
          <w:sz w:val="18"/>
          <w:szCs w:val="18"/>
          <w:color w:val="auto"/>
        </w:rPr>
        <w:t>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our product candidates could be delayed.</w:t>
      </w:r>
    </w:p>
    <w:p>
      <w:pPr>
        <w:spacing w:after="0" w:line="5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175" w:lineRule="exact"/>
        <w:rPr>
          <w:sz w:val="20"/>
          <w:szCs w:val="20"/>
          <w:color w:val="auto"/>
        </w:rPr>
      </w:pPr>
    </w:p>
    <w:p>
      <w:pPr>
        <w:ind w:right="5160"/>
        <w:spacing w:after="0" w:line="367" w:lineRule="auto"/>
        <w:rPr>
          <w:sz w:val="20"/>
          <w:szCs w:val="20"/>
          <w:color w:val="auto"/>
        </w:rPr>
      </w:pPr>
      <w:r>
        <w:rPr>
          <w:rFonts w:ascii="Arial" w:cs="Arial" w:eastAsia="Arial" w:hAnsi="Arial"/>
          <w:sz w:val="18"/>
          <w:szCs w:val="18"/>
          <w:b w:val="1"/>
          <w:bCs w:val="1"/>
          <w:color w:val="auto"/>
        </w:rPr>
        <w:t xml:space="preserve">Risks Related to Healthcare Laws and Other Legal Compliance Matters </w:t>
      </w:r>
      <w:r>
        <w:rPr>
          <w:rFonts w:ascii="Arial" w:cs="Arial" w:eastAsia="Arial" w:hAnsi="Arial"/>
          <w:sz w:val="18"/>
          <w:szCs w:val="18"/>
          <w:b w:val="1"/>
          <w:bCs w:val="1"/>
          <w:i w:val="1"/>
          <w:iCs w:val="1"/>
          <w:color w:val="auto"/>
        </w:rPr>
        <w:t>We will be subject to extensive and costly government regulation.</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product candidates will be subject to extensive and rigorous domestic government regulation, including regulation and oversight by the FDA, the Centers for Medicare &amp; Medicaid Services (“CMS”), other divisions of the U.S. Department of Health and Human Services, the U.S. Department of Justice, state and local governments, and their respective equivalents outside of the United States. The FDA regulates the research, development, preclinical and clinical testing, manufacture, safety, effectiveness, record-keeping, reporting, labeling, packaging, storage, approval, advertising, promotion, sale, distribution, import and export of pharmaceutical products. If our products are marketed abroad, they will also be subject to extensive regulation by foreign governments, whether or not they have obtained FDA approval. Such foreign regulation may be equally or more demanding than corresponding United States regulation.</w:t>
      </w:r>
    </w:p>
    <w:p>
      <w:pPr>
        <w:spacing w:after="0" w:line="6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products. The regulatory review and approval process, which includes preclinical testing and clinical trials of each product candidate, is lengthy, expensive and uncertain. We must obtain and maintain regulatory authorization to conduct preclinical studies and clinical trials. We must obtain regulatory approval for each product we intend to market, and the manufacturing facilities used for the products must be inspected and meet legal requirements. Securing regulatory approval requires the submission of extensive preclinical and clinical data and other supporting information for each proposed therapeutic indication in order to establish the product’s safety and efficacy, potency and purity, for each intended use. The development and approval process takes many years, requires substantial resources, and may never lead to the approval of a product.</w:t>
      </w:r>
    </w:p>
    <w:p>
      <w:pPr>
        <w:spacing w:after="0" w:line="72"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Even if we are able to obtain regulatory approval for a particular product, the approval may limit the indicated medical uses for the product, may otherwise limit our ability to promote, sell and distribute the product, may require that we conduct costly post-marketing surveillance, and/or may require that we conduct ongoing post-marketing studies. Material changes to an approved product, such as, for example, manufacturing changes or revised labeling, may require further regulatory review and approval. Once obtained, any approvals may be withdrawn, including, for example, if there is a later discovery of previously unknown problems with the product, such as a previously unknown safety issue.</w:t>
      </w:r>
    </w:p>
    <w:p>
      <w:pPr>
        <w:spacing w:after="0" w:line="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If we, our consultants, CMOs, CROs or other vendors, fail to comply with applicable regulatory requirements at any stage during the regulatory process, such noncompliance could result in, among other things, delays in the approval of applications or supplements to approved applications; refusal of a regulatory authority, including the FDA, to review pending market approval applications or supplements to approved applications; warning letters; fines; import and/or export restrictions; product recalls or seizures; injunctions; total or partial suspension of production; civil penalties; withdrawals of previously approved marketing applications or licenses; recommendations by the FDA or other regulatory authorities against governmental contracts; and/or criminal prosecutions.</w:t>
      </w:r>
    </w:p>
    <w:p>
      <w:pPr>
        <w:spacing w:after="0" w:line="177"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Enacted and future healthcare legislation and policies may increase the difficulty and cost for us to commercialize our product candidates and could adversely affect our business.</w:t>
      </w:r>
    </w:p>
    <w:p>
      <w:pPr>
        <w:spacing w:after="0" w:line="17"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In the United States, the EU and other jurisdictions, there have been, and we expect there will continue to be, a number of legislative and regulatory changes and proposed changes to the healthcare system that could prevent or delay marketing approval of our products in development, restrict or regulate post-approval activities involving any product candidates for which we obtain marketing approval, impact pricing and reimbursement and impact our ability to sell any such products profitably. In particular, there have been and continue to be a number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3" w:name="page54"/>
    <w:bookmarkEnd w:id="53"/>
    <w:p>
      <w:pPr>
        <w:ind w:right="360"/>
        <w:spacing w:after="0" w:line="287" w:lineRule="auto"/>
        <w:rPr>
          <w:sz w:val="20"/>
          <w:szCs w:val="20"/>
          <w:color w:val="auto"/>
        </w:rPr>
      </w:pPr>
      <w:r>
        <w:rPr>
          <w:rFonts w:ascii="Arial" w:cs="Arial" w:eastAsia="Arial" w:hAnsi="Arial"/>
          <w:sz w:val="18"/>
          <w:szCs w:val="18"/>
          <w:color w:val="auto"/>
        </w:rPr>
        <w:t>initiatives at the U.S. federal and state levels that seek to reduce healthcare costs and improve the quality of healthcare. In addition, new regulations and interpretations of existing healthcare statutes and regulations are frequently adopted.</w:t>
      </w:r>
    </w:p>
    <w:p>
      <w:pPr>
        <w:spacing w:after="0" w:line="3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March 2010, the Patient Protection and Affordable Care Act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54" w:lineRule="exact"/>
        <w:rPr>
          <w:sz w:val="20"/>
          <w:szCs w:val="20"/>
          <w:color w:val="auto"/>
        </w:rPr>
      </w:pPr>
    </w:p>
    <w:p>
      <w:pPr>
        <w:ind w:left="1020" w:right="360" w:hanging="503"/>
        <w:spacing w:after="0" w:line="26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55" w:lineRule="exact"/>
        <w:rPr>
          <w:rFonts w:ascii="Times New Roman" w:cs="Times New Roman" w:eastAsia="Times New Roman" w:hAnsi="Times New Roman"/>
          <w:sz w:val="18"/>
          <w:szCs w:val="18"/>
          <w:color w:val="auto"/>
        </w:rPr>
      </w:pPr>
    </w:p>
    <w:p>
      <w:pPr>
        <w:ind w:left="1020" w:right="360" w:hanging="503"/>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new Medicare Part D coverage gap discount program, requiring manufacturers to agree to offer point-of-sale discounts off negotiated prices of applicable brand drugs to eligible beneficiaries during their coverage gap period, as a condition for the manufacturer’s outpatient drugs to be covered under Medicare Part D;</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increases and changes in the statutory minimum rebates a manufacturer must pay under the Medicaid Drug Rebate Program;</w:t>
      </w:r>
    </w:p>
    <w:p>
      <w:pPr>
        <w:spacing w:after="0" w:line="102"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extension of a manufacturer’s Medicaid rebate liability to covered outpatient drugs dispensed to individuals who are enrolled in Medicaid managed care organizations;</w:t>
      </w:r>
    </w:p>
    <w:p>
      <w:pPr>
        <w:spacing w:after="0" w:line="59" w:lineRule="exact"/>
        <w:rPr>
          <w:rFonts w:ascii="Times New Roman" w:cs="Times New Roman" w:eastAsia="Times New Roman" w:hAnsi="Times New Roman"/>
          <w:sz w:val="18"/>
          <w:szCs w:val="18"/>
          <w:color w:val="auto"/>
        </w:rPr>
      </w:pPr>
    </w:p>
    <w:p>
      <w:pPr>
        <w:ind w:left="1020" w:right="340" w:hanging="503"/>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6" w:lineRule="exact"/>
        <w:rPr>
          <w:rFonts w:ascii="Times New Roman" w:cs="Times New Roman" w:eastAsia="Times New Roman" w:hAnsi="Times New Roman"/>
          <w:sz w:val="18"/>
          <w:szCs w:val="18"/>
          <w:color w:val="auto"/>
        </w:rPr>
      </w:pPr>
    </w:p>
    <w:p>
      <w:pPr>
        <w:ind w:left="1020" w:right="76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46" w:lineRule="exact"/>
        <w:rPr>
          <w:rFonts w:ascii="Times New Roman" w:cs="Times New Roman" w:eastAsia="Times New Roman" w:hAnsi="Times New Roman"/>
          <w:sz w:val="18"/>
          <w:szCs w:val="18"/>
          <w:color w:val="auto"/>
        </w:rPr>
      </w:pPr>
    </w:p>
    <w:p>
      <w:pPr>
        <w:ind w:left="1020" w:right="520" w:hanging="503"/>
        <w:spacing w:after="0" w:line="286"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of the Center for Medicare and Medicaid Innovation at CMS to test innovative payment and service delivery models to lower Medicare and Medicaid spending, potentially including prescription drug spending.</w:t>
      </w:r>
    </w:p>
    <w:p>
      <w:pPr>
        <w:spacing w:after="0" w:line="3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Since its enactment, there have been judicial, Congressional and executive challenges to certain aspects of the ACA On June 17, 2021, the U.S. Supreme Court dismissed the most recent judicial challenge to the ACA brought by several states without specifically ruling on the constitutionality of the ACA.</w:t>
      </w:r>
    </w:p>
    <w:p>
      <w:pPr>
        <w:spacing w:after="0" w:line="5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imposed aggregate reductions of Medicare payments to providers, effective April 1, 2013 which, due to subsequent legislative amendments, will stay in effect through 2031.Further, on March 11, 2021, President Biden signed the American Rescue Plan Act of 2021 into law, which eliminates the statutory Medicaid drug rebate cap, currently set at 100% of a drug’s average manufacturer price, beginning January 1, 2024.</w:t>
      </w:r>
    </w:p>
    <w:p>
      <w:pPr>
        <w:spacing w:after="0" w:line="6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Most significantly, on August 16, 2022, President Biden signed the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and while the impact of the IRA on the pharmaceutical industry and our business cannot yet be fully determined, it is likely to be significant.</w:t>
      </w:r>
    </w:p>
    <w:p>
      <w:pPr>
        <w:spacing w:after="0" w:line="71" w:lineRule="exact"/>
        <w:rPr>
          <w:sz w:val="20"/>
          <w:szCs w:val="20"/>
          <w:color w:val="auto"/>
        </w:rPr>
      </w:pPr>
    </w:p>
    <w:p>
      <w:pPr>
        <w:jc w:val="both"/>
        <w:ind w:right="220"/>
        <w:spacing w:after="0" w:line="246" w:lineRule="auto"/>
        <w:rPr>
          <w:sz w:val="20"/>
          <w:szCs w:val="20"/>
          <w:color w:val="auto"/>
        </w:rPr>
      </w:pPr>
      <w:r>
        <w:rPr>
          <w:rFonts w:ascii="Arial" w:cs="Arial" w:eastAsia="Arial" w:hAnsi="Arial"/>
          <w:sz w:val="18"/>
          <w:szCs w:val="18"/>
          <w:color w:val="auto"/>
        </w:rPr>
        <w:t>Moreover, payment methodologies may be subject to other changes in healthcare legislation and regulatory initiatives. For example, CMS may develop new payment and delivery models, such as outcomes-based reimbursement. In addition, recently there has been heightened governmental scrutiny over the manner in which manufacturers set prices for their marketed products, which has resulted in several U.S.</w:t>
      </w:r>
    </w:p>
    <w:p>
      <w:pPr>
        <w:spacing w:after="0" w:line="3" w:lineRule="exact"/>
        <w:rPr>
          <w:sz w:val="20"/>
          <w:szCs w:val="20"/>
          <w:color w:val="auto"/>
        </w:rPr>
      </w:pPr>
    </w:p>
    <w:p>
      <w:pPr>
        <w:ind w:right="420"/>
        <w:spacing w:after="0" w:line="242" w:lineRule="auto"/>
        <w:rPr>
          <w:sz w:val="20"/>
          <w:szCs w:val="20"/>
          <w:color w:val="auto"/>
        </w:rPr>
      </w:pPr>
      <w:r>
        <w:rPr>
          <w:rFonts w:ascii="Arial" w:cs="Arial" w:eastAsia="Arial" w:hAnsi="Arial"/>
          <w:sz w:val="18"/>
          <w:szCs w:val="18"/>
          <w:color w:val="auto"/>
        </w:rPr>
        <w:t>Congressional inquiries and proposed and enacted federal legislation designed to, among other things, bring more transparency to drug pricing, reduce the cost of prescription drugs under Medicare, and review the relationship between pricing and manufacturer patient programs. We expect that additional U.S. federal healthcare reform measures will be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4" w:name="page55"/>
    <w:bookmarkEnd w:id="54"/>
    <w:p>
      <w:pPr>
        <w:ind w:right="280"/>
        <w:spacing w:after="0" w:line="287" w:lineRule="auto"/>
        <w:rPr>
          <w:sz w:val="20"/>
          <w:szCs w:val="20"/>
          <w:color w:val="auto"/>
        </w:rPr>
      </w:pPr>
      <w:r>
        <w:rPr>
          <w:rFonts w:ascii="Arial" w:cs="Arial" w:eastAsia="Arial" w:hAnsi="Arial"/>
          <w:sz w:val="18"/>
          <w:szCs w:val="18"/>
          <w:color w:val="auto"/>
        </w:rPr>
        <w:t>adopted in the future, any of which could limit the amounts that the U.S. federal government will pay for healthcare products and services, which could result in reduced demand for our product candidates or additional pricing pressures.</w:t>
      </w:r>
    </w:p>
    <w:p>
      <w:pPr>
        <w:spacing w:after="0" w:line="3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8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markets outside of the United States and the EU, reimbursement and healthcare payment systems vary significantly by country, and many countries have instituted price ceilings on specific products and therapies.</w:t>
      </w:r>
    </w:p>
    <w:p>
      <w:pPr>
        <w:spacing w:after="0" w:line="156"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Enacted and future legislation and policies may increase the difficulty and cost for us to obtain marketing approval of our product candidates and could adversely affect our business.</w:t>
      </w:r>
    </w:p>
    <w:p>
      <w:pPr>
        <w:spacing w:after="0" w:line="1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the United States, 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69"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be subject to enforcement action and we may not achieve or sustain profitability.</w:t>
      </w:r>
    </w:p>
    <w:p>
      <w:pPr>
        <w:spacing w:after="0" w:line="186"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 and post-marketing requirements.</w:t>
      </w:r>
    </w:p>
    <w:p>
      <w:pPr>
        <w:spacing w:after="0" w:line="31"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groups specified by, among other things, age or medical condition,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one of our product candidates is approved, it will be subject to ongoing regulatory requirements for manufacturing, labeling, packaging, storage, advertising, promotion, sampling, record-keeping, conduct of post-marketing studies and submission of safety, efficacy, and other post- market information, including both federal and state requirements in the United States and requirements of comparable foreign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5" w:name="page56"/>
    <w:bookmarkEnd w:id="55"/>
    <w:p>
      <w:pPr>
        <w:spacing w:after="0" w:line="248" w:lineRule="auto"/>
        <w:rPr>
          <w:sz w:val="20"/>
          <w:szCs w:val="20"/>
          <w:color w:val="auto"/>
        </w:rPr>
      </w:pPr>
      <w:r>
        <w:rPr>
          <w:rFonts w:ascii="Arial" w:cs="Arial" w:eastAsia="Arial" w:hAnsi="Arial"/>
          <w:sz w:val="18"/>
          <w:szCs w:val="18"/>
          <w:color w:val="auto"/>
        </w:rPr>
        <w:t>regulatory authorities. Manufacturers and manufacturers’ facilities are required to comply with extensive FDA and comparable foreign regulatory authority requirements, including ensuring that quality control and manufacturing procedures conform to cGMP and similar regulations. As such, we and our contract manufacturers will be subject to continual review and inspections to assess compliance with cGMP and similar requirements and adherence to commitments made in any approved marketing application. Accordingly, we and others with whom we work must continue to expend time, money and effort in all areas of regulatory compliance, including manufacturing, production and quality control.</w:t>
      </w:r>
    </w:p>
    <w:p>
      <w:pPr>
        <w:spacing w:after="0" w:line="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the FDA or another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49"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issue warning letters;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impose civil or criminal penalties;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suspend or withdraw regulatory approval;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suspend any of our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seize or detain products, or require a product recall.</w:t>
      </w:r>
    </w:p>
    <w:p>
      <w:pPr>
        <w:spacing w:after="0" w:line="11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is withdrawn, our business will be seriously harmed.</w:t>
      </w:r>
    </w:p>
    <w:p>
      <w:pPr>
        <w:spacing w:after="0" w:line="6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4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56" w:name="page57"/>
    <w:bookmarkEnd w:id="56"/>
    <w:p>
      <w:pPr>
        <w:jc w:val="both"/>
        <w:ind w:right="180"/>
        <w:spacing w:after="0" w:line="261" w:lineRule="auto"/>
        <w:rPr>
          <w:sz w:val="20"/>
          <w:szCs w:val="20"/>
          <w:color w:val="auto"/>
        </w:rPr>
      </w:pPr>
      <w:r>
        <w:rPr>
          <w:rFonts w:ascii="Arial" w:cs="Arial" w:eastAsia="Arial" w:hAnsi="Arial"/>
          <w:sz w:val="18"/>
          <w:szCs w:val="18"/>
          <w:color w:val="auto"/>
        </w:rPr>
        <w:t>and abuse and other healthcare laws and regulations. These laws may constrain the business or financial arrangements and relationships through which we conduct our operations, including how we research, market, sell and distribute our product candidates, if approved. Such laws include but are not limited to:</w:t>
      </w:r>
    </w:p>
    <w:p>
      <w:pPr>
        <w:spacing w:after="0" w:line="54" w:lineRule="exact"/>
        <w:rPr>
          <w:sz w:val="20"/>
          <w:szCs w:val="20"/>
          <w:color w:val="auto"/>
        </w:rPr>
      </w:pPr>
    </w:p>
    <w:p>
      <w:pPr>
        <w:ind w:left="1020" w:right="120" w:hanging="503"/>
        <w:spacing w:after="0" w:line="248"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Anti-Kickback Statute, which makes it illegal for any person to knowingly and willfully solicit, offer, receive, pay or provide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6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U.S. federal civil and criminal false claims laws, including the civil False Claims Act (the “FCA”), which prohibit individuals or entities from, among other things, knowingly presenting, or causing to be presented, to the U.S. federal government, claims for payment or approval that are false, fictitious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FCA even when they do not submit claims directly to government payors if they are deemed to “cause” the submission of false or fraudulent claims. The government may deem manufacturers to have “caused” the submission of false or fraudulent claims by, for example, providing inaccurate billing or coding information to customers or promoting a product off-label. Companies that submit claims directly to payors may also be liable under the FCA for the direct submission of such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79" w:lineRule="exact"/>
        <w:rPr>
          <w:rFonts w:ascii="Times New Roman" w:cs="Times New Roman" w:eastAsia="Times New Roman" w:hAnsi="Times New Roman"/>
          <w:sz w:val="17"/>
          <w:szCs w:val="17"/>
          <w:color w:val="auto"/>
        </w:rPr>
      </w:pPr>
    </w:p>
    <w:p>
      <w:pPr>
        <w:ind w:left="1020" w:right="220" w:hanging="503"/>
        <w:spacing w:after="0" w:line="246"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82" w:lineRule="exact"/>
        <w:rPr>
          <w:rFonts w:ascii="Times New Roman" w:cs="Times New Roman" w:eastAsia="Times New Roman" w:hAnsi="Times New Roman"/>
          <w:sz w:val="18"/>
          <w:szCs w:val="18"/>
          <w:color w:val="auto"/>
        </w:rPr>
      </w:pPr>
    </w:p>
    <w:p>
      <w:pPr>
        <w:ind w:left="1020" w:right="100" w:hanging="503"/>
        <w:spacing w:after="0" w:line="244"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Health Insurance Portability and Accountability Act of 1996, (“HIPAA”) and its implementing regulations,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U.S. federal Anti-Kickback Statute, a person or entity does not need to have actual knowledge of the statute or specific intent to violate it in order to have committed a violation;</w:t>
      </w:r>
    </w:p>
    <w:p>
      <w:pPr>
        <w:spacing w:after="0" w:line="70" w:lineRule="exact"/>
        <w:rPr>
          <w:rFonts w:ascii="Times New Roman" w:cs="Times New Roman" w:eastAsia="Times New Roman" w:hAnsi="Times New Roman"/>
          <w:sz w:val="18"/>
          <w:szCs w:val="18"/>
          <w:color w:val="auto"/>
        </w:rPr>
      </w:pPr>
    </w:p>
    <w:p>
      <w:pPr>
        <w:ind w:left="1020" w:right="40" w:hanging="503"/>
        <w:spacing w:after="0" w:line="286"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w:t>
      </w:r>
    </w:p>
    <w:p>
      <w:pPr>
        <w:spacing w:after="0" w:line="32" w:lineRule="exact"/>
        <w:rPr>
          <w:rFonts w:ascii="Times New Roman" w:cs="Times New Roman" w:eastAsia="Times New Roman" w:hAnsi="Times New Roman"/>
          <w:sz w:val="18"/>
          <w:szCs w:val="18"/>
          <w:color w:val="auto"/>
        </w:rPr>
      </w:pPr>
    </w:p>
    <w:p>
      <w:pPr>
        <w:ind w:left="1020" w:right="60" w:hanging="503"/>
        <w:spacing w:after="0" w:line="246"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the physicians described above and their immediate family members;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7" w:name="page58"/>
    <w:bookmarkEnd w:id="57"/>
    <w:p>
      <w:pPr>
        <w:ind w:left="1020" w:right="460" w:hanging="503"/>
        <w:spacing w:after="0" w:line="286"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reported prices may be used in the calculation of reimbursement and/or discounts on approved products;</w:t>
      </w:r>
    </w:p>
    <w:p>
      <w:pPr>
        <w:spacing w:after="0" w:line="32" w:lineRule="exact"/>
        <w:rPr>
          <w:rFonts w:ascii="Times New Roman" w:cs="Times New Roman" w:eastAsia="Times New Roman" w:hAnsi="Times New Roman"/>
          <w:sz w:val="18"/>
          <w:szCs w:val="18"/>
          <w:color w:val="auto"/>
        </w:rPr>
      </w:pPr>
    </w:p>
    <w:p>
      <w:pPr>
        <w:ind w:left="1020" w:right="6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59"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that require the registration of pharmaceutical sales representatives; and</w:t>
      </w:r>
    </w:p>
    <w:p>
      <w:pPr>
        <w:spacing w:after="0" w:line="60" w:lineRule="exact"/>
        <w:rPr>
          <w:rFonts w:ascii="Times New Roman" w:cs="Times New Roman" w:eastAsia="Times New Roman" w:hAnsi="Times New Roman"/>
          <w:sz w:val="17"/>
          <w:szCs w:val="17"/>
          <w:color w:val="auto"/>
        </w:rPr>
      </w:pPr>
    </w:p>
    <w:p>
      <w:pPr>
        <w:ind w:left="1020" w:right="14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w:t>
      </w:r>
    </w:p>
    <w:p>
      <w:pPr>
        <w:spacing w:after="0" w:line="6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8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w:t>
      </w:r>
    </w:p>
    <w:p>
      <w:pPr>
        <w:spacing w:after="0" w:line="4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are subject to diverse laws and regulations relating to data privacy and security. New privacy rules are being enacted in the United States and globally, and existing ones are being updated and strengthened. For example, on June 28, 2018, California enacted the California Consumer Privacy Act (the “CCPA”), which took effect on January 1, 2020. The CCPA creates individual privacy rights for California consumers, increases the privacy and security obligations of entities handling certain personal information, requires new disclosures to California individuals and affording such individuals new abilities to opt out of certain sales of personal information, and provides for civil penalties for violations as well as a private right of action for data breaches that is expected to increase data breach litigation. Further, the California Privacy Rights Act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Colorado, Connecticut and Utah, and have been proposed in other states and at the federal level, reflecting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8" w:name="page59"/>
    <w:bookmarkEnd w:id="58"/>
    <w:p>
      <w:pPr>
        <w:ind w:right="180"/>
        <w:spacing w:after="0" w:line="252" w:lineRule="auto"/>
        <w:rPr>
          <w:sz w:val="20"/>
          <w:szCs w:val="20"/>
          <w:color w:val="auto"/>
        </w:rPr>
      </w:pPr>
      <w:r>
        <w:rPr>
          <w:rFonts w:ascii="Arial" w:cs="Arial" w:eastAsia="Arial" w:hAnsi="Arial"/>
          <w:sz w:val="18"/>
          <w:szCs w:val="18"/>
          <w:color w:val="auto"/>
        </w:rPr>
        <w:t>trend toward more stringent privacy legislation in the United States. The enactment of such laws could have potentially conflicting requirements that would make compliance challenging. In the event that we are subject to or affected by the CCPA, the CPRA or other domestic privacy and data protection laws, any liability from failure to comply with the requirements of these laws could adversely affect our financial condition.</w:t>
      </w:r>
    </w:p>
    <w:p>
      <w:pPr>
        <w:spacing w:after="0" w:line="76"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Complying with these numerous, complex and often changing regulations is expensive and difficult, and failure to comply with any privacy laws or data security laws or any security incident or breach involving the misappropriation, loss or other unauthorized processing, use or disclosure of sensitive or confidential patient, consumer or other personal information, whether by us, one of our CROs or business associates or another third-party,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w:t>
      </w:r>
    </w:p>
    <w:p>
      <w:pPr>
        <w:spacing w:after="0" w:line="7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privacy laws in the EU have been significantly reformed in recent years. On May 25, 2018, the EU General Data Protection Regulation ("GDPR") entered into force and became directly applicable in all EU member states. The GDPR and related implementing laws in individual EU member states govern the collection and use of personal health data and other personal data in the EU including the personal data processed by companies outside the EU in connection with the offering of goods or services to individuals in the EU or the monitoring of their behavior (including in the context of clinical trials). The GDPR rules are also applicable in the European Economic Area (“EEA”), which consists of the 27 EU member states plus Norway, Liechtenstein and Iceland.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collecting and processing personal data, requires the appointment of data protection officers when sensitive personal data, such as health data, is processed on a large scale,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The GDPR provides that EU member states may establish their own laws and regulations limiting the processing of personal data, including genetic, biometric or health data, which could limit our ability to use and share personal data or could cause our costs to increase. Violations of the GDPR can lead to potential fines of up to €20 million or 4% of the annual global revenues of the noncompliant undertaking. In addition to the foregoing, a breach of the GDPR could result in regulatory investigations, reputational damage, orders to cease / change our processing of our data, enforcement notices, and/ or assessment notices (for a compulsory audit). Companies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7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in July 2020 the Court of Justice of the EU (“CJEU”) limited how organizations could lawfully transfer personal data from the EEA to the United States by invalidating the Privacy Shield for purposes of international transfers and imposing further restrictions on use of the standard contractual clauses (“SCCs”). While the CJEU upheld the adequacy of the SCCs, it made clear that reliance on them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The European Commission issued revised SCCs on June 4, 2021 to account for the decision of the CJEU and recommendations made by the European Data Protection Board. The revised SCCs must be used for relevant new data transfers since September 27, 2021; existing standard contractual clauses arrangements must be migrated to the revised clauses by December 27, 2022. There is some uncertainty around whether the revised clauses can be used for all types of data transfers, particularly whether they can be relied on for data transfers to non-EEA entities subject to the GDPR. The revised SCCs apply only to the transfer of personal data outside of the EEA and not the UK;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9" w:name="page60"/>
    <w:bookmarkEnd w:id="59"/>
    <w:p>
      <w:pPr>
        <w:spacing w:after="0" w:line="245" w:lineRule="auto"/>
        <w:rPr>
          <w:sz w:val="20"/>
          <w:szCs w:val="20"/>
          <w:color w:val="auto"/>
        </w:rPr>
      </w:pPr>
      <w:r>
        <w:rPr>
          <w:rFonts w:ascii="Arial" w:cs="Arial" w:eastAsia="Arial" w:hAnsi="Arial"/>
          <w:sz w:val="18"/>
          <w:szCs w:val="18"/>
          <w:color w:val="auto"/>
        </w:rPr>
        <w:t>UK’s Information Commissioner’s Office has published new data standard contracts for transfers from the UK under the UK GDPR. This new documentation will be mandatory for relevant data transfers beginning on September 21, 2022, existing standard contractual clauses arrangements must be mitigated to the new documentation by March 21, 2024. This and other recent developments are likely to require us to review and amend the legal mechanisms by which we make and/ or receive personal data transfers to and in the United States.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6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 addition, from January 1, 2021, we are subject to the GDPR and also the UK GDPR, which, together with the amended UK Data Protection Act 2018, retains the GDPR in UK national law.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In September 2021, the UK government launched a consultation on its proposals for wide-ranging reform of UK data protection laws following Brexit and the response to this consultation was published in June 2022.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In addition, we may be the subject of litigation and/or adverse publicity, which could adversely affect our business, results of operations and financial condition.</w:t>
      </w:r>
    </w:p>
    <w:p>
      <w:pPr>
        <w:spacing w:after="0" w:line="84"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color w:val="auto"/>
        </w:rPr>
        <w:t>In addition, the EU has also proposed a Regulation on Privacy and Electronic Communications, or ePrivacy regulation, which, if adopted, would impose new obligations on the use of personal data in the context of electronic communications, particularly with respect to online tracking technologies and direct marketing.</w:t>
      </w:r>
    </w:p>
    <w:p>
      <w:pPr>
        <w:spacing w:after="0" w:line="74"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cannot assure you that our CROs or other third-party service providers with access to our or our suppliers’, trial patients’, investigators and clinical site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w:t>
      </w:r>
    </w:p>
    <w:p>
      <w:pPr>
        <w:spacing w:after="0" w:line="10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Most healthcare providers in the U.S., including research institutions from which we obtain patient health information, are subject to privacy and security regulations promulgated under HIPAA, as amended by the Health Information Technology for Economic and Clinical Health Act.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Even when HIPAA does not apply, according to the Federal Trade Commission (the “FTC”), failing to take appropriate steps to keep consumers’ personal information secure constitutes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0" w:name="page61"/>
    <w:bookmarkEnd w:id="60"/>
    <w:p>
      <w:pPr>
        <w:ind w:right="60"/>
        <w:spacing w:after="0" w:line="246" w:lineRule="auto"/>
        <w:rPr>
          <w:sz w:val="20"/>
          <w:szCs w:val="20"/>
          <w:color w:val="auto"/>
        </w:rPr>
      </w:pPr>
      <w:r>
        <w:rPr>
          <w:rFonts w:ascii="Arial" w:cs="Arial" w:eastAsia="Arial" w:hAnsi="Arial"/>
          <w:sz w:val="18"/>
          <w:szCs w:val="18"/>
          <w:color w:val="auto"/>
        </w:rPr>
        <w:t>In addition, we, our CROs and third-party service providers receive and maintain sensitive information, including health-related information, that we receive throughout the clinical trial process, in the course of our research collaborations. As such, we may be subject to state laws, requiring notification of affected individuals and state regulators in the event of a breach of personal information, which is a broader class of information than the health information protected by HIPAA. Our clinical trial programs outside the United States may implicate international data protection laws, including the UK GDPR, GDPR and legislation of the EU member states implementing it. For example, the EU adopted the EU Clinical Trials regulation, which came into effect on January 31, 2022. This regulation imposes new obligations on the use of data generated from clinical trials that enables European patients to have the opportunity to access information about clinical trials.</w:t>
      </w:r>
    </w:p>
    <w:p>
      <w:pPr>
        <w:spacing w:after="0" w:line="8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Our activities outside the United States impose additional compliance requirements and generate additional risks of enforcement for noncompliance. Failure by our CROs and other third-party contractors to comply with the strict rules on the transfer of personal data outside of the EU into the United States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w:t>
      </w:r>
    </w:p>
    <w:p>
      <w:pPr>
        <w:spacing w:after="0" w:line="6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6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If we or third-party CMOs, CROs or other contractors or consultants fail to comply with applicable federal, state or foreign regulatory privacy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w:t>
      </w:r>
    </w:p>
    <w:p>
      <w:pPr>
        <w:spacing w:after="0" w:line="69"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4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6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employees are increasingly utilizing social media tools as a means of communication both internally and externally.</w:t>
      </w:r>
    </w:p>
    <w:p>
      <w:pPr>
        <w:spacing w:after="0" w:line="10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applicable laws and regulations, our policies and other legal or contractual requirements, which may give rise to regulatory enforcement action, liability, lead to the loss of trade secrets or other intellectual property or result in public</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61" w:name="page62"/>
    <w:bookmarkEnd w:id="61"/>
    <w:p>
      <w:pPr>
        <w:spacing w:after="0" w:line="252" w:lineRule="auto"/>
        <w:rPr>
          <w:sz w:val="20"/>
          <w:szCs w:val="20"/>
          <w:color w:val="auto"/>
        </w:rPr>
      </w:pPr>
      <w:r>
        <w:rPr>
          <w:rFonts w:ascii="Arial" w:cs="Arial" w:eastAsia="Arial" w:hAnsi="Arial"/>
          <w:sz w:val="18"/>
          <w:szCs w:val="18"/>
          <w:color w:val="auto"/>
        </w:rPr>
        <w:t>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06"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 or may reduce the size of our markets.</w:t>
      </w:r>
    </w:p>
    <w:p>
      <w:pPr>
        <w:spacing w:after="0" w:line="4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Our industry has been characterized by extensive research and development efforts, rapid developments in technologies, intense competition and a strong emphasis on proprietary products. We expect our product candidates to face intense and increasing competition as new products enter the relevant markets and advanced technologies become available. We face potential competition from many different sources, including pharmaceutical, biotechnology and specialty pharmaceutical companies. Academic research institutions, governmental agencies and public and private institutions are also potential sources of competitive products and technologies. Our competitors may have or may develop superior technologies or approaches, which may provide them with competitive advantages. Many of these competitors may also have products already approved or in development in the therapeutic categories that we are targeting with our product candidates. In addition, many of these competitors, either alone or together with their collaborative partners, may operate larger research and development programs or have substantially greater financial resources than we do, as well as greater experience in:</w:t>
      </w:r>
    </w:p>
    <w:p>
      <w:pPr>
        <w:spacing w:after="0" w:line="71"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undertaking preclinical testing and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NDA approval by the FDA;</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comparable foreign regulatory approvals of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formulating and manufacturing products;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launching, marketing and selling products.</w:t>
      </w:r>
    </w:p>
    <w:p>
      <w:pPr>
        <w:spacing w:after="0" w:line="10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If these competitors access the marketplace before we do with safer, more effective, or less expensive therapeutics, our product candidates, if approved for commercialization, may not be profitable to sell or worthwhile to continue to develop. Technology in the pharmaceutical industry has undergone rapid and significant change, and we expect that it will continue to do so. Any compounds, products or processes that we develop may become obsolete or uneconomical before we recover any expenses incurred in connection with their development. The success of our product candidates will depend upon factors such as product efficacy, safety, reliability, availability, timing, scope of regulatory approval, acceptance and price, among other things. Other important factors to our success include speed in developing product candidates, completing clinical development and laboratory testing, obtaining regulatory approvals and manufacturing and selling commercial quantities of potential products.</w:t>
      </w:r>
    </w:p>
    <w:p>
      <w:pPr>
        <w:spacing w:after="0" w:line="8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Significant competition exists from approved treatments or treatments in development for the diseases that we are targeting. Many of the approved drugs are well-established therapies or products and are widely accepted by physicians, patients and third-party payors. There are pharmaceutical and biotechnology companies at various stages of development and approval of treatments and, in some cases, vaccines for COVID-19, HCV, dengue and RSV. There are several vaccines approved or authorized for use for COVID-19 and there are therapeutics available for the treatment of COVID-19 including two authorized oral antiviral therapies authorized for emergency use for high risk COVID-19 patients. There are also several drugs including oral antivirals, approved for the treatment of HCV, an approved vaccine for dengue and an approved drug for the treatment of RSV. Our product candidates are intended to compete directly or indirectly with existing products and products currently in development. Even if approved and commercialized, our product candidates may fail to achieve market acceptance with hospitals, physicians or patients. Hospitals, physicians or patients may conclude that our products are less safe or effective or otherwise less attractive than existing drugs. If our product candidates do not receive market acceptance for any reason, our revenue potential would be diminished, which would materially adversely affect our ability to become profitable.</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Many of our competitors have substantially greater capital resources, robust product candidate pipelines, established presence in the market and expertise in research and development, manufacturing, preclinical and clinical testing, obtaining regulatory approvals and reimbursement and marketing approved products than we do.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2" w:name="page63"/>
    <w:bookmarkEnd w:id="62"/>
    <w:p>
      <w:pPr>
        <w:ind w:right="80"/>
        <w:spacing w:after="0" w:line="246" w:lineRule="auto"/>
        <w:rPr>
          <w:sz w:val="20"/>
          <w:szCs w:val="20"/>
          <w:color w:val="auto"/>
        </w:rPr>
      </w:pPr>
      <w:r>
        <w:rPr>
          <w:rFonts w:ascii="Arial" w:cs="Arial" w:eastAsia="Arial" w:hAnsi="Arial"/>
          <w:sz w:val="18"/>
          <w:szCs w:val="18"/>
          <w:color w:val="auto"/>
        </w:rPr>
        <w:t>As a result, our competitors may achieve product commercialization or patent or other intellectual property protection earlier than we can. Smaller or early-stage companies may also prove to be significant competitors, particularly through collaborative arrangements with large and established companies. These competitors also compete with us in recruiting and retaining qualified clinical, regulatory, scientific, sales, marketing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noncompetitive, which would have a material adverse effect on our business and operations.</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coverage, adequate reimbursement levels and pricing policies. Failure to obtain or maintain coverage and adequate reimbursement for our product candidates, if approved, could limit our ability to market those products and decrease our ability to generate product revenue.</w:t>
      </w:r>
    </w:p>
    <w:p>
      <w:pPr>
        <w:spacing w:after="0" w:line="5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w:t>
      </w:r>
    </w:p>
    <w:p>
      <w:pPr>
        <w:spacing w:after="0" w:line="8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and biologics when an equivalent generic drug, biosimilar or a less expensive therapy is available. It is possible that a third-party payor may consider our product candidates as substitutable and only offer to reimburse patients for the less expensive product. For products administered under the supervision of a physician, obtaining coverage and adequate reimbursement may be particularly difficult because of the higher prices often associated with such drugs.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86"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 the United States, third-party payors, including private and governmental payors, such as the Medicare and Medicaid programs, play an important role in determining the extent to which new drugs and biologics will be covered and reimbursed. The Medicare program is increasingly used as a model for how private and other governmental payors develop their coverage and reimbursement policies for new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Some third-party payors may require pre-approval of coverage for new or innovative drug therapies before they will reimburse healthcare providers who use such therapies. Furthermore, rules and regulations regarding reimbursement change frequently, in some cases on short notice, and we believe that changes in these rules and regulations are likely. We cannot predict at this time what third-party payors will decide with respect to the coverage and reimbursement for our product candidates.</w:t>
      </w:r>
    </w:p>
    <w:p>
      <w:pPr>
        <w:spacing w:after="0" w:line="7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the EU and other jurisdictions have and will continue to put pressure on the pricing and usage of our product candidates. In many countries, the prices of medical products are subject to varying price control mechanisms as part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63" w:name="page64"/>
    <w:bookmarkEnd w:id="63"/>
    <w:p>
      <w:pPr>
        <w:ind w:right="380"/>
        <w:spacing w:after="0" w:line="252" w:lineRule="auto"/>
        <w:rPr>
          <w:sz w:val="20"/>
          <w:szCs w:val="20"/>
          <w:color w:val="auto"/>
        </w:rPr>
      </w:pPr>
      <w:r>
        <w:rPr>
          <w:rFonts w:ascii="Arial" w:cs="Arial" w:eastAsia="Arial" w:hAnsi="Arial"/>
          <w:sz w:val="18"/>
          <w:szCs w:val="18"/>
          <w:color w:val="auto"/>
        </w:rPr>
        <w:t>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7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healthcare, the increasing influence of health maintenance organizations and additional legislative changes resulting from legislative actions, including the recently enacted IRA.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8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addition, during the pendency of the public health emergency declared by the Secretary of HHS in March 2020 at the outset of the COVID-19 pandemic, the U.S. federal government has been a primary purchaser of therapeutics for the treatment of COVID-19. Even if we succeed in developing a bemnifosbuvir COV19 product candidate, we may not be able to compete effectively if such product does not satisfy government procurement requirements and our future results of operations may be adversely impacted if government procurement needs for such products decline due to over-saturated supply, reduced patient demand or reduced appropriations for such purchases. Additionally, it is uncertain for how long the U.S. federal government will remain a primary purchaser of COVID-19 therapeutics. Recently, there have been announcements regarding the intention of the U.S. federal government to transition the procurement and distribution of COVID-19 therapeutics, vaccines and diagnostic tests to the commercial market. The time at which this transition will occur is uncertain and is subject to many conditions including among others whether substantial incremental appropriations will be available to further fund the U.S. federal government COVID-19 response. The effects of such a transition from U.S. federal government procurement and distribution to commercial market channels are many and will likely include discontinuation of free or heavily subsidized access by U.S. persons to COVID-19 therapeutics, vaccines and diagnostics. Such changes in patient access may affect product utilization and could limit our ability to successfully commercialize our product candidates and obtain a satisfactory financial return on our product candidates in this therapeutic space.</w:t>
      </w:r>
    </w:p>
    <w:p>
      <w:pPr>
        <w:spacing w:after="0" w:line="18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either on our own or in collaboration with third parties, we may not be successful in commercializing any of our product candidates, if approved, and we may not be able to generate any product revenue.</w:t>
      </w:r>
    </w:p>
    <w:p>
      <w:pPr>
        <w:spacing w:after="0" w:line="4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have limited personnel or infrastructure for the sales, marketing or distribution of products, and no experience as a company in commercializing a product candidate. The cost of building and maintaining such an organization may exceed the cost-effectiveness of doing so.</w:t>
      </w:r>
    </w:p>
    <w:p>
      <w:pPr>
        <w:spacing w:after="0" w:line="5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We may build our own focused sales, distribution and marketing infrastructure to market our product candidates, if approved, in the United States and other markets around the world. There are significant expenses and risks involved with building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product launch, which would adversely impact the commercialization of our product candidate, if approved. Additionally, if the commercial launch of our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on our own include but are not limited to:</w:t>
      </w:r>
    </w:p>
    <w:p>
      <w:pPr>
        <w:spacing w:after="0" w:line="10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02" w:lineRule="exact"/>
        <w:rPr>
          <w:rFonts w:ascii="Times New Roman" w:cs="Times New Roman" w:eastAsia="Times New Roman" w:hAnsi="Times New Roman"/>
          <w:sz w:val="18"/>
          <w:szCs w:val="18"/>
          <w:color w:val="auto"/>
        </w:rPr>
      </w:pPr>
    </w:p>
    <w:p>
      <w:pPr>
        <w:ind w:left="1020" w:right="400" w:hanging="503"/>
        <w:spacing w:after="0" w:line="286"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future products;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64" w:name="page65"/>
    <w:bookmarkEnd w:id="64"/>
    <w:p>
      <w:pPr>
        <w:ind w:left="1020" w:right="300" w:hanging="503"/>
        <w:spacing w:after="0" w:line="286"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equip medical and sales personnel with effective materials, including medical and sales literature to help them educate physicians and other healthcare providers regarding applicable diseases and our future products;</w:t>
      </w:r>
    </w:p>
    <w:p>
      <w:pPr>
        <w:spacing w:after="0" w:line="3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develop or obtain sufficient operational functions to support our commercial activities;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0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If we are unable or decide not to establish internal sales, marketing and distribution capabilities, or decide not to do so for a particular country, we may pursue collaborative arrangements. If we pursue a collaborative arrangement, our sales will largely depend on the collaborator’s strategic interest in the product and such collaborator’s ability to successfully commercialize the product.</w:t>
      </w:r>
    </w:p>
    <w:p>
      <w:pPr>
        <w:spacing w:after="0" w:line="5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If we are unable to build our own sales force or access a collaborative relationship for the commercialization of any of our product candidates, we may be forced to delay the potential commercialization of our product candidates or reduce the scope of our sales or marketing activities for such product candidates. If we elect to increase our expenditures to fund commercialization activities ourselves, we will need to obtain additional capital, which may not be available to us on acceptable terms, or at all. We could enter into arrangements with collaborative partners at an earlier stage than otherwise would be ideal and we may be required to relinquish rights to any of our product candidates or otherwise agree to terms unfavorable to us, any of which may have an adverse effect on our business, operating results and prospects.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If we are unable to establish adequate sales, marketing and distribution capabilities, either on our own or in collaboration with third parties, we will not be successful in commercializing our product candidates and may not become profitable and may incur significant additional losses. We will be competing with many companies, including large pharmaceutical companies, that have extensive and well-funded marketing and sales operations. Without an internal team or the support of a third-party to perform marketing and sales functions, we may be unable to compete successfully against these more established companies.</w:t>
      </w:r>
    </w:p>
    <w:p>
      <w:pPr>
        <w:spacing w:after="0" w:line="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even if we do establish adequate sales, marketing and distribution capabilities, the progress of general industry trends with respect to pricing models, supply chains and delivery mechanisms, among other things, could deviate from our expectations. If these or other industry trends change in a manner which we do not anticipate or for which we are not prepared, we may not be successful in commercializing our product candidates or become profitable.</w:t>
      </w:r>
    </w:p>
    <w:p>
      <w:pPr>
        <w:spacing w:after="0" w:line="172" w:lineRule="exact"/>
        <w:rPr>
          <w:sz w:val="20"/>
          <w:szCs w:val="20"/>
          <w:color w:val="auto"/>
        </w:rPr>
      </w:pPr>
    </w:p>
    <w:p>
      <w:pPr>
        <w:ind w:right="680"/>
        <w:spacing w:after="0" w:line="27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4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We do not currently have any collaborator for the commercialization of any of our product candidates in foreign markets. We are evaluating the opportunities for the development and commercialization of our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 but not limited to:</w:t>
      </w:r>
    </w:p>
    <w:p>
      <w:pPr>
        <w:spacing w:after="0" w:line="69"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directly control commercial activities if we are relying on third parties;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65" w:name="page66"/>
    <w:bookmarkEnd w:id="65"/>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import or export licensing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longer accounts receivable collection times;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supply our product candidates on a timely and large-scale basis in local markets;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longer lead times for shipping which may necessitate local manufacture of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language barriers for technical training and the need for language translations;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reduced protection of patent and other intellectual property rights in some foreign countries;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fluctuations;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19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Foreign sales of any product for which we obtain approval could also be adversely affected by the imposition of governmental controls, political and economic instability, trade restrictions and changes in tariffs.</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If any of our product candidates is approved for commercialization, we may selectively partner with third parties to market it in certain jurisdictions outside the United States. We expect that we will be subject to additional risks related to international pharmaceutical operations, including but not limited to:</w:t>
      </w:r>
    </w:p>
    <w:p>
      <w:pPr>
        <w:spacing w:after="0" w:line="5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different regulatory requirements for drug approvals and rules governing drug commercialization in foreign countries;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reduced protection for patent and other intellectual property rights;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foreign reimbursement, pricing and insurance regimes;</w:t>
      </w:r>
    </w:p>
    <w:p>
      <w:pPr>
        <w:spacing w:after="0" w:line="102" w:lineRule="exact"/>
        <w:rPr>
          <w:rFonts w:ascii="Times New Roman" w:cs="Times New Roman" w:eastAsia="Times New Roman" w:hAnsi="Times New Roman"/>
          <w:sz w:val="18"/>
          <w:szCs w:val="18"/>
          <w:color w:val="auto"/>
        </w:rPr>
      </w:pPr>
    </w:p>
    <w:p>
      <w:pPr>
        <w:ind w:left="1020" w:right="44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03" w:lineRule="exact"/>
        <w:rPr>
          <w:sz w:val="20"/>
          <w:szCs w:val="20"/>
          <w:color w:val="auto"/>
        </w:rPr>
      </w:pPr>
    </w:p>
    <w:p>
      <w:pPr>
        <w:jc w:val="both"/>
        <w:ind w:right="260"/>
        <w:spacing w:after="0" w:line="252" w:lineRule="auto"/>
        <w:rPr>
          <w:sz w:val="20"/>
          <w:szCs w:val="20"/>
          <w:color w:val="auto"/>
        </w:rPr>
      </w:pPr>
      <w:r>
        <w:rPr>
          <w:rFonts w:ascii="Arial" w:cs="Arial" w:eastAsia="Arial" w:hAnsi="Arial"/>
          <w:sz w:val="18"/>
          <w:szCs w:val="18"/>
          <w:color w:val="auto"/>
        </w:rPr>
        <w:t>As an organization, we have no prior experience in these areas. In addition, we will need to comply with complex regulatory, tax, labor and other legal requirements imposed by both the EU and many of the individual member states in the EU as well as in other global territories such as Southeast Asia where dengue fever is endemic. Many U.S.-based biotechnology companies have found the process of marketing their own products outside of North America to be very challenging.</w:t>
      </w:r>
    </w:p>
    <w:p>
      <w:pPr>
        <w:spacing w:after="0" w:line="6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Certain legal and political risks are also inherent in foreign operations. There is a risk that foreign governments may nationalize private enterprises in certain countries where we may operate. In certain countries or regions, terrorist activities and the response to such activities may threaten our operations more than in the United States. Social and cultural norms in certain countries may not support compliance with our corporate policies, including those that require compliance with substantive laws and regulations. Also, changes in general economic and political conditions in countries where we may operate are a risk to our financial performance and future growth. Additionally, the need to identify financially and commercially strong partners for commercialization outside the United States who will comply with the high manufacturing and legal and regulatory compliance standards we require is a risk to our financial performance. As we operate our business globally, our success will depend, in part, on our ability to anticipate and effectively manage these and other related risks. There can be no assurance that the consequences of these and other factors relating to our international operations will not have an adverse effect on our business, financial condition or results of operations.</w:t>
      </w:r>
    </w:p>
    <w:p>
      <w:pPr>
        <w:spacing w:after="0" w:line="6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some countries, particularly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clinical trials that compare the cost-effectiveness of our product candidates to other available therapies. If reimbursement of our products is unavailable or limited in scope or amount, or if pricing is set at unsatisfactory levels, our business could be harmed, possibly materially.</w:t>
      </w:r>
    </w:p>
    <w:p>
      <w:pPr>
        <w:spacing w:after="0" w:line="67" w:lineRule="exact"/>
        <w:rPr>
          <w:sz w:val="20"/>
          <w:szCs w:val="20"/>
          <w:color w:val="auto"/>
        </w:rPr>
      </w:pPr>
    </w:p>
    <w:p>
      <w:pPr>
        <w:ind w:right="520"/>
        <w:spacing w:after="0" w:line="278" w:lineRule="auto"/>
        <w:rPr>
          <w:sz w:val="20"/>
          <w:szCs w:val="20"/>
          <w:color w:val="auto"/>
        </w:rPr>
      </w:pPr>
      <w:r>
        <w:rPr>
          <w:rFonts w:ascii="Arial" w:cs="Arial" w:eastAsia="Arial" w:hAnsi="Arial"/>
          <w:sz w:val="18"/>
          <w:szCs w:val="18"/>
          <w:b w:val="1"/>
          <w:bCs w:val="1"/>
          <w:i w:val="1"/>
          <w:iCs w:val="1"/>
          <w:color w:val="auto"/>
        </w:rPr>
        <w:t>Potential product liability lawsuits against us could cause us to incur substantial liabilities and limit commercialization of any products that we may develop.</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6" w:name="page67"/>
    <w:bookmarkEnd w:id="66"/>
    <w:p>
      <w:pPr>
        <w:spacing w:after="0" w:line="248"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In addition, regardless of merit or eventual outcome, product liability claims may result in:</w:t>
      </w:r>
    </w:p>
    <w:p>
      <w:pPr>
        <w:spacing w:after="0" w:line="6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impairment of our business reputation and significant negative media attention;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participants from our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investigations by regulators;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the claims and related litigation;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distraction of management’s attention from our primary business;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patients or other claimants;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commercialize a product candidate;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exhaustion of any available insurance and our capital resources;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a product candidate, if approved for commercial sale;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10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our Dependence on Third Parties</w:t>
      </w:r>
    </w:p>
    <w:p>
      <w:pPr>
        <w:spacing w:after="0" w:line="21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We rely and expect to continue to rely on third parties for the manufacture of materials for our research programs, preclinical studies and clinical trials and we do not have long-term contracts with any of these parties. This reliance on third parties increases the risk that we will not have sufficient quantities of such materials or any product candidates that we may develop and, if approved, commercialize, or that such supply will not be available to us at an acceptable cost, which could delay, prevent, or impair our development or commercialization efforts.</w:t>
      </w:r>
    </w:p>
    <w:p>
      <w:pPr>
        <w:spacing w:after="0" w:line="55"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We rely and expect to continue to rely on third parties for the manufacture of materials for our clinical trials and our research activities, preclinical and clinical development. We expect to rely on third parties for commercial manufacture if any of our product candidates receive marketing approval. We do not currently have a long-term agreement with any of the third-party manufacturers we currently use to provide preclinical and clinical trial materials, and we purchase any required materials on a purchase order basis. Certain of these manufacturers are critical to our production and the loss of these manufacturers, or an inability to obtain quantities at an acceptable cost or quality, could delay, prevent or impair our ability to timely conduct preclinical studies or clinical trials, and would materially and adversely affect our development and commercialization efforts. For example, in 2022, we began to manufacture ruzasvir, the product candidate we licensed in December 2021 from Merck. Until such time, if ever, as we have successfully manufactured a sufficient quantity of ruzasvir clinical trial material, we will be unable initiate patient enrollment in the planned HCV clinical trials of the combination of bemnifosbuvir and ruzasvir.</w:t>
      </w:r>
    </w:p>
    <w:p>
      <w:pPr>
        <w:spacing w:after="0" w:line="69"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We expect to rely on third-party manufacturers for the commercial supply of any of our product candidates for which we obtain marketing approval, if 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7" w:name="page68"/>
    <w:bookmarkEnd w:id="67"/>
    <w:p>
      <w:pPr>
        <w:jc w:val="both"/>
        <w:ind w:right="180"/>
        <w:spacing w:after="0" w:line="261" w:lineRule="auto"/>
        <w:rPr>
          <w:sz w:val="20"/>
          <w:szCs w:val="20"/>
          <w:color w:val="auto"/>
        </w:rPr>
      </w:pPr>
      <w:r>
        <w:rPr>
          <w:rFonts w:ascii="Arial" w:cs="Arial" w:eastAsia="Arial" w:hAnsi="Arial"/>
          <w:sz w:val="18"/>
          <w:szCs w:val="18"/>
          <w:color w:val="auto"/>
        </w:rPr>
        <w:t>We may be unable to maintain or establish required agreements with third-party manufacturers or to do so on acceptable terms. Even if we are able to establish agreements with third-party manufacturers, reliance on third-party manufacturers entails additional risks, including but not limited to:</w:t>
      </w:r>
    </w:p>
    <w:p>
      <w:pPr>
        <w:spacing w:after="0" w:line="54" w:lineRule="exact"/>
        <w:rPr>
          <w:sz w:val="20"/>
          <w:szCs w:val="20"/>
          <w:color w:val="auto"/>
        </w:rPr>
      </w:pPr>
    </w:p>
    <w:p>
      <w:pPr>
        <w:ind w:left="1020" w:hanging="503"/>
        <w:spacing w:after="0" w:line="252"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 as a result of accidents, fire, loss of personnel, business decisions at or by the third-party manufacturer or otherwise;</w:t>
      </w:r>
    </w:p>
    <w:p>
      <w:pPr>
        <w:spacing w:after="0" w:line="7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02" w:lineRule="exact"/>
        <w:rPr>
          <w:rFonts w:ascii="Times New Roman" w:cs="Times New Roman" w:eastAsia="Times New Roman" w:hAnsi="Times New Roman"/>
          <w:sz w:val="18"/>
          <w:szCs w:val="18"/>
          <w:color w:val="auto"/>
        </w:rPr>
      </w:pPr>
    </w:p>
    <w:p>
      <w:pPr>
        <w:ind w:left="1020" w:right="90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breach by the third-party contractors of our agreements with them;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third-party to manufacture our product candidates according to our specifications;</w:t>
      </w:r>
    </w:p>
    <w:p>
      <w:pPr>
        <w:spacing w:after="0" w:line="102" w:lineRule="exact"/>
        <w:rPr>
          <w:rFonts w:ascii="Times New Roman" w:cs="Times New Roman" w:eastAsia="Times New Roman" w:hAnsi="Times New Roman"/>
          <w:sz w:val="18"/>
          <w:szCs w:val="18"/>
          <w:color w:val="auto"/>
        </w:rPr>
      </w:pPr>
    </w:p>
    <w:p>
      <w:pPr>
        <w:ind w:left="1020" w:right="100" w:hanging="503"/>
        <w:spacing w:after="0" w:line="286"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32" w:lineRule="exact"/>
        <w:rPr>
          <w:rFonts w:ascii="Times New Roman" w:cs="Times New Roman" w:eastAsia="Times New Roman" w:hAnsi="Times New Roman"/>
          <w:sz w:val="18"/>
          <w:szCs w:val="18"/>
          <w:color w:val="auto"/>
        </w:rPr>
      </w:pPr>
    </w:p>
    <w:p>
      <w:pPr>
        <w:ind w:left="1020" w:right="100" w:hanging="503"/>
        <w:spacing w:after="0" w:line="26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improper handling of clinical supplies, whether during transit or otherwise, impacting the quality of such clinical supplies leading to loss of GMP status and the resulting inability to use such clinical supplies in clinical trials which may result in clinical interruptions and delays in the commencement of planned clinical trials;</w:t>
      </w:r>
    </w:p>
    <w:p>
      <w:pPr>
        <w:spacing w:after="0" w:line="55"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59"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misappropriation or unauthorized disclosure of our intellectual property or other proprietary information, including our trade secrets and know-how.</w:t>
      </w:r>
    </w:p>
    <w:p>
      <w:pPr>
        <w:spacing w:after="0" w:line="4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For AT-752 and ruzasvir, we have sole suppliers located in China for our active pharmaceutical ingredients, and for all our product candidates, including bemnifosbuvir, all suppliers of the regulatory starting materials for the respective manufacturing processes are located in China. We expect to continue to use such third-party manufacturers. Any disruption in production or inability of our manufacturers in China to produce adequate quantities to meet our needs, whether as a result of a natural disaster, pandemics, trade disruptions or other causes, could impair our ability to operate our business on a day-to-day basis and to continue our research and development of our product candidates. For example, the Uyghur Forced Labor Prevention Act bans imports from China’s Xinjiang region unless it can be shown that the goods were not produced using forced labor and this legislation may have an adverse effect on global supply chains which could adversely impact our business and results of operations.</w:t>
      </w:r>
    </w:p>
    <w:p>
      <w:pPr>
        <w:spacing w:after="0" w:line="8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and similar regulatory requirements for manufacturing both active drug substances and finished drug products. Third -party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authorization for their manufacturing facilities. In addition, we do not have control over the ability of our contract manufacturers to maintain adequate quality control, quality assurance and qualified personnel. If the FDA or a comparable foreign regulatory authority does not authorize these facilities for the manufacture of our product candidates or if it withdraws any such authorization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68" w:name="page69"/>
    <w:bookmarkEnd w:id="68"/>
    <w:p>
      <w:pPr>
        <w:ind w:right="620"/>
        <w:spacing w:after="0" w:line="321" w:lineRule="auto"/>
        <w:rPr>
          <w:sz w:val="20"/>
          <w:szCs w:val="20"/>
          <w:color w:val="auto"/>
        </w:rPr>
      </w:pPr>
      <w:r>
        <w:rPr>
          <w:rFonts w:ascii="Arial" w:cs="Arial" w:eastAsia="Arial" w:hAnsi="Arial"/>
          <w:sz w:val="17"/>
          <w:szCs w:val="17"/>
          <w:b w:val="1"/>
          <w:bCs w:val="1"/>
          <w:i w:val="1"/>
          <w:iCs w:val="1"/>
          <w:color w:val="auto"/>
        </w:rPr>
        <w:t>Our third-party manufacturers may be unable to successfully scale up manufacturing of our product candidates in sufficient quality and quantity, which may impair the clinical advancement and commercialization of our product candidates.</w:t>
      </w:r>
    </w:p>
    <w:p>
      <w:pPr>
        <w:spacing w:after="0" w:line="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 order to conduct clinical trials of our product candidates and commercialize any approved product, our manufacturers need to manufacture them in large quantities. However, they may be unable to successfully increase the manufacturing capacity for any of our product candidates or products in a timely or cost-effective manner, or at all. In addition, quality issues may arise during scale-up activities. If we, or any manufacturers are unable to successfully scale up the manufacture of our product candidates in sufficient quality and quantity, the development, testing and clinical trials of these product candidates may be delayed or infeasible, and regulatory approval or commercial launch of any resulting products may be delayed or not obtained, which could significantly harm our business. Supply sources could be interrupted from time to time and, if interrupted, would disrupt our manufacturers’ ability to manufacture our product candidates at the scale required. If we are unable to meet the clinical or commercial supply need for our product candidates, or to do so on commercially reasonable terms, we may not be able to develop our product candidates and commercialize our products successfully.</w:t>
      </w:r>
    </w:p>
    <w:p>
      <w:pPr>
        <w:spacing w:after="0" w:line="87"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We do not have multiple sources of supply for all of the components used in our product candidates, nor long-term supply contracts, and certain of our suppliers are critical to our production. If we were to lose a critical supplier, it could have a material adverse effect on our ability to complete the development of our product candidates. If we obtain regulatory approval for any of our product candidates, we would need to expand the supply of their components in order to commercialize them.</w:t>
      </w:r>
    </w:p>
    <w:p>
      <w:pPr>
        <w:spacing w:after="0" w:line="53"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We do not have multiple sources of supply for all of the components used in the manufacturing of bemnifosbuvir, AT-752 or ruzasvir or any of our other product candidates. For AT-752 and ruzasvir, we have sole suppliers located in China for our active pharmaceutical ingredients, and for all our product candidates, including bemnifosbuvir, all suppliers of the regulatory starting materials for the respective manufacturing processes are located in China. We do not have long-term supply agreements with any of our component suppliers. We may not be able to establish additional sources of supply for our product candidates, or may be unable to do so on acceptable terms. Manufacturing suppliers are subject to cGMP quality and regulatory requirements and similar regulatory requirements, covering manufacturing, testing, quality control and record keeping relating to our product candidates and subject to ongoing inspections by applicable regulatory authorities. Manufacturing suppliers are also subject to local, state and federal regulations and licensing requirements. Failure by any of our suppliers to comply with all applicable regulations and requirements may result in long delays and interruptions in supply.</w:t>
      </w:r>
    </w:p>
    <w:p>
      <w:pPr>
        <w:spacing w:after="0" w:line="69"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 number of suppliers of the components of our product candidates is limited. In the event it is necessary or desirable to acquire supplies from alternative suppliers, we might not be able to obtain them on commercially reasonable terms, if at all. It could also require significant time and expense to redesign our manufacturing processes to work with another company and redesign of processes can trigger the need for conducting additional studies such as comparability or bridging studies. Additionally, certain of our suppliers are critical to our production, and the loss of these suppliers to one of our competitors or otherwise would materially and adversely affect our development and commercialization efforts.</w:t>
      </w:r>
    </w:p>
    <w:p>
      <w:pPr>
        <w:spacing w:after="0" w:line="8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As part of any marketing approval, regulatory authorities conduct inspections that must be successful prior to the approval of the product. Failure of manufacturing suppliers to successfully complete these regulatory inspections will result in delays. If supply from the approved supplier is interrupted, there could be a significant disruption in commercial supply. An alternative vendor would need to be qualified through a NDA amendment or supplement, which could result in further delay. The FDA or other regulatory authorities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3" w:lineRule="exact"/>
        <w:rPr>
          <w:sz w:val="20"/>
          <w:szCs w:val="20"/>
          <w:color w:val="auto"/>
        </w:rPr>
      </w:pPr>
    </w:p>
    <w:p>
      <w:pPr>
        <w:ind w:right="460"/>
        <w:spacing w:after="0" w:line="242" w:lineRule="auto"/>
        <w:rPr>
          <w:sz w:val="20"/>
          <w:szCs w:val="20"/>
          <w:color w:val="auto"/>
        </w:rPr>
      </w:pPr>
      <w:r>
        <w:rPr>
          <w:rFonts w:ascii="Arial" w:cs="Arial" w:eastAsia="Arial" w:hAnsi="Arial"/>
          <w:sz w:val="18"/>
          <w:szCs w:val="18"/>
          <w:color w:val="auto"/>
        </w:rPr>
        <w:t>If we are unable to obtain the supplies we need at a reasonable price or on a timely basis, it could have a material adverse effect on our ability to complete the development of our product candidates or, if we obtain regulatory approval for our product candidates, to commercialize them.</w:t>
      </w:r>
    </w:p>
    <w:p>
      <w:pPr>
        <w:spacing w:after="0" w:line="195"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Any failure by a third-party to conduct the clinical trials according to GCPs and in a timely manner may delay or prevent our ability to seek or obtain regulatory approval for or commercialize our product candidates.</w:t>
      </w:r>
    </w:p>
    <w:p>
      <w:pPr>
        <w:spacing w:after="0" w:line="5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are dependent on third parties to conduct critical aspects of our Phase 3 SUNRISE-3 clinical trial, our preclinical studies and our other clinical trials and we expect to rely on third parties to conduct future clinical trials and preclinical studies for our product candidates. Specifically, we have used and relied on, and intend to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69" w:name="page70"/>
    <w:bookmarkEnd w:id="69"/>
    <w:p>
      <w:pPr>
        <w:spacing w:after="0" w:line="242" w:lineRule="auto"/>
        <w:rPr>
          <w:sz w:val="20"/>
          <w:szCs w:val="20"/>
          <w:color w:val="auto"/>
        </w:rPr>
      </w:pPr>
      <w:r>
        <w:rPr>
          <w:rFonts w:ascii="Arial" w:cs="Arial" w:eastAsia="Arial" w:hAnsi="Arial"/>
          <w:sz w:val="18"/>
          <w:szCs w:val="18"/>
          <w:color w:val="auto"/>
        </w:rPr>
        <w:t>continue to use and rely on, medical institutions, clinical investigators, CROs and consultants to conduct our clinical trials in accordance with our clinical protocols and regulatory requirements. These CROs, investigators and other third parties play a significant role in the conduct and timing of these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or research activities complies with GCP regulations. In addition, our clinical trials must be conducted with product produced under cGMP or similar regulations outside the United States. Our failure to comply with these regulations may require us to repeat clinical trials, which would delay the regulatory approval process.</w:t>
      </w:r>
    </w:p>
    <w:p>
      <w:pPr>
        <w:spacing w:after="0" w:line="89"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Any third parties conducting our clinical trials or preclinical studies are not and will not be our employees and, except for remedies available to us under our agreements with such third parties, we cannot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 receive cash and cash equivalents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NDA or similar applications we submit to the FDA or foreign regulatory authorities. Any such delay or rejection could prevent us from commercializing our product candidates.</w:t>
      </w:r>
    </w:p>
    <w:p>
      <w:pPr>
        <w:spacing w:after="0" w:line="9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and substantially all our clinical trial sites have an ability to terminate their respective agreements with us if it can be reasonably demonstrated that the safety of the subjects participating in our clinical trials warrants such termination.</w:t>
      </w:r>
    </w:p>
    <w:p>
      <w:pPr>
        <w:spacing w:after="0" w:line="7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9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We may collaborate with third parties for the development and commercialization of our candidates. We may not succeed in establishing and maintaining collaborative relationships, which may significantly limit our ability to develop and commercialize our product candidates successfully, if at all.</w:t>
      </w:r>
    </w:p>
    <w:p>
      <w:pPr>
        <w:spacing w:after="0" w:line="65"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We may seek collaborative relationships for the development and commercialization of our product candidates. If we enter into any collaborative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product revenue from any collaborations will depend on our collaborators’ abilities to successfully perform the functions assigned to them. We cannot predict the success of any collaboration that we enter into.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Collaborations involving our product candidates involve many risks, including:</w:t>
      </w:r>
    </w:p>
    <w:p>
      <w:pPr>
        <w:spacing w:after="0" w:line="117" w:lineRule="exact"/>
        <w:rPr>
          <w:sz w:val="20"/>
          <w:szCs w:val="20"/>
          <w:color w:val="auto"/>
        </w:rPr>
      </w:pPr>
    </w:p>
    <w:p>
      <w:pPr>
        <w:ind w:left="1020" w:right="86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46" w:lineRule="exact"/>
        <w:rPr>
          <w:rFonts w:ascii="Times New Roman" w:cs="Times New Roman" w:eastAsia="Times New Roman" w:hAnsi="Times New Roman"/>
          <w:sz w:val="18"/>
          <w:szCs w:val="18"/>
          <w:color w:val="auto"/>
        </w:rPr>
      </w:pPr>
    </w:p>
    <w:p>
      <w:pPr>
        <w:ind w:left="1020" w:right="60" w:hanging="503"/>
        <w:spacing w:after="0" w:line="252"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inappropriately or in such a way as to expose us to potential litigation or other intellectual property-related proceedings, including proceedings challenging the scope, ownership, validity and enforceability of our intellectual property;</w:t>
      </w:r>
    </w:p>
    <w:p>
      <w:pPr>
        <w:spacing w:after="0" w:line="74" w:lineRule="exact"/>
        <w:rPr>
          <w:rFonts w:ascii="Times New Roman" w:cs="Times New Roman" w:eastAsia="Times New Roman" w:hAnsi="Times New Roman"/>
          <w:sz w:val="18"/>
          <w:szCs w:val="18"/>
          <w:color w:val="auto"/>
        </w:rPr>
      </w:pPr>
    </w:p>
    <w:p>
      <w:pPr>
        <w:jc w:val="both"/>
        <w:ind w:left="1020" w:right="220" w:hanging="503"/>
        <w:spacing w:after="0" w:line="252"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own or co-own intellectual property rights covering our product candidates that result from our collaboration with them, and in such cases, we may not have the exclusive right to commercialize such intellectual property or such product candidates;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6" w:lineRule="exact"/>
        <w:rPr>
          <w:rFonts w:ascii="Times New Roman" w:cs="Times New Roman" w:eastAsia="Times New Roman" w:hAnsi="Times New Roman"/>
          <w:sz w:val="18"/>
          <w:szCs w:val="18"/>
          <w:color w:val="auto"/>
        </w:rPr>
      </w:pPr>
    </w:p>
    <w:p>
      <w:pPr>
        <w:ind w:left="1020" w:right="24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86"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32" w:lineRule="exact"/>
        <w:rPr>
          <w:rFonts w:ascii="Times New Roman" w:cs="Times New Roman" w:eastAsia="Times New Roman" w:hAnsi="Times New Roman"/>
          <w:sz w:val="18"/>
          <w:szCs w:val="18"/>
          <w:color w:val="auto"/>
        </w:rPr>
      </w:pPr>
    </w:p>
    <w:p>
      <w:pPr>
        <w:ind w:left="1020" w:right="60" w:hanging="503"/>
        <w:spacing w:after="0" w:line="26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5"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terminate the collaboration, and, as a result, we may not be able to develop a product candidate or we will have to use our own clinical resources and capital to continue development of the product candidate;</w:t>
      </w:r>
    </w:p>
    <w:p>
      <w:pPr>
        <w:spacing w:after="0" w:line="59" w:lineRule="exact"/>
        <w:rPr>
          <w:rFonts w:ascii="Times New Roman" w:cs="Times New Roman" w:eastAsia="Times New Roman" w:hAnsi="Times New Roman"/>
          <w:sz w:val="18"/>
          <w:szCs w:val="18"/>
          <w:color w:val="auto"/>
        </w:rPr>
      </w:pPr>
    </w:p>
    <w:p>
      <w:pPr>
        <w:ind w:left="1020" w:right="100" w:hanging="503"/>
        <w:spacing w:after="0" w:line="252"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61" w:lineRule="exact"/>
        <w:rPr>
          <w:rFonts w:ascii="Times New Roman" w:cs="Times New Roman" w:eastAsia="Times New Roman" w:hAnsi="Times New Roman"/>
          <w:sz w:val="18"/>
          <w:szCs w:val="18"/>
          <w:color w:val="auto"/>
        </w:rPr>
      </w:pPr>
    </w:p>
    <w:p>
      <w:pPr>
        <w:ind w:left="1020" w:right="44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46" w:lineRule="exact"/>
        <w:rPr>
          <w:rFonts w:ascii="Times New Roman" w:cs="Times New Roman" w:eastAsia="Times New Roman" w:hAnsi="Times New Roman"/>
          <w:sz w:val="18"/>
          <w:szCs w:val="18"/>
          <w:color w:val="auto"/>
        </w:rPr>
      </w:pPr>
    </w:p>
    <w:p>
      <w:pPr>
        <w:ind w:left="1020" w:right="140" w:hanging="503"/>
        <w:spacing w:after="0" w:line="26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w:t>
      </w:r>
    </w:p>
    <w:p>
      <w:pPr>
        <w:spacing w:after="0" w:line="55"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32"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59"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undergo a change of control and the new owners may decide to take the collaboration in a direction that is not in our best interest;</w:t>
      </w:r>
    </w:p>
    <w:p>
      <w:pPr>
        <w:spacing w:after="0" w:line="46" w:lineRule="exact"/>
        <w:rPr>
          <w:rFonts w:ascii="Times New Roman" w:cs="Times New Roman" w:eastAsia="Times New Roman" w:hAnsi="Times New Roman"/>
          <w:sz w:val="18"/>
          <w:szCs w:val="18"/>
          <w:color w:val="auto"/>
        </w:rPr>
      </w:pPr>
    </w:p>
    <w:p>
      <w:pPr>
        <w:ind w:left="1020" w:right="100" w:hanging="503"/>
        <w:spacing w:after="0" w:line="26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55" w:lineRule="exact"/>
        <w:rPr>
          <w:rFonts w:ascii="Times New Roman" w:cs="Times New Roman" w:eastAsia="Times New Roman" w:hAnsi="Times New Roman"/>
          <w:sz w:val="18"/>
          <w:szCs w:val="18"/>
          <w:color w:val="auto"/>
        </w:rPr>
      </w:pPr>
    </w:p>
    <w:p>
      <w:pPr>
        <w:ind w:left="1020" w:right="160" w:hanging="503"/>
        <w:spacing w:after="0" w:line="26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become bankrupt, which may significantly delay our research or development programs, or may cause us to lose access to valuable technology, devices, materials, know-how or intellectual property of the collaborator relating to our product candidates;</w:t>
      </w:r>
    </w:p>
    <w:p>
      <w:pPr>
        <w:spacing w:after="0" w:line="55" w:lineRule="exact"/>
        <w:rPr>
          <w:rFonts w:ascii="Times New Roman" w:cs="Times New Roman" w:eastAsia="Times New Roman" w:hAnsi="Times New Roman"/>
          <w:sz w:val="18"/>
          <w:szCs w:val="18"/>
          <w:color w:val="auto"/>
        </w:rPr>
      </w:pPr>
    </w:p>
    <w:p>
      <w:pPr>
        <w:ind w:left="1020" w:right="10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1" w:name="page72"/>
    <w:bookmarkEnd w:id="71"/>
    <w:p>
      <w:pPr>
        <w:ind w:left="1020" w:right="100" w:hanging="503"/>
        <w:spacing w:after="0" w:line="286"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32"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or result in delays to development or commercialization of the applicable product candidates; and</w:t>
      </w:r>
    </w:p>
    <w:p>
      <w:pPr>
        <w:spacing w:after="0" w:line="59"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4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For example, in February 2022, the Roche License Agreement under which we granted to Roche an exclusive license related to bemnifosbuvir for certain development rights and commercialization rights outside of the United States terminated. As a result, substantially all activities that Roche was conducting in connection with the development and manufacture of bemnifosbuvir, including global manufacture of clinical trial material and certain operations necessary for the conduct of clinical trials, ceased. Substantially all of these activities are necessary for the continued global development of a bemnifosbuvir COV19 product candidate and we are now solely responsible for the conduct and cost of such activities.</w:t>
      </w:r>
    </w:p>
    <w:p>
      <w:pPr>
        <w:spacing w:after="0" w:line="6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may face significant competition in seeking appropriate collaborations.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8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For example, if the license agreement with Merck was terminated, we would be required to discontinue the development, manufacture and commercialization of ruzasvir in combination with bemnifosbuvir, our lead product candidate for the treatment of HCV, unless we could enter into another agreement with Merck potentially at a premium.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84"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Data provided by collaborators and others upon which we rely that have not been independently verified could turn out to be false, misleading or incomplete.</w:t>
      </w:r>
    </w:p>
    <w:p>
      <w:pPr>
        <w:spacing w:after="0" w:line="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rely on third-party vendors, such as CROs, scientists and collaborators to provide us with significant data and other information related to our programs, preclinical studies or clinical trials and our business. If such third parties provide inaccurate, misleading or incomplete data, our business, prospects and results of operations could be materially adversely affected.</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vendors and any third parties we may engage in connection with research, development, regulatory, manufacturing, quality assurance and other pharmaceutical functions and commercialization may engage in misconduct or other improper activities, including noncompliance with regulatory standards and requirements, which could have a material adverse effect on our business.</w:t>
      </w:r>
    </w:p>
    <w:p>
      <w:pPr>
        <w:spacing w:after="0" w:line="5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Misconduct by our employees and independent contractors, including principal investigators, CROs, consultants, vendors and any third parties we may engage in connection with research, development, regulatory, manufacturing, quality assurance and other pharmaceutical functions and commercialization, could include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2" w:name="page73"/>
    <w:bookmarkEnd w:id="72"/>
    <w:p>
      <w:pPr>
        <w:spacing w:after="0" w:line="242" w:lineRule="auto"/>
        <w:rPr>
          <w:sz w:val="20"/>
          <w:szCs w:val="20"/>
          <w:color w:val="auto"/>
        </w:rPr>
      </w:pPr>
      <w:r>
        <w:rPr>
          <w:rFonts w:ascii="Arial" w:cs="Arial" w:eastAsia="Arial" w:hAnsi="Arial"/>
          <w:sz w:val="18"/>
          <w:szCs w:val="18"/>
          <w:color w:val="auto"/>
        </w:rPr>
        <w:t>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anti-corruption,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preclinical studies or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181"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If our CMOs and CROs use hazardous and biological materials in a manner that causes injury or violates applicable law, we may be liable for damages.</w:t>
      </w:r>
    </w:p>
    <w:p>
      <w:pPr>
        <w:spacing w:after="0" w:line="17"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CMOs and medical and biological materials by our CROs. Our CMOs and CROs are subject to federal, state and local laws and regulations in the United States and in the countries in which they operate governing the use, manufacture, storage, handling and disposal of medical and hazardous materials. Although we believe that our CMOs’ and CROs’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Generally, we do not have any insurance for liabilities arising from the improper handling of medical and biological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b w:val="1"/>
          <w:bCs w:val="1"/>
          <w:i w:val="1"/>
          <w:iCs w:val="1"/>
          <w:color w:val="auto"/>
        </w:rPr>
        <w:t>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5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our intellectual property and prevent others from duplicating AT-511 (the free base of bemnifosbuvir), bemnifosbuvir, AT-281 (the free base of bemnifosbuvir), bemnifosbuvir and our in-licensed compound ruzasvir and their use or manufacture, or any of our other pipeline product candidates and any future product candidates. Our success depends in large part on our ability to obtain and maintain patent protection in the United States and other countries with respect to such product candidates.</w:t>
      </w:r>
    </w:p>
    <w:p>
      <w:pPr>
        <w:spacing w:after="0" w:line="6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Although we enter into confidentiality agreements with parties who have access to confidential 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73" w:name="page74"/>
    <w:bookmarkEnd w:id="73"/>
    <w:p>
      <w:pPr>
        <w:ind w:right="40"/>
        <w:spacing w:after="0" w:line="246" w:lineRule="auto"/>
        <w:rPr>
          <w:sz w:val="20"/>
          <w:szCs w:val="20"/>
          <w:color w:val="auto"/>
        </w:rPr>
      </w:pPr>
      <w:r>
        <w:rPr>
          <w:rFonts w:ascii="Arial" w:cs="Arial" w:eastAsia="Arial" w:hAnsi="Arial"/>
          <w:sz w:val="18"/>
          <w:szCs w:val="18"/>
          <w:color w:val="auto"/>
        </w:rPr>
        <w:t>patentable aspects of our research and development output, such as our employees, CROs, consultants, scientific advisors and other contractors,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and some remain so until issued. Therefore, we cannot be certain that we were the first to make the inventions claimed in our patents or pending patent applications, or that we were the first to file any patent application related to an invention or product candidate. Further, if we encounter delays in regulatory approvals, the period of time during which we could market a product candidate under patent protection could be reduced.</w:t>
      </w:r>
    </w:p>
    <w:p>
      <w:pPr>
        <w:spacing w:after="0" w:line="7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strength of patents in the pharmaceutical field involves complex legal, factual and scientific questions and can be uncertain. It is possible that we will fail to identify patentable aspects of our research and development output before it is too late to obtain patent protection. The patent applications that we own may fail to result in issued patents with claims that cover our product candidates in the United States or in other foreign countries. There is no assurance that all of the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 inventorship, ownership, validity, enforceability or scope of such patents, which may result in such patents being narrowed or invalidated, or being held unenforceable. Our pending and future patent applications may not result in patents being issued which protect our technology or product candidates or which effectively prevent others from commercializing competitive technologies and product candidates. Additionally, any U.S. provisional patent application that we file is not eligible to become an issued patent until, among other things, we file a non-provisional patent application within 12 months of filing the related provisional patent application. If we do not timely file any non-provisional patent application, we may lose our priority date with respect to the provisional patent application and any patent protection on the inventions disclosed in the provisional patent application.</w:t>
      </w:r>
    </w:p>
    <w:p>
      <w:pPr>
        <w:spacing w:after="0" w:line="87"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Furthermore, even if they are unchallenged, our patents and patent applications may not adequately protect our intellectual property, provide exclusivity for our product candidates or prevent others from designing around our claims. In addition, no assurances can be given that third parties will not create similar or alternative products or methods that achieve similar results without infringing upon our patents. Any of these outcomes could impair our ability to prevent competition from third parties, which may have an adverse impact on our business.</w:t>
      </w:r>
    </w:p>
    <w:p>
      <w:pPr>
        <w:spacing w:after="0" w:line="4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If the patent applications we hold with respect to our programs or product candidates fail to issue, if the breadth or strength of protection of our current or future issued patents is threatened, or if they fail to provide meaningful exclusivity for our product candidates, it could dissuade companies from collaborating with us to develop product candidates, or threaten our ability to commercialize our current or future product candidates. Several patent applications covering our product candidates have been filed recently by us. We cannot offer any assurances about which, if any, will result in issued patents, the breadth of any such patents or whether any issued patents will be found invalid or unenforceable or will be threatened by third parties. Any successful opposition to these patents or any other patents owned by us could deprive us of rights necessary for the successful commercialization of any product candidates that we may develop.</w:t>
      </w:r>
    </w:p>
    <w:p>
      <w:pPr>
        <w:spacing w:after="0" w:line="67"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The issuance of a patent is not conclusive as to its inventorship, ownership, scope, validity or enforceability, and our patents may be challenged in courts or patent offices in the United States and abroad. In addition, the issuance of a patent does not give us the right to practice the patented invention, as third parties may have blocking patents that could prevent us from marketing our product candidate, if approved, or practicing our own patented technology.</w:t>
      </w:r>
    </w:p>
    <w:p>
      <w:pPr>
        <w:spacing w:after="0" w:line="6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Wide-ranging patent reform legislation in the United States, including the Leahy-Smith America Invents Act of 2011, (the “Leahy-Smith Act”), may increase the uncertainty of the strength or enforceability of our intellectual property and the cost to defend it. The Leahy-Smith Act includes a number of significant changes to U.S. patent law, including provisions that affect the way patent applications are prosecuted and also affect patent litigation. Under the Leahy-Smith Act, the United States transitioned from a “first-to-invent” to a “first-to-file” system for deciding which party should be granted a patent when two or more patent applications are filed by different parties claiming the same invention. This will require us to be prompt going forward during the time from invention to filing of a patent application and to be diligent in filing patent applications, but circumstances could prevent us from promptly filing or prosecuting patent applications on our inventions. The Leahy-Smith Act also enlarged the scope of disclosures that qualify as prior art. Furthermore, if a third-party filed a patent application before effectiveness of applicable provisions of the Leahy-Smith Act, on March 16, 2013, an interference proceeding in the United States can be initiated by a third-party to determine if it was the first to invent any of the subject matter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covered by the claims of our patent applications. We may also be subject to a third-party preissuance submission of prior art to the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Patent and Trademark Office, (the “USPTO”).</w:t>
      </w:r>
    </w:p>
    <w:p>
      <w:pPr>
        <w:spacing w:after="0" w:line="8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Leahy-Smith Act created for the first time new procedures to challenge issued patents in the United States, including post-grant review, inter partes review and derivation proceedings, which are adversarial proceedings conducted at the USPTO, which some third parties have been using to cause the cancellation of selected or all claims of issued patents of competitors. For a patent with a priority date of March 16, 2013 or later, which all of our patent filings have, a petition for post-grant review can be filed by a third-party in a nine-month window from issuance of the patent. A petition for inter partes review can be filed immediately following the issuance of a patent if the patent was filed prior to March 16, 2013. A petition for inter partes review can be filed after the nine-month period for filing a post-grant review petition has expired for a patent with a priority date of March 16, 2013 or later. Post-grant review proceedings can be brought on any ground of challenge, whereas inter partes review proceedings can only be brought to raise a challenge based on published prior art. These adversarial actions at the USPTO include review of patent claims without the presumption of validity afforded to U.S. patents in lawsuits in U.S. federal courts. The USPTO issued a final rule effective November 13, 2018 announcing that it will now use the same claim construction standard currently used in the U.S. federal courts to interpret patent claims in USPTO proceedings, which is the plain and ordinary meaning of words used. If any of our patents are challenged by a third-party in such a USPTO proceeding, there is no guarantee that we will be successful in defending the patent, which would result in a loss of the challenged patent right to us, including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w:t>
      </w:r>
    </w:p>
    <w:p>
      <w:pPr>
        <w:spacing w:after="0" w:line="7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As a result of all of the foregoing, the issuance, scope, validity, enforceability and commercial value of our patent rights are highly uncertain, which could have a material adverse effect on our business, financial condition, results of operations, and prospects.</w:t>
      </w:r>
    </w:p>
    <w:p>
      <w:pPr>
        <w:spacing w:after="0" w:line="169"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may result in substantial costs or prevent or delay our development and commercialization efforts.</w:t>
      </w:r>
    </w:p>
    <w:p>
      <w:pPr>
        <w:spacing w:after="0" w:line="3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commercial success depends in part on our avoiding actual and allegations of infringement, misappropriation or other violation of the patents and other proprietary rights of third parties. There is a substantial amount of litigation, both within and outside the United States, involving patent and other intellectual property rights in the pharmaceutical industry, including patent infringement lawsuits, interferences, oppositions, re-examination, and post-grant and inter partes review proceedings before the USPTO and similar proceedings in foreign jurisdictions, such as oppositions before the European Patent Office, (the “EPO”). Numerous U.S. and foreign issued patents and pending patent applications, which are owned by third parties, exist in the fields in which we are pursuing development candidates. Many companies in intellectual property-dependent industries, including the pharmaceutical industry, have employed intellectual property litigation as a means to gain an advantage over their competitors. As the pharmaceutical industry expands and more patents are issued, and as we gain greater visibility and market exposure as a public company, the risk increases that our product candidates may be subject to claims of infringement of the patent rights of third parties.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w:t>
      </w:r>
    </w:p>
    <w:p>
      <w:pPr>
        <w:spacing w:after="0" w:line="7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to composition of matter, drug delivery, methods of manufacture or methods for treatment related to the use or manufacture of our product candidates. We cannot guarantee that our technologies, products, compositions and their uses do not or will not infringe, misappropriate or otherwise violate third-party patent or other intellectual property rights.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Pending patent applications that have been published can, or subject to certain limitations, later present claims in a manner that could cover our product candidates or the use of our product candidates.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In order to successfully challenge the validity of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5" w:name="page76"/>
    <w:bookmarkEnd w:id="75"/>
    <w:p>
      <w:pPr>
        <w:ind w:right="80"/>
        <w:spacing w:after="0" w:line="246" w:lineRule="auto"/>
        <w:rPr>
          <w:sz w:val="20"/>
          <w:szCs w:val="20"/>
          <w:color w:val="auto"/>
        </w:rPr>
      </w:pPr>
      <w:r>
        <w:rPr>
          <w:rFonts w:ascii="Arial" w:cs="Arial" w:eastAsia="Arial" w:hAnsi="Arial"/>
          <w:sz w:val="18"/>
          <w:szCs w:val="18"/>
          <w:color w:val="auto"/>
        </w:rPr>
        <w:t>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third-party patents were held by a court of competent jurisdiction to cover the composition of matter of any of our product candidates, the manufacturing process of any of our product candidates or the method of use for any of our product candidates, the holders of any such patents may be able to block our ability to commercialize such product candidate unless we obtained a license under the applicable patents, which may not be available at all or on commercially reasonable terms, or until such patents expire.</w:t>
      </w:r>
    </w:p>
    <w:p>
      <w:pPr>
        <w:spacing w:after="0" w:line="8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the merit of such claims. We may not be aware of all intellectual property rights potentially relating to our technology and product candidates and their uses, or we may incorrectly conclude that third-party intellectual property is invalid or that our activities and product candidates do not infringe, misappropriate or otherwise violate such intellectual property. Thus, we do not know with certainty that our technology and product candidates, or our development and commercialization thereof, do not and will not infringe, misappropriate or otherwise violate any third-party’s intellectual property.</w:t>
      </w:r>
    </w:p>
    <w:p>
      <w:pPr>
        <w:spacing w:after="0" w:line="7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and/or harm our reputation and financial results. Defense of these claims, regardless of their merit, could involve substantial litigation expense and could be a substantial diversion of management and employee resources from our business.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In the event of a successful claim of infringement against us, we may have to pay substantial damages, including treble damages and attorneys’ fees for willful infringement, pay royalties, redesign our infringing products, in the case of claims concerning registered trademarks, rename our product candidates, or obtain one or more licenses from third parties, which may require substantial time and monetary expenditure, and which might be impossible or technically infeasible. Furthermore, we may not be able to obtain any required license on commercially reasonable terms or at all. Even if we were able to obtain a license, it could be non-exclusive, thereby giving our competitors and other third parties access to the same technologies licensed to us; alternatively or additionally it could include terms that impede or destroy our ability to compete successfully in the commercial marketplace. Any of the foregoing could have a material adverse effect on our business, financial condition, results of operations, and prospects.</w:t>
      </w:r>
    </w:p>
    <w:p>
      <w:pPr>
        <w:spacing w:after="0" w:line="18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A number of companies and universities file and obtain patents in the same area as our products, which are nucleotide prodrugs, and these patent filings could be asserted against us, which may affect our business, and if successful, could lead to expensive litigation, affect the profitability of our products and/or prohibit the sale of a product or its use.</w:t>
      </w:r>
    </w:p>
    <w:p>
      <w:pPr>
        <w:spacing w:after="0" w:line="4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Our product candidates are predominantly nucleotide prodrugs, or nucleotide phosphoramidates. A number of companies and universities have patent applications and issued patents in this general area, including for viral indications, such as, for example, Gilead Pharmasset, LLC.; Gilead Sciences, Inc.; Merck &amp; Co.; Bristol Myers Squibb; F. Hoffmann-La Roche; University of Cardiff; University College Cardiff Consultants; NuCana, plc; Alios Biopharma; Medivir; and others. If any of these companies or universities, or others, assert that a patent it holds is infringed by any of our product candidates or their use or manufacture, we may be drawn into expensive litigation, which may affect our business, take the time of and distract the attention of our employees, and if the litigation is successful, could affect the profitability of our products or prohibit their sale. On June 3, 2019, we received an anonymous third-party Observation filed in connection with our international Patent Cooperation Treaty patent application for our second patent family, which covers the hemisulfate salt form of AT-511, or bemnifosbuvir. The Observation generally challenges the patentability of the hemisulfate salt bemnifosbuvir over the free base AT-511. On August 1, 2019, we filed a response to the Observation describing that the bemnifosbuvir hemisulfate salt of AT-511 is not obvious in view of the AT-511 free base because bemnifosbuvir disproportionately concentrates in the liver over the heart, as shown in vivo in a dog model, which can provide an increased therapeutic effect to treat HCV, and decreased toxicity because hepatitis C is a disease of the liver. Further, while not raised in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6" w:name="page77"/>
    <w:bookmarkEnd w:id="76"/>
    <w:p>
      <w:pPr>
        <w:spacing w:after="0" w:line="256" w:lineRule="auto"/>
        <w:rPr>
          <w:sz w:val="20"/>
          <w:szCs w:val="20"/>
          <w:color w:val="auto"/>
        </w:rPr>
      </w:pPr>
      <w:r>
        <w:rPr>
          <w:rFonts w:ascii="Arial" w:cs="Arial" w:eastAsia="Arial" w:hAnsi="Arial"/>
          <w:sz w:val="17"/>
          <w:szCs w:val="17"/>
          <w:color w:val="auto"/>
        </w:rPr>
        <w:t>response to the Observation, we have now also shown that bemnifosbuvir has a longer half-life and higher concentration in the lung than in the liver in vivo in monkeys, which is relevant to our COVID19 indication. On August 10, 2020, an anonymous party filed a third-party Observation against our Patent Cooperation Treaty patent application covering a method to treat HCV patients with compensated or decompensated cirrhosis using our drug bemnifosbuvir. The anonymous party asserted that it would have been obvious that the hemisulfate salt of AT-511 (bemnifosbuvir) would be effective to treat HCV-infected cirrhotic patients. We filed a response to the Observation on October 2, 2020, wherein we disagreed for several reasons, including that the hemisulfate salt of AT-511 had not been publicly disclosed at the time of the filing of our method of treatment of cirrhosis application and further noted that it is not straightforward that a treatment for patients with compensated cirrhosis would also be effective for patients with decompensated cirrhosis. Our Patent Cooperation Treaty patent application provides human data that supports the efficacy of using bemnifosbuvir to treat cirrhotic HCV-infected patients. The Observations by anonymous third parties as well as our responses are placed in the file and available to be read and considered by any country examining our respective patent applications. In December 2019, the U.S. Patent Office issued a patent to us covering the composition of matter of bemnifosbuvir. However, other than the foregoing issued U.S. patent, there can be no assurance that the Observations will not adversely affect our ability to obtain issued patents from national-stage filings of such Patent Cooperation Treaty patent applications in any jurisdictions. We may not be aware of patent claims that are currently or may in the future be pending that affect our business by the competitors working in this area. Patent applications are typically published between six and eighteen months from filing, and the presentation of new claims in already pending applications can sometimes not be visible to the public, including to us, for a period of time, or if publicly available, not yet seen by us. We cannot provide any assurance that a third-party practicing in the general area of our technology will not present a patent claim that covers one or more of our products or their methods of use or manufacture at any time, including before or during this registration period. If that does occur, we may have to take steps to try to invalidate such patent or application, and we may either choose not to or may not be successful in such attempt. A license to the patent or application may not be available on commercially reasonable terms or at all.</w:t>
      </w:r>
    </w:p>
    <w:p>
      <w:pPr>
        <w:spacing w:after="0" w:line="200" w:lineRule="exact"/>
        <w:rPr>
          <w:sz w:val="20"/>
          <w:szCs w:val="20"/>
          <w:color w:val="auto"/>
        </w:rPr>
      </w:pPr>
    </w:p>
    <w:p>
      <w:pPr>
        <w:spacing w:after="0" w:line="20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Our products are subject to The Drug Price Competition and Patent Term Restoration Act of 1984, as amended (also referred to as the Hatch-Waxman Act), in the United States, that can increase the risk of litigation with generic companies trying to sell our products, and may cause us to lose patent protection.</w:t>
      </w:r>
    </w:p>
    <w:p>
      <w:pPr>
        <w:spacing w:after="0" w:line="65"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Because our clinical candidates are pharmaceutical molecules reviewed by the Center for Drug Evaluation and Research of the FDA, after commercialization they will be subject in the United States to the patent litigation process of the Hatch-Waxman Act, as currently amended, which allows a generic company to submit an Abbreviated New Drug Application, (“ANDA”) to the FDA to obtain approval to sell our drug using bioequivalence data only. Under the Hatch-Waxman Act, we will have the opportunity to list our patents that cover our drug product or its method of use in the FDA’s compendium of “Approved Drug Products with Therapeutic Equivalence Evaluation,” sometimes referred to as the FDA’s Orange Book.</w:t>
      </w:r>
    </w:p>
    <w:p>
      <w:pPr>
        <w:spacing w:after="0" w:line="6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Currently, in the United States, the FDA may grant five years of exclusivity for new chemical entities (“NCEs”) for which all of our products may qualify. An NCE is a drug that contains no active moiety that has been approved by the FDA in any other NDA. A generic company can submit an ANDA to the FDA four years after approval of our product. The submission of the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latter, we will have 45 days to bring a patent infringement lawsuit against the generic company. This will initiate a challenge to one or more of our Orange Book-listed patents based on arguments from the generic company that our listed patents are invalid, unenforceable or not infringed. Under the Hatch-Waxman Act, if a lawsuit is brought, the FDA is prevented from issuing a final approval on the generic drug until 30 months after the end of our data exclusivity period, or a final decision of a court holding that our asserted patent claims are invalid, unenforceable or not infringed. If we do not properly list our relevant patents in the Orange Book, do not timely file a lawsuit in response to a certification from a generic company under an ANDA, or if we do not prevail in the resulting patent litigation, we can lose our proprietary protection, and our product can rapidly become generic. Further, even if we do correctly list our relevant patents in the Orange Book, bring a lawsuit in a timely manner and prevail in that lawsuit, the generic litigation may be at a very significant cost to us of attorneys’ fees and employee time and distraction over a long period. Further, it is common for more than one generic company to try to sell an innovator drug at the same time, and so we may be faced with the cost and distraction of multiple lawsuits. We may also determine it is necessary to settle the lawsuit in a manner that allows the generic company to enter our market prior to the expiration of our patent or otherwise in a manner that adversely affects the strength, validity or enforceability of our patent.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77" w:name="page78"/>
    <w:bookmarkEnd w:id="77"/>
    <w:p>
      <w:pPr>
        <w:ind w:right="120"/>
        <w:spacing w:after="0" w:line="254" w:lineRule="auto"/>
        <w:rPr>
          <w:sz w:val="20"/>
          <w:szCs w:val="20"/>
          <w:color w:val="auto"/>
        </w:rPr>
      </w:pPr>
      <w:r>
        <w:rPr>
          <w:rFonts w:ascii="Arial" w:cs="Arial" w:eastAsia="Arial" w:hAnsi="Arial"/>
          <w:sz w:val="18"/>
          <w:szCs w:val="18"/>
          <w:b w:val="1"/>
          <w:bCs w:val="1"/>
          <w:i w:val="1"/>
          <w:iCs w:val="1"/>
          <w:color w:val="auto"/>
        </w:rPr>
        <w:t>A number of pharmaceutical companies have been the subject of intense review by the FTC or a corresponding agency in another country based on how they have conducted or settled drug patent litigation, and certain reviews have led to an allegation of an antitrust violation, sometimes resulting in a fine or loss of rights. We cannot be sure that we would not also be subject to such a review or that the result of the review would be favorable to us, which could result in a fine or penalty.</w:t>
      </w:r>
    </w:p>
    <w:p>
      <w:pPr>
        <w:spacing w:after="0" w:line="6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FTC has brought a number of lawsuits in federal court in the past few years to challenge Hatch-Waxman Act ANDA litigation settlements between innovator companies and generic companies as anti-competitive. As an example, the FTC has taken an aggressive position that anything of value is a payment, whether money is paid or not. Under its approach, if an innovator as part of a patent settlement agrees not to launch or delay launch of an authorized generic during the 180-day period granted to the first generic company to challenge an Orange Book-listed patent covering an innovator drug, or negotiates a delay in entry without payment, the FTC may consider it an unacceptable reverse payment. The pharmaceutical industry argues that such agreements are rational business decisions to dismiss risk and are immune from antitrust attack if the terms of the settlement are within the scope of the exclusionary potential of the patent. In 2013, the U.S. Supreme Court, in a five-to-three decision in FTC v. Actavis, Inc., rejected both the pharmaceutical industry’s and FTC’s arguments with regard to so-called reverse payments, and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to enter the market before the patent expires without the patentee’s paying the generic. Furthermore, whether a reverse payment is justified depends upon its size, its scale in relation to the patentee’s anticipated future litigation costs, its independence from other services for which it might represent payment, as was the case in Actavis, and the lack of any other convincing justification. The Court held that reverse payment settlements can potentially violate antitrust laws and are subject to the standard antitrust rule-of-reason analysis, with the burden of proving that an agreement is unlawful on the FTC, leaving to lower courts the structuring of such rule of reason analysis. If we are faced with drug patent litigation, including Hatch-Waxman Act litigation with a generic company, we could be faced with such an FTC challenge based on that activity, including how or whether we settle the case, and even if we strongly disagree with the FTC’s position, we could face a significant expense or penalty.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10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Given the amount of time required for the development, testing and regulatory review of new product candidates, patents protecting such candidates might expire before or shortly after such candidates are commercialized. For patents that are eligible for extension of patent term, we expect to seek extensions of patent terms in the United States and, if available, in other countries, however there can be no assurance that we will be granted any patent term extension we seek, or that any such patent term extension will provide us with any competitive advantage.</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Hatch-Waxman Act in the United States provides for the opportunity to seek a patent term extension on one selected patent for each of our products, and the length of that patent term extension, if at all, is subject to review and approval by the USPTO and the FDA.</w:t>
      </w:r>
    </w:p>
    <w:p>
      <w:pPr>
        <w:spacing w:after="0" w:line="6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the United States, the Hatch-Waxman Act permits one patent term extension of up to five years beyond the normal expiration of one patent per product, which if a method of treatment patent, is limited to the approved indication (or any additional indications approved during the period of extension).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failure to apply within the applicable period, failure to apply prior to the expiration of relevant patents or otherwise failure to satisfy any of the numerous applicable requirements. Moreover, the applicable authorities, including the FDA and the USPTO in the United States, and any equivalent regulatory authorities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78" w:name="page79"/>
    <w:bookmarkEnd w:id="78"/>
    <w:p>
      <w:pPr>
        <w:ind w:right="20"/>
        <w:spacing w:after="0" w:line="252" w:lineRule="auto"/>
        <w:rPr>
          <w:sz w:val="20"/>
          <w:szCs w:val="20"/>
          <w:color w:val="auto"/>
        </w:rPr>
      </w:pPr>
      <w:r>
        <w:rPr>
          <w:rFonts w:ascii="Arial" w:cs="Arial" w:eastAsia="Arial" w:hAnsi="Arial"/>
          <w:sz w:val="18"/>
          <w:szCs w:val="18"/>
          <w:color w:val="auto"/>
        </w:rPr>
        <w:t>other countries, may not agree with our assessment of whether such extensions are available,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product revenue.</w:t>
      </w:r>
    </w:p>
    <w:p>
      <w:pPr>
        <w:spacing w:after="0" w:line="7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 1997, as part of the Food &amp; Drug Administration Modernization Act, (the “FDAMA”), Congress enacted a law that provides incentives to drug manufacturers who conduct studies of drugs in children. The law, which provides six months of exclusivity in return for conducting pediatric studies, is referred to as the pediatric exclusivity provision. If clinical studies are carried out by us that comply with the FDAMA, we may receive an additional six-month term added to our regulatory data exclusivity period and our patent term extension period, if received, on our product. However, if we choose not to carry out pediatric studies that comply with the FDAMA, or are not accepted by the FDA for this purpose, we would not receive this additional six-month exclusivity extension to our data exclusivity or our patent term extension.</w:t>
      </w:r>
    </w:p>
    <w:p>
      <w:pPr>
        <w:spacing w:after="0" w:line="6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Europe, supplementary protection certificates are available to extend a patent term up to five years to compensate for patent term lost during regulatory review, and can be extended for an additional six months if data from clinical trials is obtained in accordance with an agreed-upon pediatric investigation plan. Although all countries in Europe must provide supplementary protection certificates, there is no unified legislation among European countries and so supplementary protection certificates must be applied for and granted on a country-by-country basis. This can lead to a substantial cost to apply for and receive these certificates, which may vary among countries or not be provided at all.</w:t>
      </w:r>
    </w:p>
    <w:p>
      <w:pPr>
        <w:spacing w:after="0" w:line="177" w:lineRule="exact"/>
        <w:rPr>
          <w:sz w:val="20"/>
          <w:szCs w:val="20"/>
          <w:color w:val="auto"/>
        </w:rPr>
      </w:pPr>
    </w:p>
    <w:p>
      <w:pPr>
        <w:ind w:right="820"/>
        <w:spacing w:after="0" w:line="294"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or fail to comply with our obligations under such agreements, our business could be harmed.</w:t>
      </w:r>
    </w:p>
    <w:p>
      <w:pPr>
        <w:spacing w:after="0" w:line="17"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It may be necessary for us to use the patented or other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or otherwise controlling such intellectual property rights could seek either an injunction prohibiting our sales or an obligation on our part to pay royalties and/or other forms of compensation. Even if we are able to obtain a license, it may be non-exclusive, thereby giving our competitors and other third parties access to the same technologies licensed to us.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7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6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Additionally, if we fail to comply with our obligations under any future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79" w:name="page80"/>
    <w:bookmarkEnd w:id="79"/>
    <w:p>
      <w:pPr>
        <w:ind w:right="400"/>
        <w:spacing w:after="0" w:line="294" w:lineRule="auto"/>
        <w:rPr>
          <w:sz w:val="20"/>
          <w:szCs w:val="20"/>
          <w:color w:val="auto"/>
        </w:rPr>
      </w:pPr>
      <w:r>
        <w:rPr>
          <w:rFonts w:ascii="Arial" w:cs="Arial" w:eastAsia="Arial" w:hAnsi="Arial"/>
          <w:sz w:val="18"/>
          <w:szCs w:val="18"/>
          <w:b w:val="1"/>
          <w:bCs w:val="1"/>
          <w:i w:val="1"/>
          <w:iCs w:val="1"/>
          <w:color w:val="auto"/>
        </w:rPr>
        <w:t>Although we are not currently involved in any relevant litigation, we may become involved in lawsuits to protect or enforce our patents or other intellectual property, which could be expensive, time-consuming and unsuccessful.</w:t>
      </w:r>
    </w:p>
    <w:p>
      <w:pPr>
        <w:spacing w:after="0" w:line="1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Competitors and other third parties may infringe, misappropriate or otherwise violate our or our future licensors’ patents, trademarks, copyrights or other intellectual property. As a result, we may need to file infringement, misappropriation or other intellectual property-related claims against third parties.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w:t>
      </w:r>
    </w:p>
    <w:p>
      <w:pPr>
        <w:spacing w:after="0" w:line="9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Any claims we assert against third parties could also provoke these parties to assert counterclaims against us alleging that we infringe, misappropriate or otherwise violate their intellectual property. In addition, in a patent infringement proceeding, such parties could counterclaim that the patents we have asserted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The outcome following legal assertions of invalidity and unenforceability is unpredictable.</w:t>
      </w:r>
    </w:p>
    <w:p>
      <w:pPr>
        <w:spacing w:after="0" w:line="8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any such proceeding, a court may decide that a patent of ours, or a patent that we in-license, is not valid, is unenforceable and/or is not infringed, or may construe such patent’s claims narrowly or refuse to stop the other party from using the technology at issue on the grounds that our patents do not cover the technology in question. An adverse result in any litigation or defense proceedings could put one or more of our patents at risk of being invalidated, interpreted narrowly or held unenforceable in whole or in part, could put our patent applications at risk of not issuing, and could limit our ability to assert those patents against those parties or other competitors and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7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have a material adverse effect on our business, financial condition, results of operations, and prospects.</w:t>
      </w:r>
    </w:p>
    <w:p>
      <w:pPr>
        <w:spacing w:after="0" w:line="8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April 12, 2022, we received notification of a Pre-Grant Opposition from the Controller General of Patents, Designs, and Trademarks at the Indian Patent Office. The Opposition was filed by Sankalp Rehabilitation Trust and challenges our pending patent claims to AT-511 or a pharmaceutically acceptable salt thereof. While we intend to vigorously defend our patent claims on AT-511 and its use to treat hepatitis C, we cannot guarantee that the Indian Patent Office will decide in our favor and allow our patent claims to grant. In addition, Pre-Grant Oppositions in India can proceed very slowly, and therefore this proceeding may not be resolved for several years. Our patent application will not issue as a patent on AT-511 or its use to treat HCV in India unless and until this Pre-Grant Opposition is resolved in our favor. If it is not resolved in our favor, we may not receive a patent on AT-511 in India.</w:t>
      </w:r>
    </w:p>
    <w:p>
      <w:pPr>
        <w:spacing w:after="0" w:line="195"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1" w:right="359" w:bottom="1440" w:gutter="0" w:footer="0" w:header="0"/>
        </w:sectPr>
      </w:pPr>
    </w:p>
    <w:bookmarkStart w:id="80" w:name="page81"/>
    <w:bookmarkEnd w:id="80"/>
    <w:p>
      <w:pPr>
        <w:spacing w:after="0" w:line="261" w:lineRule="auto"/>
        <w:rPr>
          <w:sz w:val="20"/>
          <w:szCs w:val="20"/>
          <w:color w:val="auto"/>
        </w:rPr>
      </w:pPr>
      <w:r>
        <w:rPr>
          <w:rFonts w:ascii="Arial" w:cs="Arial" w:eastAsia="Arial" w:hAnsi="Arial"/>
          <w:sz w:val="17"/>
          <w:szCs w:val="17"/>
          <w:color w:val="auto"/>
        </w:rPr>
        <w:t>The USPTO, EPO and other patent agencies require compliance with a number of procedural, documentary, fee payment and other similar provisions during the patent application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have systems in place to remind us to pay these fees, and we employ an outside firm and rely on our outside counsel to pay such fees due to non-U.S. patent agencies.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or other third parties might be able to enter the market with similar or identical products or technology, which could have a material adverse effect on our business, financial condition, results of operations, and prospects.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0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Therefore, we may choose not to pursue or maintain protection for certain intellectual property in certain jurisdictions. The requirements for patentability may differ in certain countries, particularly in developing countries.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81"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may not favor the enforcement of our patents and other intellectual property rights.</w:t>
      </w:r>
    </w:p>
    <w:p>
      <w:pPr>
        <w:spacing w:after="0" w:line="6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This could make it difficult for us to stop the infringement of our patents or the misappropriation or other violation of our other intellectual property rights. A number of foreign countries have stated that they are willing to issue compulsory licenses to patents held by innovator companies on approved drugs to allow the government or one or more third-party companies to sell the approved drug without the permission of the innovator patentee where the foreign government concludes it is in the public interest. India, for example, has used such a procedure to allow domestic companies to make and sell patented drugs without innovator approval. There is no guarantee that patents covering any of our drugs will not be subject to a compulsory license in a foreign country, or that we will have any influence over if or how such a compulsory license is granted. Further, Brazil allows its regulatory agency ANVISA to participate in deciding whether to grant a drug patent in Brazil, and patent grant decisions are made based on several factors, including whether the patent meets the requirements for a patent and whether such a patent is deemed in the country’s interest. In addition, several other countries have created laws that make it more difficult to enforce drug patents than patents on other kinds of technologies. Further, under the treaty on the Trade-Related Aspects of Intellectual Property (the “TRIPS”), as interpreted by the Doha Declaration, countries in which drugs are manufactured are required to allow exportation of the drug to a developing country that lacks adequate manufacturing capability. Therefore, our drug markets in the United States or foreign countries may be affected by the influence of current public policy on patent issuance, enforcement or involuntary licensing in the healthcare area.</w:t>
      </w:r>
    </w:p>
    <w:p>
      <w:pPr>
        <w:spacing w:after="0" w:line="8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addition, in November 2015, members of the World Trade Organization (the “WTO”), which administers TRIPS, voted to extend the exemption against enforcing pharmaceutical drug patents in least developed countries until 2033. We currently have no patent applications filed in least developed countries, and our current intent is not to file in these countries in the future, at least in part due to this WTO pharmaceutical patent exemption.</w:t>
      </w:r>
    </w:p>
    <w:p>
      <w:pPr>
        <w:spacing w:after="0" w:line="6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Furthermore, the WTO is currently considering a waiver of intellectual property rights for COVID-19 vaccines and the U.S. government recently took a stance in support of the waiver. The current proposal is for a temporary waiver of intellectual property rights that cover COVID-19 vaccines, however, the ultimate timing and scope of the waiver, if approved, is unknown. The scope and timing of such waiver will likely be subject to extensive negotiations given the complexity of the matter, which may result in prolonged uncertainty and therefore could adversely affect our business. If a waiver is approved and covers COVID-19 treatments, such as bemnifosbuvir,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our ability to successfully commercialize bemnifosbuvir and protect our related technology could be adversely affected.</w:t>
      </w:r>
    </w:p>
    <w:p>
      <w:pPr>
        <w:spacing w:after="0" w:line="22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b w:val="1"/>
          <w:bCs w:val="1"/>
          <w:i w:val="1"/>
          <w:iCs w:val="1"/>
          <w:color w:val="auto"/>
        </w:rPr>
        <w:t>We rely on our ability to stop others from competing by enforcing our patents, however some jurisdictions may require us to grant licenses to third parties. Such compulsory licenses could be extended to include some of our product candidates, which may limit our potential revenue opportunities.</w:t>
      </w:r>
    </w:p>
    <w:p>
      <w:pPr>
        <w:spacing w:after="0" w:line="6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Many foreign countries have compulsory licensing laws under which a patent owner must grant licenses to third parties, in certain circumstances. For example, compulsory licensing, or the threat of compulsory licensing, of life-saving products and expensive products is becoming increasingly popular in developing countries, either through direct legislation or international initiatives. Compulsory licenses could be extended to include some of our product candidates, if they receive marketing approval, which may limit our potential revenue opportunities. Consequently, we may not be able to prevent third parties from practicing our inventions in certain countries outside the United States and Europe. Competitors may also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 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where such patent rights exist,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 addition, some countries limit the enforceability of patents against government agencies or government contractors. In these countries, the patent owner may be limited to monetary relief and may be unable to enjoin infringement if a government is the infringer, which could materially diminish the value of the patent.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either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parties who have access to them, such as our employees, CROs, consultants, scientific advisors and other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our trade secrets could be disclosed, and we may not have adequate remedies for any such breach. Enforcing a claim that a party illegally disclosed or misappropriated a trade secret is difficult, expensive and time-consuming, and the outcome is unpredictable. In addition, some courts inside and outside the United States are less willing or unwilling to protect trade secrets. Misappropriation or unauthorized disclosure of our trade secrets or other confidential proprietary information could cause us to lose trade secret protection, impair our competitive position and have a material adverse effect on our business. Additionally, if the steps taken to maintain our trade secrets or other confidential proprietary information are deemed inadequate, we may have insufficient recourse against third parties for misappropriating the trade secret or other confidential proprietary information.</w:t>
      </w:r>
    </w:p>
    <w:p>
      <w:pPr>
        <w:spacing w:after="0" w:line="76"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Further, we cannot provide any assurances that competitors or other third parties will not otherwise gain access to our trade secrets and other confidential proprietary information or independently discover or develop substantially equivalent technology and processes. If we are unable to prevent disclosure of the trade secrets and other non-patented intellectual property related to our product candidates and technologies to third parties, there is no guarantee that we will have any such enforceable trade secret protection and we may not be able to establish or maintain a competitive advantage in our market, which could materially adversely affect our business, results of operations and financial condition.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82" w:name="page83"/>
    <w:bookmarkEnd w:id="82"/>
    <w:p>
      <w:pPr>
        <w:spacing w:after="0" w:line="26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that our employees have wrongfully used or disclosed alleged trade secrets of their former employers, or asserting ownership of what we regard as our own intellectual property.</w:t>
      </w:r>
    </w:p>
    <w:p>
      <w:pPr>
        <w:spacing w:after="0" w:line="4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We have employed, and may in the future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such individuals’ former employers or other third parties. Litigation may be necessary to defend against these claims. If we fail in defending any such claims, in addition to paying monetary damages, we may lose valuable intellectual property rights or personnel, or our ability to hire personnel, which, in any case of the foregoing, could adversely impact our business. Even if we are successful in defending against such claims, litigation could result in substantial costs and be a distraction to management and other employees.</w:t>
      </w:r>
    </w:p>
    <w:p>
      <w:pPr>
        <w:spacing w:after="0" w:line="6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Although it is our policy to require all of our employees and consultants to assign their inventions to us, to the extent that employees or consultants use intellectual property owned by others in their work for us, disputes may arise as to the rights in related or resulting know-how and inventions. We may also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77"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Our proprietary rights may not adequately protect our technologies and product candidates, and intellectual property rights do not necessarily address all potential threats to our competitive advantage.</w:t>
      </w:r>
    </w:p>
    <w:p>
      <w:pPr>
        <w:spacing w:after="0" w:line="17"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9" w:lineRule="exact"/>
        <w:rPr>
          <w:sz w:val="20"/>
          <w:szCs w:val="20"/>
          <w:color w:val="auto"/>
        </w:rPr>
      </w:pPr>
    </w:p>
    <w:p>
      <w:pPr>
        <w:ind w:left="1020" w:right="220" w:hanging="503"/>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make products that are the same as or similar to our product candidates but that are not covered by the claims of our patents;</w:t>
      </w:r>
    </w:p>
    <w:p>
      <w:pPr>
        <w:spacing w:after="0" w:line="46" w:lineRule="exact"/>
        <w:rPr>
          <w:rFonts w:ascii="Times New Roman" w:cs="Times New Roman" w:eastAsia="Times New Roman" w:hAnsi="Times New Roman"/>
          <w:sz w:val="18"/>
          <w:szCs w:val="18"/>
          <w:color w:val="auto"/>
        </w:rPr>
      </w:pPr>
    </w:p>
    <w:p>
      <w:pPr>
        <w:ind w:left="1020" w:right="420" w:hanging="503"/>
        <w:spacing w:after="0" w:line="26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others, including inventors or developers of our patented technologies who may become involved with competitors, may independently develop similar technologies that function as alternatives or replacements for any of our technologies without infringing, misappropriating or otherwise violating our intellectual property rights;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we might not have been the first to conceive and reduce to practice the inventions covered by our patents or patent applications;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116" w:lineRule="exact"/>
        <w:rPr>
          <w:rFonts w:ascii="Times New Roman" w:cs="Times New Roman" w:eastAsia="Times New Roman" w:hAnsi="Times New Roman"/>
          <w:sz w:val="18"/>
          <w:szCs w:val="18"/>
          <w:color w:val="auto"/>
        </w:rPr>
      </w:pPr>
    </w:p>
    <w:p>
      <w:pPr>
        <w:ind w:left="1020" w:right="240" w:hanging="503"/>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our pending patent applications might not result in issued patents;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there might be prior public disclosures that could invalidate our patents;</w:t>
      </w:r>
    </w:p>
    <w:p>
      <w:pPr>
        <w:spacing w:after="0" w:line="102"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our issued patents may not provide us with any commercially viable products or competitive advantage, or may be held invalid or unenforceable, as a result of legal challenges by our competitors or other third parties;</w:t>
      </w:r>
    </w:p>
    <w:p>
      <w:pPr>
        <w:spacing w:after="0" w:line="59"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Supreme Court of the United States, other U.S. federal courts, Congress, the USPTO or similar foreign authorities may change the standards of patentability and any such changes could narrow or invalidate, or change the scope of, our patents;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patent terms may be inadequate to protect our competitive position on our product candidates for an adequate amount of time;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83" w:name="page84"/>
    <w:bookmarkEnd w:id="83"/>
    <w:p>
      <w:pPr>
        <w:ind w:left="1020" w:right="40" w:hanging="503"/>
        <w:spacing w:after="0" w:line="26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ownership, validity or enforceability of our patents or patent applications may be challenged by third parties;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or pending or future applications of third parties, if issued, may have an adverse effect on our business.</w:t>
      </w:r>
    </w:p>
    <w:p>
      <w:pPr>
        <w:spacing w:after="0" w:line="103"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214"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We will need to expand our organization, and we may experience difficulties in managing this growth, which could disrupt our operations.</w:t>
      </w:r>
    </w:p>
    <w:p>
      <w:pPr>
        <w:spacing w:after="0" w:line="3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expect to experience significant growth over time in the number of our employees and the scope of our operations, particularly in the areas of product candidate development, regulatory and clinical affairs and sales, marketing and distribution. To manage our growth activities, we must continue to implement and improve our managerial, operational and financial systems, expand our facilities and continue to recruit and train additional qualified personnel. Due to our limited financial resources and the limited experience of our management team, as a group, in managing a company with such anticipated growth, we may not be able to effectively manage the expansion of our operations or recruit and train additional qualified personnel. As we expand our company, we may have difficulty identifying, hiring and integrating new personnel. Future growth would impose significant additional responsibilities on our management, including but not limited to:</w:t>
      </w:r>
    </w:p>
    <w:p>
      <w:pPr>
        <w:spacing w:after="0" w:line="81"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identify, recruit, maintain, motivate and integrate additional employees, consultants and contractors;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our operational, financial and management controls, reporting systems and procedures.</w:t>
      </w:r>
    </w:p>
    <w:p>
      <w:pPr>
        <w:spacing w:after="0" w:line="10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product revenues could be reduced, and we may not be able to implement our business strategy. Our future financial performance and our ability to commercialize our product candidates and compete effectively will depend, in part, on our ability to effectively manage any future growth.</w:t>
      </w:r>
    </w:p>
    <w:p>
      <w:pPr>
        <w:spacing w:after="0" w:line="8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substantially all aspects of clinical trial conduct and execution,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w:t>
      </w:r>
    </w:p>
    <w:p>
      <w:pPr>
        <w:spacing w:after="0" w:line="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Many of the biotechnology and pharmaceutical companies that we compete against for qualified personnel and consultants have greater financial and other resources, different risk profiles and a longer history in the industry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84" w:name="page85"/>
    <w:bookmarkEnd w:id="84"/>
    <w:p>
      <w:pPr>
        <w:ind w:right="180"/>
        <w:spacing w:after="0" w:line="287" w:lineRule="auto"/>
        <w:rPr>
          <w:sz w:val="20"/>
          <w:szCs w:val="20"/>
          <w:color w:val="auto"/>
        </w:rPr>
      </w:pPr>
      <w:r>
        <w:rPr>
          <w:rFonts w:ascii="Arial" w:cs="Arial" w:eastAsia="Arial" w:hAnsi="Arial"/>
          <w:sz w:val="18"/>
          <w:szCs w:val="18"/>
          <w:color w:val="auto"/>
        </w:rPr>
        <w:t>than we do. If we are unable to continue to attract and retain high-quality personnel and consultants, the rate and success at which we can discover and develop product candidates and operate our business will be limited.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only have a limited number of employees to manage and operate our business.</w:t>
      </w:r>
    </w:p>
    <w:p>
      <w:pPr>
        <w:spacing w:after="0" w:line="10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of November 1, 2022, we had 68 full-time employees. Our focus on the clinical development of product candidates in three distinct disease indications requires us to manage and operate our business in a highly efficient manner. We cannot assure you that we will be able to hire and/or retain adequate staffing levels to develop our product candidates or run our operations and/or to accomplish all of the objectives that we otherwise would seek to accomplish.</w:t>
      </w:r>
    </w:p>
    <w:p>
      <w:pPr>
        <w:spacing w:after="0" w:line="186"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If we lose key management or scientific personnel, cannot recruit qualified employees, directors, officers or other significant personnel or experience increases in our compensation costs, our business may materially suffer.</w:t>
      </w:r>
    </w:p>
    <w:p>
      <w:pPr>
        <w:spacing w:after="0" w:line="3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are highly dependent on our executive management and directors. Due to the specialized knowledge each of our officers, directors and key employees possesses with respect to our product candidates and our operations, the loss of service of any of our officers or directors could delay or prevent the successful enrollment and completion of our clinical trials. We do not carry key person life insurance on any officers or directors. In general, the employment arrangements that we have with our executive officers do not prevent them from terminating their employment with us at any time.</w:t>
      </w:r>
    </w:p>
    <w:p>
      <w:pPr>
        <w:spacing w:after="0" w:line="8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addition, our future success and growth will depend in part on the continued service of our directors, employees and management personnel and our ability to identify, hire and retain additional personnel. If we lose one or more of our executive officers or key employees, our ability to implement our business strategy successfully could be seriously harmed. Furthermore, replacing executive officers and key employees may be difficult or costly and may take an extended period of time because of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effectively incentivize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engaged by entities other than us and may have commitments under consulting or advisory contracts with other entities that may limit their availability to us. If we are unable to continue to attract and retain high quality personnel, our ability to develop and commercialize product candidates will be limited.</w:t>
      </w:r>
    </w:p>
    <w:p>
      <w:pPr>
        <w:spacing w:after="0" w:line="74"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Many of our key employees are vested in a substantial amount of our common stock or options to purchase our common stock. Our employees, including our key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spacing w:after="0" w:line="175"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share price.</w:t>
      </w:r>
    </w:p>
    <w:p>
      <w:pPr>
        <w:spacing w:after="0" w:line="4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capital markets. Similarly, the current conflict between Ukraine and Russia has created extreme volatility in the capital markets and is expected to have further global economic consequences. These conditions may make any necessary debt or equity financing more difficult to obtain in a timely manner or on favorable terms, more costly or more dilutive. Political unrest, such as the current situation with Ukraine and Russia, may also cause volatility and disruption in the global economy. In addition, there is a risk that one or more of our CROs, suppliers, CMOs or other third-party providers may not survive an economic downturn. As a result, our business, results of operations and price of our common stock may be adversely affected.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85" w:name="page86"/>
    <w:bookmarkEnd w:id="85"/>
    <w:p>
      <w:pPr>
        <w:ind w:right="280"/>
        <w:spacing w:after="0" w:line="294"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 which could reduce our share price.</w:t>
      </w:r>
    </w:p>
    <w:p>
      <w:pPr>
        <w:spacing w:after="0" w:line="1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UK left the EU on January 31, 2020, following which existing EU legislation continued to apply in the UK during a transition period under the terms of the EU-UK Withdrawal Agreement. The transition period, which ended on December 31, 2020, maintained access to the EU single market and to global trade deals negotiated by the EU on behalf of its members. The transition period provided time for the UK and EU to negotiate a framework for partnership for the future, which was then crystallized in the Trade and Cooperation Agreement (“TCA”) and became effective on the January 1, 2021. While agreement on the terms of the TCA has avoided a “no deal” Brexit scenario, and provides in principle for quota and tariff free trading of goods, it is nevertheless expected that the TCA will result in the creation of non-tariff barriers (such as increased shipping and regulatory costs and complexities) to the trade in goods between the UK and EU. Further, the TCA does not provide for the continued free movement of services between the UK and EU and also grants each of the UK and EU the ability, in certain circumstances, to unilaterally impose tariffs on one another. The TCA does provide for the mutual recognition of GMP inspections of manufacturing facilities for medicinal products and cGMP documents issued. However, it is important to note that significant regulatory gaps still exist and the TCA does not contain wholesale mutual recognition of UK and EU pharmaceutical regulations and product standards between the parties, for example, in relation to batch testing and pharmacovigilance, which remain subject to further discussions.</w:t>
      </w:r>
    </w:p>
    <w:p>
      <w:pPr>
        <w:spacing w:after="0" w:line="8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long term effects of Brexit on our business in the UK, the EU and worldwide will depend on the effects of the implementation and application of the TCA and any other relevant agreements between the UK and the EU. EU laws which have been transposed into UK law through secondary legislation continue to be applicable as “retained EU law”. However, new legislation will not be applicable. The UK government has passed a new Medicines and Medical Devices Act 2021, which introduces delegated powers in favor of the Secretary of State or an ‘appropriate authority’ to amend or supplement existing regulations in the area of medical devices. This allows new rules to be introduced in the future by way of secondary legislation, which aims to allow flexibility in addressing regulatory gaps. There is a possibility that over time, national laws will be amended and that consequently the regulatory framework in Great Britain will diverge from that of the EU. As of January 1, 2021, the MHRA is the UK’s standalone medicines and medical devices regulator. As a result of the Northern Ireland protocol, different rules will apply in Northern Ireland than in England, Wales, and Scotland, together, Great Britain; broadly, Northern Ireland will continue to follow the EU regulatory regime, but its national competent authority will remain the MHRA.</w:t>
      </w:r>
    </w:p>
    <w:p>
      <w:pPr>
        <w:spacing w:after="0" w:line="6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In particular, it could also lead to a period of considerable uncertainty in relation to the UK financial and banking markets, as well as on the regulatory process in the UK and in Europe. As a result of this uncertainty, global financial markets could experience significant volatility, which could adversely affect the market price of our common stock. Asset valuations, currency exchange rates, and credit ratings may also be subject to increased market volatility. Lack of clarity about future UK laws and regulations as the UK determines which EU rules and regulations to replace or replicate after withdrawal, including financial laws and regulations, tax and free trade agreements, intellectual property rights, data protection laws, supply chain logistics, environmental, health, and safety laws and regulations, immigration laws, and employment laws, could decrease foreign direct investment in the UK, increase costs, depress economic activity, and restrict our access to capital. If the UK and the EU are unable to negotiate acceptable withdrawal terms or if other EU member states pursue withdrawal, barrier-free access between the UK and other EU member states or among the EEA overall could be diminished or eliminated.</w:t>
      </w:r>
    </w:p>
    <w:p>
      <w:pPr>
        <w:spacing w:after="0" w:line="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a result of Brexit and new regulatory regimes, we may also face new regulatory costs and challenges that could have an adverse effect on our operations. In addition, currency exchange rates between the pound sterling, the euro and the U.S. dollar have already been, and may continue to be, affected by Brexit.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7" w:lineRule="exact"/>
        <w:rPr>
          <w:sz w:val="20"/>
          <w:szCs w:val="20"/>
          <w:color w:val="auto"/>
        </w:rPr>
      </w:pPr>
    </w:p>
    <w:p>
      <w:pPr>
        <w:ind w:right="780"/>
        <w:spacing w:after="0" w:line="27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shares of common stock and could exert significant influence over matters subject to stockholder approval.</w:t>
      </w:r>
    </w:p>
    <w:p>
      <w:pPr>
        <w:spacing w:after="0" w:line="3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executive officers, directors, and &gt;5% stockholders beneficially own a significant percentage of our common stock as of September 30, 2022. Therefore, these stockholders may, if acting together, have the ability to influence us through this ownership position. These stockholders may be able to determine matters requiring stockholders approval. For example, these stockholders may be able to control elections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86" w:name="page87"/>
    <w:bookmarkEnd w:id="86"/>
    <w:p>
      <w:pPr>
        <w:ind w:right="200"/>
        <w:spacing w:after="0" w:line="261" w:lineRule="auto"/>
        <w:rPr>
          <w:sz w:val="20"/>
          <w:szCs w:val="20"/>
          <w:color w:val="auto"/>
        </w:rPr>
      </w:pPr>
      <w:r>
        <w:rPr>
          <w:rFonts w:ascii="Arial" w:cs="Arial" w:eastAsia="Arial" w:hAnsi="Arial"/>
          <w:sz w:val="18"/>
          <w:szCs w:val="18"/>
          <w:color w:val="auto"/>
        </w:rPr>
        <w:t>amendments of our organizational documents or approval of any merger, sale of assets or other major corporate transaction. This may prevent or discourage unsolicited acquisition proposals or offers for our shares of common stock that you may feel are in your best interest as one of our stockholders.</w:t>
      </w:r>
    </w:p>
    <w:p>
      <w:pPr>
        <w:spacing w:after="0" w:line="164"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 even if our business is doing well.</w:t>
      </w:r>
    </w:p>
    <w:p>
      <w:pPr>
        <w:spacing w:after="0" w:line="17"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or our business. We currently have limited research coverage by securities and industry analysts. If any of the analysts who cover us, or may cover us, downgrades our common stock or issues an adverse or misleading opinion regarding us, our business model, our intellectual property or our stock performance, or if our target preclinical studies or clinical trials and operating results fail to meet the expectations of analysts, our stock price would likely decline as it did following the downgrades by covering analysts in the fourth quarter of 2021. This included certain downgrades after we reported on the data from the Phase 2 MOONSONG clinical trial, which failed to meet the primary study endpoint in the overall patient population and other events. If one or more of these analysts ceases coverage of us or fails to publish reports on us regularly, we could lose visibility in the financial markets, which in turn could cause our stock price or trading volume to decline.</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4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may also limit the price that investors are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81" w:lineRule="exact"/>
        <w:rPr>
          <w:sz w:val="20"/>
          <w:szCs w:val="20"/>
          <w:color w:val="auto"/>
        </w:rPr>
      </w:pPr>
    </w:p>
    <w:p>
      <w:pPr>
        <w:ind w:left="1020" w:right="60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02" w:lineRule="exact"/>
        <w:rPr>
          <w:rFonts w:ascii="Times New Roman" w:cs="Times New Roman" w:eastAsia="Times New Roman" w:hAnsi="Times New Roman"/>
          <w:sz w:val="18"/>
          <w:szCs w:val="18"/>
          <w:color w:val="auto"/>
        </w:rPr>
      </w:pPr>
    </w:p>
    <w:p>
      <w:pPr>
        <w:ind w:left="1020" w:right="60" w:hanging="503"/>
        <w:spacing w:after="0" w:line="317" w:lineRule="auto"/>
        <w:tabs>
          <w:tab w:leader="none" w:pos="102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9" w:lineRule="exact"/>
        <w:rPr>
          <w:rFonts w:ascii="Times New Roman" w:cs="Times New Roman" w:eastAsia="Times New Roman" w:hAnsi="Times New Roman"/>
          <w:sz w:val="17"/>
          <w:szCs w:val="17"/>
          <w:color w:val="auto"/>
        </w:rPr>
      </w:pPr>
    </w:p>
    <w:p>
      <w:pPr>
        <w:ind w:left="1020" w:right="280" w:hanging="503"/>
        <w:spacing w:after="0" w:line="26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02" w:lineRule="exact"/>
        <w:rPr>
          <w:rFonts w:ascii="Times New Roman" w:cs="Times New Roman" w:eastAsia="Times New Roman" w:hAnsi="Times New Roman"/>
          <w:sz w:val="18"/>
          <w:szCs w:val="18"/>
          <w:color w:val="auto"/>
        </w:rPr>
      </w:pPr>
    </w:p>
    <w:p>
      <w:pPr>
        <w:jc w:val="both"/>
        <w:ind w:left="1020" w:right="560" w:hanging="503"/>
        <w:spacing w:after="0" w:line="26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55" w:lineRule="exact"/>
        <w:rPr>
          <w:rFonts w:ascii="Times New Roman" w:cs="Times New Roman" w:eastAsia="Times New Roman" w:hAnsi="Times New Roman"/>
          <w:sz w:val="18"/>
          <w:szCs w:val="18"/>
          <w:color w:val="auto"/>
        </w:rPr>
      </w:pPr>
    </w:p>
    <w:p>
      <w:pPr>
        <w:ind w:left="1020" w:right="540" w:hanging="503"/>
        <w:spacing w:after="0" w:line="286"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32"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55" w:lineRule="exact"/>
        <w:rPr>
          <w:rFonts w:ascii="Times New Roman" w:cs="Times New Roman" w:eastAsia="Times New Roman" w:hAnsi="Times New Roman"/>
          <w:sz w:val="18"/>
          <w:szCs w:val="18"/>
          <w:color w:val="auto"/>
        </w:rPr>
      </w:pPr>
    </w:p>
    <w:p>
      <w:pPr>
        <w:ind w:left="1020" w:right="24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87" w:name="page88"/>
    <w:bookmarkEnd w:id="87"/>
    <w:p>
      <w:pPr>
        <w:ind w:left="1020" w:right="160"/>
        <w:spacing w:after="0" w:line="287" w:lineRule="auto"/>
        <w:rPr>
          <w:sz w:val="20"/>
          <w:szCs w:val="20"/>
          <w:color w:val="auto"/>
        </w:rPr>
      </w:pPr>
      <w:r>
        <w:rPr>
          <w:rFonts w:ascii="Arial" w:cs="Arial" w:eastAsia="Arial" w:hAnsi="Arial"/>
          <w:sz w:val="18"/>
          <w:szCs w:val="18"/>
          <w:color w:val="auto"/>
        </w:rPr>
        <w:t>discourage or deter a potential acquirer from conducting a solicitation of proxies to elect the acquirer’s own slate of directors or otherwise attempting to obtain control of us.</w:t>
      </w:r>
    </w:p>
    <w:p>
      <w:pPr>
        <w:spacing w:after="0" w:line="31"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Our restated certificate of incorporation designates specific courts as the exclusive forum for certain litigation that may be initiated by our stockholders, which could limit our stockholders’ ability to obtain a favorable judicial forum for disputes with us.</w:t>
      </w:r>
    </w:p>
    <w:p>
      <w:pPr>
        <w:spacing w:after="0" w:line="1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other than suits brought to enforce any liability or duty created by the Exchange Act or any other claim for which the federal courts have exclusive jurisdiction and any action that the Court of Chancery of the State of Delaware has dismissed for lack of subject matter jurisdiction, which may be brought in another state or federal court sitting in the State of Delaware. Our restated certificate of incorporation also specifies that unless we consent in writing to the selection of an alternate forum, the federal district courts of the United States shall be the exclusive forum for the resolution of any complaint asserting a cause of action arising under the Securities Act of 1933. Any person or entity purchasing or otherwise acquiring any interest in shares of our capital stock shall be deemed to have notice of and to have consented to the provisions of our restated certificate of incorporation described above.</w:t>
      </w:r>
    </w:p>
    <w:p>
      <w:pPr>
        <w:spacing w:after="0" w:line="8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believe this provision benefits us by providing increased consistency in the application of Delaware law by chancellors particularly experienced in resolving corporate disputes or federal judges experienced in resolving Securities Act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4"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Raising additional capital may cause additional dilution to our stockholders, restrict our operations, require us to relinquish rights to our technologies or product candidates, and could cause our share price to fall.</w:t>
      </w:r>
    </w:p>
    <w:p>
      <w:pPr>
        <w:spacing w:after="0" w:line="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Until such time, if ever, as we can generate substantial revenue from product sales, we may finance our cash needs through a combination of equity offerings, debt financings, marketing and distribution arrangements and other collaborations, strategic alliances and licensing arrangements. In addition, we may seek additional capital due to favorable market conditions or strategic considerations, even if we believe that we have sufficient funds for our current or future operating plans.</w:t>
      </w:r>
    </w:p>
    <w:p>
      <w:pPr>
        <w:spacing w:after="0" w:line="6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operations, our ability to take specific actions, such as incurring additional debt, making capital expenditures, declaring dividends, redeeming our stock, making certain investments and engaging in certain merger, consolidation or asset sale transactions, among other restrictions. If we raise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88" w:name="page89"/>
    <w:bookmarkEnd w:id="88"/>
    <w:p>
      <w:pPr>
        <w:ind w:right="20"/>
        <w:spacing w:after="0" w:line="287" w:lineRule="auto"/>
        <w:rPr>
          <w:sz w:val="20"/>
          <w:szCs w:val="20"/>
          <w:color w:val="auto"/>
        </w:rPr>
      </w:pPr>
      <w:r>
        <w:rPr>
          <w:rFonts w:ascii="Arial" w:cs="Arial" w:eastAsia="Arial" w:hAnsi="Arial"/>
          <w:sz w:val="18"/>
          <w:szCs w:val="18"/>
          <w:color w:val="auto"/>
        </w:rPr>
        <w:t>required to delay, limit, reduce or terminate our product development or future commercialization efforts or grant rights to develop and market product candidates that we would otherwise prefer to develop and market ourselves.</w:t>
      </w:r>
    </w:p>
    <w:p>
      <w:pPr>
        <w:spacing w:after="0" w:line="141"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Weakening patent laws and enforcement by courts and other authorities in the United States and other jurisdictions may impact our ability to protect our patents.</w:t>
      </w:r>
    </w:p>
    <w:p>
      <w:pPr>
        <w:spacing w:after="0" w:line="4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and other bodies in other countries, the laws and regulations governing patents could change in unpredictable ways that would weaken our ability to obtain new patents or to enforce and defend our existing patents and patents that we might obtain in the future.</w:t>
      </w:r>
    </w:p>
    <w:p>
      <w:pPr>
        <w:spacing w:after="0" w:line="7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The laws of some foreign jurisdictions do not protect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have been notified that a pre-grant opposition has been filed with the Controller General Patents, Design, and Trademarks at the Indian Patient Office. While we intend to defend our patent claims for AT-511, we cannot provide any assurance that we will succeed or that the Indian patent office will allow the patent claims to grant. If so, uncertainties resulting from the initiation and continuation of such proceedings could have a material adverse effect on our ability to compete in the marketplace. The cost of foreign adversarial proceedings can also be substantial, and in many foreign jurisdictions, the losing party must pay the attorney fees of the winning party.</w:t>
      </w:r>
    </w:p>
    <w:p>
      <w:pPr>
        <w:spacing w:after="0" w:line="179"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We may engage in acquisitions or strategic collaborations that could disrupt our business, cause dilution to our stockholders, reduce our financial resources, cause us to incur debt or assume contingent liabilities, and subject us to other risks.</w:t>
      </w:r>
    </w:p>
    <w:p>
      <w:pPr>
        <w:spacing w:after="0" w:line="4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the future, we may enter into transactions to acquire other businesses, products or technologies or enter into strategic collaborations, including licensing. If we do identify suitable acquisition or collaboration candidates, we may not be able to complete such acquisitions or collaborations on favorable terms, or at all. Any acquisitions or collaborations may not strengthen our competitive position, and these transactions may be viewed negatively by customers or investors, and we may never realize the anticipated benefits of such acquisitions or collaborations.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or collaboration that are not covered by the indemnification we may obtain from the seller or our collaborator. In addition, we may not be able to successfully integrate any acquired personnel, technologies and operations into our existing business in an effective, timely and non-disruptive manner. Acquisitions or collaborations may also divert management attention from day-to-day responsibilities, lead to a loss of key personnel, increase our expenses and reduce our cash and cash equivalents available for operations and other uses. We cannot predict the number, timing or size of future acquisitions or collaborations or the effect that any such transactions might have on our operating results.</w:t>
      </w:r>
    </w:p>
    <w:p>
      <w:pPr>
        <w:spacing w:after="0" w:line="184"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or pandemics and our business continuity and disaster recovery plans may not adequately protect us from a serious disaster.</w:t>
      </w:r>
    </w:p>
    <w:p>
      <w:pPr>
        <w:spacing w:after="0" w:line="17"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Natural disasters or pandemics, other than or in addition to COVID-19, could severely disrupt our operations and have a material adverse effect on our business, results of operations, financial condition and prospects. If a natural disaster, power outage, pandemic, such as the COVID-19 pandemic, or other event occurred that prevented us from using all or a significant portion of our headquarters or the virtual network capabilities upon which our employees depend to collaborate and access critical business records, that damaged critical infrastructure, such as the manufacturing facilities on which we rely, or that otherwise disrupted operations, it may be difficult or, in certain cases, impossible for us to continue our business for a substantial period of time.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89" w:name="page90"/>
    <w:bookmarkEnd w:id="89"/>
    <w:p>
      <w:pPr>
        <w:ind w:right="80"/>
        <w:spacing w:after="0" w:line="261" w:lineRule="auto"/>
        <w:rPr>
          <w:sz w:val="20"/>
          <w:szCs w:val="20"/>
          <w:color w:val="auto"/>
        </w:rPr>
      </w:pPr>
      <w:r>
        <w:rPr>
          <w:rFonts w:ascii="Arial" w:cs="Arial" w:eastAsia="Arial" w:hAnsi="Arial"/>
          <w:sz w:val="18"/>
          <w:szCs w:val="18"/>
          <w:color w:val="auto"/>
        </w:rPr>
        <w:t>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against us could be costly and time-consuming to defend and could result in additional liabilities.</w:t>
      </w:r>
    </w:p>
    <w:p>
      <w:pPr>
        <w:spacing w:after="0" w:line="11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may from time to time be subject to legal proceedings and claims that arise in the ordinary course of business or otherwise, such as claims brought by our customers or third parties in connection with commercial disputes and employment claims made by our current or former employees. Claims may also be asserted by or on behalf of a variety of other parties, including government agencies, patients or vendors of our customers, or stockholders. In the past, securities class action litigation has often been brought against a company following a decline in the market price of its securities. We believe this risk is especially relevant for us given our significant stock price volatility in 2021.</w:t>
      </w:r>
    </w:p>
    <w:p>
      <w:pPr>
        <w:spacing w:after="0" w:line="6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Any litigation involving us may result in substantial costs, operationally restrict our business, and may divert management’s attention and resources, which may seriously harm our business, overall financial condition and results of operations.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impacting our results of operations and resulting in a reduction in the trading price of our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volatile and may fluctuate substantially.</w:t>
      </w:r>
    </w:p>
    <w:p>
      <w:pPr>
        <w:spacing w:after="0" w:line="102" w:lineRule="exact"/>
        <w:rPr>
          <w:sz w:val="20"/>
          <w:szCs w:val="20"/>
          <w:color w:val="auto"/>
        </w:rPr>
      </w:pPr>
    </w:p>
    <w:p>
      <w:pPr>
        <w:jc w:val="both"/>
        <w:ind w:right="300"/>
        <w:spacing w:after="0" w:line="261" w:lineRule="auto"/>
        <w:rPr>
          <w:sz w:val="20"/>
          <w:szCs w:val="20"/>
          <w:color w:val="auto"/>
        </w:rPr>
      </w:pPr>
      <w:r>
        <w:rPr>
          <w:rFonts w:ascii="Arial" w:cs="Arial" w:eastAsia="Arial" w:hAnsi="Arial"/>
          <w:sz w:val="18"/>
          <w:szCs w:val="18"/>
          <w:color w:val="auto"/>
        </w:rPr>
        <w:t>Our stock price has been and is likely to remain volatile. Extreme fluctuations have occurred in our stock price with closing prices in 2021 ranging from a high of $88.44 on February 8, 2021 to a low of $7.67 on November 23, 2021 and in 2022, to a low of $5.18 on October 19, 2022.</w:t>
      </w:r>
    </w:p>
    <w:p>
      <w:pPr>
        <w:spacing w:after="0" w:line="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stock market in general, The Nasdaq Global Select Market and biopharmaceutical companies in particular have experienced extreme volatility in trading volume that exacerbates, is disproportionate to or in some cases has been unrelated to the operating performance of particular companies. As a result of this volatility, you may not be able to sell your common stock at a profit. The market price for our common stock may be influenced by many factors, including but not limited to:</w:t>
      </w:r>
    </w:p>
    <w:p>
      <w:pPr>
        <w:spacing w:after="0" w:line="62"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competitive products or technologies;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expected changes in our growth rate relative to our competitors;</w:t>
      </w:r>
    </w:p>
    <w:p>
      <w:pPr>
        <w:spacing w:after="0" w:line="102"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our ongoing, planned or any future preclinical studies, clinical trials or clinical development of our product candidates or those of our competitors;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related to our existing or any future collaborations;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concerning our manufacturers or our manufacturing plans;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 of third-party product candidates that may address our markets and make our product candidates less attractive;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commercialize our product candidates;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90" w:name="page91"/>
    <w:bookmarkEnd w:id="90"/>
    <w:p>
      <w:pPr>
        <w:ind w:left="1020" w:right="700" w:hanging="503"/>
        <w:spacing w:after="0" w:line="286"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scientific or management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practices;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trading volume of our common stock;</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our cash and cash equivalents position;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effectively manage our growth;</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or our stockholders in the future;</w:t>
      </w:r>
    </w:p>
    <w:p>
      <w:pPr>
        <w:spacing w:after="0" w:line="116"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ineffectiveness of our internal controls;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lawsuits, including intellectual property or stockholder litigation;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02" w:lineRule="exact"/>
        <w:rPr>
          <w:rFonts w:ascii="Times New Roman" w:cs="Times New Roman" w:eastAsia="Times New Roman" w:hAnsi="Times New Roman"/>
          <w:sz w:val="18"/>
          <w:szCs w:val="18"/>
          <w:color w:val="auto"/>
        </w:rPr>
      </w:pPr>
    </w:p>
    <w:p>
      <w:pPr>
        <w:ind w:left="1020" w:right="540" w:hanging="503"/>
        <w:spacing w:after="0" w:line="286"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including rising inflation and interest rates;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described in this “Risk Factors” section.</w:t>
      </w:r>
    </w:p>
    <w:p>
      <w:pPr>
        <w:spacing w:after="0" w:line="11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and results of operations.</w:t>
      </w:r>
    </w:p>
    <w:p>
      <w:pPr>
        <w:spacing w:after="0" w:line="18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We have incurred and may continue to incur increased costs as a result of operating as a public company, and our management has been and will continue to be required to devote substantial time to new compliance initiatives and corporate governance practices.</w:t>
      </w:r>
    </w:p>
    <w:p>
      <w:pPr>
        <w:spacing w:after="0" w:line="6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As a public company, we are incurring significant legal, accounting and other expenses that we did not incur before we became a public company in October 2020.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are devoting a substantial amount of time to these compliance initiatives. Moreover, these rules and regulations have and will continue to increase our legal and financial compliance costs and will make some activities more time-consuming and costly. For example, these rules and regulations have made it more difficult and more expensive for us to obtain director and officer liability insurance, which in turn could make it more difficult for us to attract and retain qualified members of our board of directors.</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1" w:right="439" w:bottom="1440" w:gutter="0" w:footer="0" w:header="0"/>
        </w:sectPr>
      </w:pPr>
    </w:p>
    <w:bookmarkStart w:id="91" w:name="page92"/>
    <w:bookmarkEnd w:id="91"/>
    <w:p>
      <w:pPr>
        <w:jc w:val="both"/>
        <w:ind w:right="300"/>
        <w:spacing w:after="0" w:line="251" w:lineRule="auto"/>
        <w:rPr>
          <w:sz w:val="20"/>
          <w:szCs w:val="20"/>
          <w:color w:val="auto"/>
        </w:rPr>
      </w:pPr>
      <w:r>
        <w:rPr>
          <w:rFonts w:ascii="Arial" w:cs="Arial" w:eastAsia="Arial" w:hAnsi="Arial"/>
          <w:sz w:val="18"/>
          <w:szCs w:val="18"/>
          <w:color w:val="auto"/>
        </w:rPr>
        <w:t>We will continue to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6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Pursuant to Section 404 of the Sarbanes-Oxley Act of 2002 (“Section 404”), we are required to furnish a report by our management on our internal control over financial reporting in our Annual Report on Form 10-K. In addition, we are required to include an attestation report on internal control over financial reporting issued by our independent registered public accounting firm. At such time, our independent registered public accounting firm may issue a report that is adverse in the event material weaknesses have been identified in our internal control over financial reporting. To achieve compliance with Section 404 within the prescribed period, we are engaged in a process to document and evaluate our internal control over financial reporting, which is both costly and challenging. In this regard, we need to continue to dedicate internal resources,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We may discover significant deficiencies or material weaknesses in our internal control over financial reporting, which we may not successfully remediate on a timely basis or at all. Any failure to remediate any significant deficiencies or material weaknesses identified by us or to implement required new or improved controls, or difficulties encountered in their implementation, could cause us to fail to meet our reporting obligations or result in material misstatements in our financial statements. If we identify one or more material weaknesses, it could result in an adverse reaction in the financial markets due to a loss of confidence in the reliability of our financial statements.</w:t>
      </w:r>
    </w:p>
    <w:p>
      <w:pPr>
        <w:spacing w:after="0" w:line="18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4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In addition, our independent registered public accounting firm will be required to attest to the effectiveness of our internal control over financial reporting pursuant to Section 404 for the year ending December 31, 2022. Our independent registered public accounting firm may issue a report that is adverse in the event material weaknesses have been identified in our internal control over financial reporting.</w:t>
      </w:r>
    </w:p>
    <w:p>
      <w:pPr>
        <w:spacing w:after="0" w:line="8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To comply with the requirements of being a public company, we have undertaken and will need to undertake additional actions, such as implementing new internal controls and procedures and hiring additional accounting or internal audit staff. Testing and maintaining internal control can divert our management’s attention from other matters that are also important to the operation of our business. In addition,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controls over financial reporting or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As a result, the market price of our common stock could be materially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are subject to the periodic reporting requirements of the Exchange Act. 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92" w:name="page93"/>
    <w:bookmarkEnd w:id="92"/>
    <w:p>
      <w:pPr>
        <w:spacing w:after="0" w:line="252"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6"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is likely to be your sole source of gain.</w:t>
      </w:r>
    </w:p>
    <w:p>
      <w:pPr>
        <w:spacing w:after="0" w:line="3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all available funds and future earnings for the development, operation and expansion of our business and do not anticipate declaring or paying any cash dividends for the foreseeable future. As a result, capital appreciation, if any, of our common stock is likely to be your sole source of gain on an investment in our common stock for the foreseeable future.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right="1920"/>
        <w:spacing w:after="0" w:line="396" w:lineRule="auto"/>
        <w:rPr>
          <w:sz w:val="20"/>
          <w:szCs w:val="20"/>
          <w:color w:val="auto"/>
        </w:rPr>
      </w:pPr>
      <w:r>
        <w:rPr>
          <w:rFonts w:ascii="Arial" w:cs="Arial" w:eastAsia="Arial" w:hAnsi="Arial"/>
          <w:sz w:val="18"/>
          <w:szCs w:val="18"/>
          <w:b w:val="1"/>
          <w:bCs w:val="1"/>
          <w:color w:val="auto"/>
        </w:rPr>
        <w:t xml:space="preserve">Recent Sales of Unregistered Securities; Purchases of Equity Securities by the Issuer or Affiliated Purchaser </w:t>
      </w: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November 3, 2020, we completed the initial public offering (“IPO”) of our common stock pursuant to which we issued and sold 14,375,000 shares of our common stock at a price to the public of $24.00 per share.</w:t>
      </w:r>
    </w:p>
    <w:p>
      <w:pPr>
        <w:spacing w:after="0" w:line="5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All shares issued and sold in the initial public offering were registered under the Securities Act pursuant to a Registration Statement on Form S-1 (File No.333-249404), as amended (the “Registration Statement”), declared effective by the SEC on October 29,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received net proceeds of approximately $317.6 million after deducting underwriting discounts and commissions and offering expenses.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remaining net proceeds from our IPO have been invested primarily in money market accounts and marketable securities. There has been no material change in the expected use of the net proceeds from our initial public offering as described in our Prospectus filed pursuant to Rule 424(b)(4) under the Securities Act with the SEC on October 29,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33"/>
        </w:trPr>
        <w:tc>
          <w:tcPr>
            <w:tcW w:w="10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80" w:type="dxa"/>
            <w:vAlign w:val="bottom"/>
            <w:gridSpan w:val="10"/>
            <w:vMerge w:val="restart"/>
          </w:tcPr>
          <w:p>
            <w:pPr>
              <w:ind w:left="15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1"/>
                <w:szCs w:val="11"/>
                <w:color w:val="auto"/>
              </w:rPr>
            </w:pPr>
          </w:p>
        </w:tc>
        <w:tc>
          <w:tcPr>
            <w:tcW w:w="1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1"/>
                <w:szCs w:val="11"/>
                <w:color w:val="auto"/>
              </w:rPr>
            </w:pPr>
          </w:p>
        </w:tc>
        <w:tc>
          <w:tcPr>
            <w:tcW w:w="960" w:type="dxa"/>
            <w:vAlign w:val="bottom"/>
          </w:tcPr>
          <w:p>
            <w:pPr>
              <w:jc w:val="right"/>
              <w:ind w:right="228"/>
              <w:spacing w:after="0" w:line="133" w:lineRule="exact"/>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5"/>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10"/>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04"/>
        </w:trPr>
        <w:tc>
          <w:tcPr>
            <w:tcW w:w="108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Borders>
              <w:bottom w:val="single" w:sz="8" w:color="4343EB"/>
            </w:tcBorders>
            <w:gridSpan w:val="5"/>
          </w:tcPr>
          <w:p>
            <w:pPr>
              <w:spacing w:after="0"/>
              <w:rPr>
                <w:rFonts w:ascii="Arial" w:cs="Arial" w:eastAsia="Arial" w:hAnsi="Arial"/>
                <w:sz w:val="18"/>
                <w:szCs w:val="18"/>
                <w:color w:val="4343EB"/>
                <w:w w:val="99"/>
              </w:rPr>
            </w:pPr>
            <w:hyperlink r:id="rId125">
              <w:r>
                <w:rPr>
                  <w:rFonts w:ascii="Arial" w:cs="Arial" w:eastAsia="Arial" w:hAnsi="Arial"/>
                  <w:sz w:val="18"/>
                  <w:szCs w:val="18"/>
                  <w:color w:val="4343EB"/>
                  <w:w w:val="99"/>
                </w:rPr>
                <w:t>Restated Certificate of Incorporation.</w:t>
              </w:r>
            </w:hyperlink>
          </w:p>
        </w:tc>
        <w:tc>
          <w:tcPr>
            <w:tcW w:w="156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001-39661</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3.1</w:t>
            </w:r>
          </w:p>
        </w:tc>
        <w:tc>
          <w:tcPr>
            <w:tcW w:w="1180" w:type="dxa"/>
            <w:vAlign w:val="bottom"/>
            <w:gridSpan w:val="2"/>
          </w:tcPr>
          <w:p>
            <w:pPr>
              <w:jc w:val="right"/>
              <w:ind w:right="68"/>
              <w:spacing w:after="0"/>
              <w:rPr>
                <w:sz w:val="20"/>
                <w:szCs w:val="20"/>
                <w:color w:val="auto"/>
              </w:rPr>
            </w:pPr>
            <w:r>
              <w:rPr>
                <w:rFonts w:ascii="Arial" w:cs="Arial" w:eastAsia="Arial" w:hAnsi="Arial"/>
                <w:sz w:val="18"/>
                <w:szCs w:val="18"/>
                <w:color w:val="auto"/>
              </w:rPr>
              <w:t>11/5/2020</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gridSpan w:val="11"/>
          </w:tcPr>
          <w:p>
            <w:pPr>
              <w:spacing w:after="0" w:line="196" w:lineRule="exact"/>
              <w:rPr>
                <w:rFonts w:ascii="Arial" w:cs="Arial" w:eastAsia="Arial" w:hAnsi="Arial"/>
                <w:sz w:val="18"/>
                <w:szCs w:val="18"/>
                <w:color w:val="4343EB"/>
              </w:rPr>
            </w:pPr>
            <w:hyperlink r:id="rId126">
              <w:r>
                <w:rPr>
                  <w:rFonts w:ascii="Arial" w:cs="Arial" w:eastAsia="Arial" w:hAnsi="Arial"/>
                  <w:sz w:val="18"/>
                  <w:szCs w:val="18"/>
                  <w:color w:val="4343EB"/>
                </w:rPr>
                <w:t>Amended and Restated Bylaws.</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360" w:type="dxa"/>
            <w:vAlign w:val="bottom"/>
            <w:gridSpan w:val="2"/>
          </w:tcPr>
          <w:p>
            <w:pPr>
              <w:ind w:left="300"/>
              <w:spacing w:after="0" w:line="196" w:lineRule="exact"/>
              <w:rPr>
                <w:sz w:val="20"/>
                <w:szCs w:val="20"/>
                <w:color w:val="auto"/>
              </w:rPr>
            </w:pPr>
            <w:r>
              <w:rPr>
                <w:rFonts w:ascii="Arial" w:cs="Arial" w:eastAsia="Arial" w:hAnsi="Arial"/>
                <w:sz w:val="18"/>
                <w:szCs w:val="18"/>
                <w:color w:val="auto"/>
              </w:rPr>
              <w:t>001-39661</w:t>
            </w:r>
          </w:p>
        </w:tc>
        <w:tc>
          <w:tcPr>
            <w:tcW w:w="76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rPr>
              <w:t>3.2</w:t>
            </w:r>
          </w:p>
        </w:tc>
        <w:tc>
          <w:tcPr>
            <w:tcW w:w="1180" w:type="dxa"/>
            <w:vAlign w:val="bottom"/>
            <w:gridSpan w:val="2"/>
          </w:tcPr>
          <w:p>
            <w:pPr>
              <w:jc w:val="right"/>
              <w:ind w:right="68"/>
              <w:spacing w:after="0" w:line="196" w:lineRule="exact"/>
              <w:rPr>
                <w:sz w:val="20"/>
                <w:szCs w:val="20"/>
                <w:color w:val="auto"/>
              </w:rPr>
            </w:pPr>
            <w:r>
              <w:rPr>
                <w:rFonts w:ascii="Arial" w:cs="Arial" w:eastAsia="Arial" w:hAnsi="Arial"/>
                <w:sz w:val="18"/>
                <w:szCs w:val="18"/>
                <w:color w:val="auto"/>
              </w:rPr>
              <w:t>11/5/2020</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4343EB"/>
          </w:tcPr>
          <w:p>
            <w:pPr>
              <w:spacing w:after="0" w:line="20" w:lineRule="exact"/>
              <w:rPr>
                <w:sz w:val="1"/>
                <w:szCs w:val="1"/>
                <w:color w:val="auto"/>
              </w:rPr>
            </w:pPr>
          </w:p>
        </w:tc>
        <w:tc>
          <w:tcPr>
            <w:tcW w:w="40" w:type="dxa"/>
            <w:vAlign w:val="bottom"/>
            <w:tcBorders>
              <w:right w:val="single" w:sz="8" w:color="4343EB"/>
            </w:tcBorders>
            <w:shd w:val="clear" w:color="auto" w:fill="4343EB"/>
          </w:tcPr>
          <w:p>
            <w:pPr>
              <w:spacing w:after="0" w:line="20" w:lineRule="exact"/>
              <w:rPr>
                <w:sz w:val="1"/>
                <w:szCs w:val="1"/>
                <w:color w:val="auto"/>
              </w:rPr>
            </w:pPr>
          </w:p>
        </w:tc>
        <w:tc>
          <w:tcPr>
            <w:tcW w:w="400" w:type="dxa"/>
            <w:vAlign w:val="bottom"/>
            <w:tcBorders>
              <w:right w:val="single" w:sz="8" w:color="4343EB"/>
            </w:tcBorders>
            <w:shd w:val="clear" w:color="auto" w:fill="4343EB"/>
          </w:tcPr>
          <w:p>
            <w:pPr>
              <w:spacing w:after="0" w:line="20" w:lineRule="exact"/>
              <w:rPr>
                <w:sz w:val="1"/>
                <w:szCs w:val="1"/>
                <w:color w:val="auto"/>
              </w:rPr>
            </w:pPr>
          </w:p>
        </w:tc>
        <w:tc>
          <w:tcPr>
            <w:tcW w:w="480" w:type="dxa"/>
            <w:vAlign w:val="bottom"/>
            <w:tcBorders>
              <w:right w:val="single" w:sz="8" w:color="0000EE"/>
            </w:tcBorders>
            <w:shd w:val="clear" w:color="auto" w:fill="4343EB"/>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gridSpan w:val="11"/>
          </w:tcPr>
          <w:p>
            <w:pPr>
              <w:spacing w:after="0" w:line="196" w:lineRule="exact"/>
              <w:rPr>
                <w:sz w:val="20"/>
                <w:szCs w:val="20"/>
                <w:color w:val="auto"/>
              </w:rPr>
            </w:pPr>
            <w:r>
              <w:rPr>
                <w:rFonts w:ascii="Arial" w:cs="Arial" w:eastAsia="Arial" w:hAnsi="Arial"/>
                <w:sz w:val="18"/>
                <w:szCs w:val="18"/>
                <w:color w:val="4343EB"/>
              </w:rPr>
              <w:t>Certification of Chief Executive Officer pursuant to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tcBorders>
              <w:top w:val="single" w:sz="8" w:color="4343EB"/>
            </w:tcBorders>
            <w:gridSpan w:val="6"/>
          </w:tcPr>
          <w:p>
            <w:pPr>
              <w:spacing w:after="0" w:line="169" w:lineRule="exact"/>
              <w:rPr>
                <w:sz w:val="20"/>
                <w:szCs w:val="20"/>
                <w:color w:val="auto"/>
              </w:rPr>
            </w:pPr>
            <w:r>
              <w:rPr>
                <w:rFonts w:ascii="Arial" w:cs="Arial" w:eastAsia="Arial" w:hAnsi="Arial"/>
                <w:sz w:val="18"/>
                <w:szCs w:val="18"/>
                <w:color w:val="4343EB"/>
              </w:rPr>
              <w:t>Rule 13a-14(a)/15d-14(a).</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4343EB"/>
          </w:tcPr>
          <w:p>
            <w:pPr>
              <w:spacing w:after="0" w:line="20" w:lineRule="exact"/>
              <w:rPr>
                <w:sz w:val="1"/>
                <w:szCs w:val="1"/>
                <w:color w:val="auto"/>
              </w:rPr>
            </w:pPr>
          </w:p>
        </w:tc>
        <w:tc>
          <w:tcPr>
            <w:tcW w:w="40" w:type="dxa"/>
            <w:vAlign w:val="bottom"/>
            <w:tcBorders>
              <w:right w:val="single" w:sz="8" w:color="4343EB"/>
            </w:tcBorders>
            <w:shd w:val="clear" w:color="auto" w:fill="4343EB"/>
          </w:tcPr>
          <w:p>
            <w:pPr>
              <w:spacing w:after="0" w:line="20" w:lineRule="exact"/>
              <w:rPr>
                <w:sz w:val="1"/>
                <w:szCs w:val="1"/>
                <w:color w:val="auto"/>
              </w:rPr>
            </w:pPr>
          </w:p>
        </w:tc>
        <w:tc>
          <w:tcPr>
            <w:tcW w:w="400" w:type="dxa"/>
            <w:vAlign w:val="bottom"/>
            <w:tcBorders>
              <w:right w:val="single" w:sz="8" w:color="0000EE"/>
            </w:tcBorders>
            <w:shd w:val="clear" w:color="auto" w:fill="4343EB"/>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gridSpan w:val="11"/>
          </w:tcPr>
          <w:p>
            <w:pPr>
              <w:spacing w:after="0" w:line="196" w:lineRule="exact"/>
              <w:rPr>
                <w:sz w:val="20"/>
                <w:szCs w:val="20"/>
                <w:color w:val="auto"/>
              </w:rPr>
            </w:pPr>
            <w:r>
              <w:rPr>
                <w:rFonts w:ascii="Arial" w:cs="Arial" w:eastAsia="Arial" w:hAnsi="Arial"/>
                <w:sz w:val="18"/>
                <w:szCs w:val="18"/>
                <w:color w:val="4343EB"/>
              </w:rPr>
              <w:t>Certification of Chief Financial Officer pursuant to Rule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tcBorders>
              <w:top w:val="single" w:sz="8" w:color="4343EB"/>
            </w:tcBorders>
            <w:gridSpan w:val="9"/>
          </w:tcPr>
          <w:p>
            <w:pPr>
              <w:spacing w:after="0" w:line="169" w:lineRule="exact"/>
              <w:rPr>
                <w:sz w:val="20"/>
                <w:szCs w:val="20"/>
                <w:color w:val="auto"/>
              </w:rPr>
            </w:pPr>
            <w:r>
              <w:rPr>
                <w:rFonts w:ascii="Arial" w:cs="Arial" w:eastAsia="Arial" w:hAnsi="Arial"/>
                <w:sz w:val="18"/>
                <w:szCs w:val="18"/>
                <w:color w:val="4343EB"/>
              </w:rPr>
              <w:t>13a-14(a)/15d-14(a).</w:t>
            </w:r>
          </w:p>
        </w:tc>
        <w:tc>
          <w:tcPr>
            <w:tcW w:w="1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4343E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gridSpan w:val="11"/>
          </w:tcPr>
          <w:p>
            <w:pPr>
              <w:spacing w:after="0" w:line="196" w:lineRule="exact"/>
              <w:rPr>
                <w:sz w:val="20"/>
                <w:szCs w:val="20"/>
                <w:color w:val="auto"/>
              </w:rPr>
            </w:pPr>
            <w:r>
              <w:rPr>
                <w:rFonts w:ascii="Arial" w:cs="Arial" w:eastAsia="Arial" w:hAnsi="Arial"/>
                <w:sz w:val="18"/>
                <w:szCs w:val="18"/>
                <w:color w:val="4343EB"/>
              </w:rPr>
              <w:t>Certification of Chief Executive Officer pursuant to 18</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top w:val="single" w:sz="8" w:color="4343EB"/>
            </w:tcBorders>
            <w:gridSpan w:val="8"/>
          </w:tcPr>
          <w:p>
            <w:pPr>
              <w:spacing w:after="0" w:line="169" w:lineRule="exact"/>
              <w:rPr>
                <w:sz w:val="20"/>
                <w:szCs w:val="20"/>
                <w:color w:val="auto"/>
              </w:rPr>
            </w:pPr>
            <w:r>
              <w:rPr>
                <w:rFonts w:ascii="Arial" w:cs="Arial" w:eastAsia="Arial" w:hAnsi="Arial"/>
                <w:sz w:val="18"/>
                <w:szCs w:val="18"/>
                <w:color w:val="4343EB"/>
              </w:rPr>
              <w:t>U.S.C. Section 1350.</w:t>
            </w:r>
          </w:p>
        </w:tc>
        <w:tc>
          <w:tcPr>
            <w:tcW w:w="22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right w:val="single" w:sz="8" w:color="0000EE"/>
            </w:tcBorders>
            <w:gridSpan w:val="2"/>
            <w:shd w:val="clear" w:color="auto" w:fill="4343EB"/>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gridSpan w:val="11"/>
          </w:tcPr>
          <w:p>
            <w:pPr>
              <w:spacing w:after="0" w:line="196" w:lineRule="exact"/>
              <w:rPr>
                <w:sz w:val="20"/>
                <w:szCs w:val="20"/>
                <w:color w:val="auto"/>
              </w:rPr>
            </w:pPr>
            <w:r>
              <w:rPr>
                <w:rFonts w:ascii="Arial" w:cs="Arial" w:eastAsia="Arial" w:hAnsi="Arial"/>
                <w:sz w:val="18"/>
                <w:szCs w:val="18"/>
                <w:color w:val="4343EB"/>
              </w:rPr>
              <w:t>Certification of Chief Financial Officer pursuant to 18</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top w:val="single" w:sz="8" w:color="4343EB"/>
            </w:tcBorders>
            <w:gridSpan w:val="7"/>
          </w:tcPr>
          <w:p>
            <w:pPr>
              <w:spacing w:after="0" w:line="169" w:lineRule="exact"/>
              <w:rPr>
                <w:sz w:val="20"/>
                <w:szCs w:val="20"/>
                <w:color w:val="auto"/>
              </w:rPr>
            </w:pPr>
            <w:r>
              <w:rPr>
                <w:rFonts w:ascii="Arial" w:cs="Arial" w:eastAsia="Arial" w:hAnsi="Arial"/>
                <w:sz w:val="18"/>
                <w:szCs w:val="18"/>
                <w:color w:val="4343EB"/>
              </w:rPr>
              <w:t>U.S.C. Section 1350.</w:t>
            </w:r>
          </w:p>
        </w:tc>
        <w:tc>
          <w:tcPr>
            <w:tcW w:w="280" w:type="dxa"/>
            <w:vAlign w:val="bottom"/>
            <w:gridSpan w:val="4"/>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right w:val="single" w:sz="8" w:color="0000EE"/>
            </w:tcBorders>
            <w:gridSpan w:val="2"/>
            <w:shd w:val="clear" w:color="auto" w:fill="4343EB"/>
          </w:tcPr>
          <w:p>
            <w:pPr>
              <w:spacing w:after="0" w:line="20" w:lineRule="exact"/>
              <w:rPr>
                <w:sz w:val="1"/>
                <w:szCs w:val="1"/>
                <w:color w:val="auto"/>
              </w:rPr>
            </w:pPr>
          </w:p>
        </w:tc>
        <w:tc>
          <w:tcPr>
            <w:tcW w:w="280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1"/>
          </w:tcPr>
          <w:p>
            <w:pPr>
              <w:spacing w:after="0" w:line="191" w:lineRule="exact"/>
              <w:rPr>
                <w:sz w:val="20"/>
                <w:szCs w:val="20"/>
                <w:color w:val="auto"/>
              </w:rPr>
            </w:pPr>
            <w:r>
              <w:rPr>
                <w:rFonts w:ascii="Arial" w:cs="Arial" w:eastAsia="Arial" w:hAnsi="Arial"/>
                <w:sz w:val="18"/>
                <w:szCs w:val="18"/>
                <w:color w:val="auto"/>
              </w:rPr>
              <w:t>Inline XBRL Instance Document - the instance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1"/>
          </w:tcPr>
          <w:p>
            <w:pPr>
              <w:spacing w:after="0" w:line="189" w:lineRule="exact"/>
              <w:rPr>
                <w:sz w:val="20"/>
                <w:szCs w:val="20"/>
                <w:color w:val="auto"/>
              </w:rPr>
            </w:pPr>
            <w:r>
              <w:rPr>
                <w:rFonts w:ascii="Arial" w:cs="Arial" w:eastAsia="Arial" w:hAnsi="Arial"/>
                <w:sz w:val="18"/>
                <w:szCs w:val="18"/>
                <w:color w:val="auto"/>
              </w:rPr>
              <w:t>document does not appear in the Interactive Data File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1"/>
          </w:tcPr>
          <w:p>
            <w:pPr>
              <w:spacing w:after="0" w:line="189" w:lineRule="exact"/>
              <w:rPr>
                <w:sz w:val="20"/>
                <w:szCs w:val="20"/>
                <w:color w:val="auto"/>
              </w:rPr>
            </w:pPr>
            <w:r>
              <w:rPr>
                <w:rFonts w:ascii="Arial" w:cs="Arial" w:eastAsia="Arial" w:hAnsi="Arial"/>
                <w:sz w:val="18"/>
                <w:szCs w:val="18"/>
                <w:color w:val="auto"/>
              </w:rPr>
              <w:t>because its XBRL tags are embedded within the Inline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1"/>
          </w:tcPr>
          <w:p>
            <w:pPr>
              <w:spacing w:after="0"/>
              <w:rPr>
                <w:sz w:val="20"/>
                <w:szCs w:val="20"/>
                <w:color w:val="auto"/>
              </w:rPr>
            </w:pPr>
            <w:r>
              <w:rPr>
                <w:rFonts w:ascii="Arial" w:cs="Arial" w:eastAsia="Arial" w:hAnsi="Arial"/>
                <w:sz w:val="18"/>
                <w:szCs w:val="18"/>
                <w:color w:val="auto"/>
              </w:rPr>
              <w:t>XBRL document.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1"/>
          </w:tcPr>
          <w:p>
            <w:pPr>
              <w:spacing w:after="0" w:line="189" w:lineRule="exact"/>
              <w:rPr>
                <w:sz w:val="20"/>
                <w:szCs w:val="20"/>
                <w:color w:val="auto"/>
              </w:rPr>
            </w:pPr>
            <w:r>
              <w:rPr>
                <w:rFonts w:ascii="Arial" w:cs="Arial" w:eastAsia="Arial" w:hAnsi="Arial"/>
                <w:sz w:val="18"/>
                <w:szCs w:val="18"/>
                <w:color w:val="auto"/>
              </w:rPr>
              <w:t>Inline XBRL Taxonomy Extension Calculation</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2"/>
          </w:tcPr>
          <w:p>
            <w:pPr>
              <w:jc w:val="center"/>
              <w:ind w:left="10"/>
              <w:spacing w:after="0" w:line="189"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1"/>
          </w:tcPr>
          <w:p>
            <w:pPr>
              <w:spacing w:after="0"/>
              <w:rPr>
                <w:sz w:val="20"/>
                <w:szCs w:val="20"/>
                <w:color w:val="auto"/>
              </w:rPr>
            </w:pPr>
            <w:r>
              <w:rPr>
                <w:rFonts w:ascii="Arial" w:cs="Arial" w:eastAsia="Arial" w:hAnsi="Arial"/>
                <w:sz w:val="18"/>
                <w:szCs w:val="18"/>
                <w:color w:val="auto"/>
              </w:rPr>
              <w:t>Linkbase Document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1"/>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2"/>
          </w:tcPr>
          <w:p>
            <w:pPr>
              <w:jc w:val="center"/>
              <w:ind w:left="10"/>
              <w:spacing w:after="0" w:line="189"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1"/>
          </w:tcPr>
          <w:p>
            <w:pPr>
              <w:spacing w:after="0" w:line="189" w:lineRule="exact"/>
              <w:rPr>
                <w:sz w:val="20"/>
                <w:szCs w:val="20"/>
                <w:color w:val="auto"/>
              </w:rPr>
            </w:pPr>
            <w:r>
              <w:rPr>
                <w:rFonts w:ascii="Arial" w:cs="Arial" w:eastAsia="Arial" w:hAnsi="Arial"/>
                <w:sz w:val="18"/>
                <w:szCs w:val="18"/>
                <w:color w:val="auto"/>
              </w:rPr>
              <w:t>Inline XBRL Taxonomy Extension Label Linkbase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2"/>
          </w:tcPr>
          <w:p>
            <w:pPr>
              <w:jc w:val="center"/>
              <w:ind w:left="10"/>
              <w:spacing w:after="0" w:line="189"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1"/>
          </w:tcPr>
          <w:p>
            <w:pPr>
              <w:spacing w:after="0" w:line="189" w:lineRule="exact"/>
              <w:rPr>
                <w:sz w:val="20"/>
                <w:szCs w:val="20"/>
                <w:color w:val="auto"/>
              </w:rPr>
            </w:pPr>
            <w:r>
              <w:rPr>
                <w:rFonts w:ascii="Arial" w:cs="Arial" w:eastAsia="Arial" w:hAnsi="Arial"/>
                <w:sz w:val="18"/>
                <w:szCs w:val="18"/>
                <w:color w:val="auto"/>
              </w:rPr>
              <w:t>Inline XBRL Taxonomy Extension Presentation</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2"/>
          </w:tcPr>
          <w:p>
            <w:pPr>
              <w:jc w:val="center"/>
              <w:ind w:left="10"/>
              <w:spacing w:after="0" w:line="189"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1"/>
          </w:tcPr>
          <w:p>
            <w:pPr>
              <w:spacing w:after="0"/>
              <w:rPr>
                <w:sz w:val="20"/>
                <w:szCs w:val="20"/>
                <w:color w:val="auto"/>
              </w:rPr>
            </w:pPr>
            <w:r>
              <w:rPr>
                <w:rFonts w:ascii="Arial" w:cs="Arial" w:eastAsia="Arial" w:hAnsi="Arial"/>
                <w:sz w:val="18"/>
                <w:szCs w:val="18"/>
                <w:color w:val="auto"/>
              </w:rPr>
              <w:t>Linkbase Document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00" w:type="dxa"/>
            <w:vAlign w:val="bottom"/>
            <w:gridSpan w:val="11"/>
          </w:tcPr>
          <w:p>
            <w:pPr>
              <w:spacing w:after="0" w:line="189" w:lineRule="exact"/>
              <w:rPr>
                <w:sz w:val="20"/>
                <w:szCs w:val="20"/>
                <w:color w:val="auto"/>
              </w:rPr>
            </w:pPr>
            <w:r>
              <w:rPr>
                <w:rFonts w:ascii="Arial" w:cs="Arial" w:eastAsia="Arial" w:hAnsi="Arial"/>
                <w:sz w:val="18"/>
                <w:szCs w:val="18"/>
                <w:color w:val="auto"/>
              </w:rPr>
              <w:t>Cover Page Interactive Data File (formatted as inline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2"/>
          </w:tcPr>
          <w:p>
            <w:pPr>
              <w:jc w:val="center"/>
              <w:ind w:left="10"/>
              <w:spacing w:after="0" w:line="189"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00" w:type="dxa"/>
            <w:vAlign w:val="bottom"/>
            <w:gridSpan w:val="11"/>
          </w:tcPr>
          <w:p>
            <w:pPr>
              <w:spacing w:after="0"/>
              <w:rPr>
                <w:sz w:val="20"/>
                <w:szCs w:val="20"/>
                <w:color w:val="auto"/>
              </w:rPr>
            </w:pPr>
            <w:r>
              <w:rPr>
                <w:rFonts w:ascii="Arial" w:cs="Arial" w:eastAsia="Arial" w:hAnsi="Arial"/>
                <w:sz w:val="18"/>
                <w:szCs w:val="18"/>
                <w:color w:val="auto"/>
              </w:rPr>
              <w:t>XBRL and contained in Exhibit 101)</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820" w:type="dxa"/>
            <w:vAlign w:val="bottom"/>
          </w:tcPr>
          <w:p>
            <w:pPr>
              <w:spacing w:after="0"/>
              <w:rPr>
                <w:sz w:val="20"/>
                <w:szCs w:val="20"/>
                <w:color w:val="auto"/>
              </w:rPr>
            </w:pPr>
          </w:p>
        </w:tc>
        <w:tc>
          <w:tcPr>
            <w:tcW w:w="7400" w:type="dxa"/>
            <w:vAlign w:val="bottom"/>
            <w:gridSpan w:val="2"/>
          </w:tcPr>
          <w:p>
            <w:pPr>
              <w:ind w:left="1860"/>
              <w:spacing w:after="0"/>
              <w:rPr>
                <w:sz w:val="20"/>
                <w:szCs w:val="20"/>
                <w:color w:val="auto"/>
              </w:rPr>
            </w:pPr>
            <w:r>
              <w:rPr>
                <w:rFonts w:ascii="Arial" w:cs="Arial" w:eastAsia="Arial" w:hAnsi="Arial"/>
                <w:sz w:val="18"/>
                <w:szCs w:val="18"/>
                <w:color w:val="auto"/>
              </w:rPr>
              <w:t>ATEA PHARMACEUTICALS, INC.</w:t>
            </w:r>
          </w:p>
        </w:tc>
      </w:tr>
      <w:tr>
        <w:trPr>
          <w:trHeight w:val="401"/>
        </w:trPr>
        <w:tc>
          <w:tcPr>
            <w:tcW w:w="3820" w:type="dxa"/>
            <w:vAlign w:val="bottom"/>
          </w:tcPr>
          <w:p>
            <w:pPr>
              <w:spacing w:after="0"/>
              <w:rPr>
                <w:sz w:val="20"/>
                <w:szCs w:val="20"/>
                <w:color w:val="auto"/>
              </w:rPr>
            </w:pPr>
            <w:r>
              <w:rPr>
                <w:rFonts w:ascii="Arial" w:cs="Arial" w:eastAsia="Arial" w:hAnsi="Arial"/>
                <w:sz w:val="18"/>
                <w:szCs w:val="18"/>
                <w:color w:val="auto"/>
              </w:rPr>
              <w:t>Date: November 7, 2022</w:t>
            </w:r>
          </w:p>
        </w:tc>
        <w:tc>
          <w:tcPr>
            <w:tcW w:w="2300" w:type="dxa"/>
            <w:vAlign w:val="bottom"/>
          </w:tcPr>
          <w:p>
            <w:pPr>
              <w:ind w:left="18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Jean-Pierre Sommadossi, Ph.D.</w:t>
            </w:r>
          </w:p>
        </w:tc>
      </w:tr>
      <w:tr>
        <w:trPr>
          <w:trHeight w:val="164"/>
        </w:trPr>
        <w:tc>
          <w:tcPr>
            <w:tcW w:w="38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10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9"/>
              </w:rPr>
              <w:t>Jean-Pierre Sommadossi, Ph.D.</w:t>
            </w:r>
          </w:p>
        </w:tc>
      </w:tr>
      <w:tr>
        <w:trPr>
          <w:trHeight w:val="189"/>
        </w:trPr>
        <w:tc>
          <w:tcPr>
            <w:tcW w:w="38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1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President and Chief Executive Officer</w:t>
            </w:r>
          </w:p>
        </w:tc>
      </w:tr>
      <w:tr>
        <w:trPr>
          <w:trHeight w:val="247"/>
        </w:trPr>
        <w:tc>
          <w:tcPr>
            <w:tcW w:w="38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9"/>
              </w:rPr>
              <w:t>(principal executive officer)</w:t>
            </w:r>
          </w:p>
        </w:tc>
      </w:tr>
      <w:tr>
        <w:trPr>
          <w:trHeight w:val="393"/>
        </w:trPr>
        <w:tc>
          <w:tcPr>
            <w:tcW w:w="3820" w:type="dxa"/>
            <w:vAlign w:val="bottom"/>
          </w:tcPr>
          <w:p>
            <w:pPr>
              <w:spacing w:after="0"/>
              <w:rPr>
                <w:sz w:val="20"/>
                <w:szCs w:val="20"/>
                <w:color w:val="auto"/>
              </w:rPr>
            </w:pPr>
            <w:r>
              <w:rPr>
                <w:rFonts w:ascii="Arial" w:cs="Arial" w:eastAsia="Arial" w:hAnsi="Arial"/>
                <w:sz w:val="18"/>
                <w:szCs w:val="18"/>
                <w:color w:val="auto"/>
              </w:rPr>
              <w:t>Date: November 7, 2022</w:t>
            </w:r>
          </w:p>
        </w:tc>
        <w:tc>
          <w:tcPr>
            <w:tcW w:w="2300" w:type="dxa"/>
            <w:vAlign w:val="bottom"/>
          </w:tcPr>
          <w:p>
            <w:pPr>
              <w:ind w:left="18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Andrea Corcoran</w:t>
            </w:r>
          </w:p>
        </w:tc>
      </w:tr>
      <w:tr>
        <w:trPr>
          <w:trHeight w:val="182"/>
        </w:trPr>
        <w:tc>
          <w:tcPr>
            <w:tcW w:w="38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10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9"/>
              </w:rPr>
              <w:t>Andrea Corcoran</w:t>
            </w:r>
          </w:p>
        </w:tc>
      </w:tr>
    </w:tbl>
    <w:p>
      <w:pPr>
        <w:jc w:val="center"/>
        <w:ind w:left="6100"/>
        <w:spacing w:after="0" w:line="219" w:lineRule="auto"/>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6120"/>
        <w:spacing w:after="0" w:line="219" w:lineRule="auto"/>
        <w:rPr>
          <w:sz w:val="20"/>
          <w:szCs w:val="20"/>
          <w:color w:val="auto"/>
        </w:rPr>
      </w:pPr>
      <w:r>
        <w:rPr>
          <w:rFonts w:ascii="Arial" w:cs="Arial" w:eastAsia="Arial" w:hAnsi="Arial"/>
          <w:sz w:val="18"/>
          <w:szCs w:val="18"/>
          <w:b w:val="1"/>
          <w:bCs w:val="1"/>
          <w:color w:val="auto"/>
        </w:rPr>
        <w:t>Secretary</w:t>
      </w:r>
    </w:p>
    <w:p>
      <w:pPr>
        <w:jc w:val="center"/>
        <w:ind w:left="612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Jean-Pierre Sommadossi, certify that:</w:t>
      </w:r>
    </w:p>
    <w:p>
      <w:pPr>
        <w:spacing w:after="0" w:line="212"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Atea Pharmaceuticals, Inc.;</w:t>
      </w:r>
    </w:p>
    <w:p>
      <w:pPr>
        <w:spacing w:after="0" w:line="225"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8"/>
          <w:szCs w:val="18"/>
          <w:color w:val="auto"/>
        </w:rPr>
      </w:pPr>
    </w:p>
    <w:p>
      <w:pPr>
        <w:ind w:left="1020" w:right="60" w:hanging="479"/>
        <w:spacing w:after="0" w:line="261" w:lineRule="auto"/>
        <w:tabs>
          <w:tab w:leader="none" w:pos="93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ind w:left="1020" w:right="360" w:hanging="479"/>
        <w:spacing w:after="0" w:line="261" w:lineRule="auto"/>
        <w:tabs>
          <w:tab w:leader="none" w:pos="93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ind w:left="1020" w:right="260" w:hanging="479"/>
        <w:spacing w:after="0" w:line="261" w:lineRule="auto"/>
        <w:tabs>
          <w:tab w:leader="none" w:pos="935"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Arial" w:cs="Arial" w:eastAsia="Arial" w:hAnsi="Arial"/>
          <w:sz w:val="18"/>
          <w:szCs w:val="18"/>
          <w:color w:val="auto"/>
        </w:rPr>
      </w:pPr>
    </w:p>
    <w:p>
      <w:pPr>
        <w:ind w:left="1020" w:right="100" w:hanging="479"/>
        <w:spacing w:after="0" w:line="261" w:lineRule="auto"/>
        <w:tabs>
          <w:tab w:leader="none" w:pos="93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ind w:left="520" w:right="480" w:hanging="512"/>
        <w:spacing w:after="0" w:line="261"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1020" w:right="280" w:hanging="479"/>
        <w:spacing w:after="0" w:line="261" w:lineRule="auto"/>
        <w:tabs>
          <w:tab w:leader="none" w:pos="93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8"/>
          <w:szCs w:val="18"/>
          <w:color w:val="auto"/>
        </w:rPr>
      </w:pPr>
    </w:p>
    <w:p>
      <w:pPr>
        <w:ind w:left="1020" w:right="220" w:hanging="479"/>
        <w:spacing w:after="0" w:line="271" w:lineRule="auto"/>
        <w:tabs>
          <w:tab w:leader="none" w:pos="93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680" w:val="left"/>
          <w:tab w:leader="none" w:pos="758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Jean-Pierre Sommadossi</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Jean-Pierre Sommadossi,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-127635</wp:posOffset>
            </wp:positionV>
            <wp:extent cx="31800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ind w:left="7140"/>
        <w:spacing w:after="0" w:line="219" w:lineRule="auto"/>
        <w:rPr>
          <w:sz w:val="20"/>
          <w:szCs w:val="20"/>
          <w:color w:val="auto"/>
        </w:rPr>
      </w:pPr>
      <w:r>
        <w:rPr>
          <w:rFonts w:ascii="Arial" w:cs="Arial" w:eastAsia="Arial" w:hAnsi="Arial"/>
          <w:sz w:val="18"/>
          <w:szCs w:val="18"/>
          <w:b w:val="1"/>
          <w:bCs w:val="1"/>
          <w:color w:val="auto"/>
        </w:rPr>
        <w:t>President and Chief Executive Officer</w:t>
      </w:r>
    </w:p>
    <w:p>
      <w:pPr>
        <w:ind w:left="75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Andrea Corcoran, certify that:</w:t>
      </w:r>
    </w:p>
    <w:p>
      <w:pPr>
        <w:spacing w:after="0" w:line="225"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Atea Pharmaceuticals, Inc.;</w:t>
      </w:r>
    </w:p>
    <w:p>
      <w:pPr>
        <w:spacing w:after="0" w:line="211"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60" w:hanging="479"/>
        <w:spacing w:after="0" w:line="253" w:lineRule="auto"/>
        <w:tabs>
          <w:tab w:leader="none" w:pos="93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60" w:hanging="479"/>
        <w:spacing w:after="0" w:line="253" w:lineRule="auto"/>
        <w:tabs>
          <w:tab w:leader="none" w:pos="93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1020" w:right="260" w:hanging="479"/>
        <w:spacing w:after="0" w:line="253" w:lineRule="auto"/>
        <w:tabs>
          <w:tab w:leader="none" w:pos="935"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Arial" w:cs="Arial" w:eastAsia="Arial" w:hAnsi="Arial"/>
          <w:sz w:val="18"/>
          <w:szCs w:val="18"/>
          <w:color w:val="auto"/>
        </w:rPr>
      </w:pPr>
    </w:p>
    <w:p>
      <w:pPr>
        <w:ind w:left="1020" w:right="100" w:hanging="479"/>
        <w:spacing w:after="0" w:line="253" w:lineRule="auto"/>
        <w:tabs>
          <w:tab w:leader="none" w:pos="93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480" w:hanging="512"/>
        <w:spacing w:after="0" w:line="261"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1020" w:right="280" w:hanging="479"/>
        <w:spacing w:after="0" w:line="261" w:lineRule="auto"/>
        <w:tabs>
          <w:tab w:leader="none" w:pos="93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8"/>
          <w:szCs w:val="18"/>
          <w:color w:val="auto"/>
        </w:rPr>
      </w:pPr>
    </w:p>
    <w:p>
      <w:pPr>
        <w:ind w:left="1020" w:right="220" w:hanging="479"/>
        <w:spacing w:after="0" w:line="287" w:lineRule="auto"/>
        <w:tabs>
          <w:tab w:leader="none" w:pos="93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p>
      <w:pPr>
        <w:ind w:left="20"/>
        <w:spacing w:after="0"/>
        <w:tabs>
          <w:tab w:leader="none" w:pos="5640" w:val="left"/>
          <w:tab w:leader="none" w:pos="784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Andrea Corcoran</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100"/>
        <w:spacing w:after="0" w:line="219" w:lineRule="auto"/>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6060"/>
        <w:spacing w:after="0" w:line="219" w:lineRule="auto"/>
        <w:rPr>
          <w:sz w:val="20"/>
          <w:szCs w:val="20"/>
          <w:color w:val="auto"/>
        </w:rPr>
      </w:pPr>
      <w:r>
        <w:rPr>
          <w:rFonts w:ascii="Arial" w:cs="Arial" w:eastAsia="Arial" w:hAnsi="Arial"/>
          <w:sz w:val="18"/>
          <w:szCs w:val="18"/>
          <w:b w:val="1"/>
          <w:bCs w:val="1"/>
          <w:color w:val="auto"/>
        </w:rPr>
        <w:t>Secretary</w:t>
      </w:r>
    </w:p>
    <w:p>
      <w:pPr>
        <w:jc w:val="center"/>
        <w:ind w:left="60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00" w:firstLine="509"/>
        <w:spacing w:after="0" w:line="261" w:lineRule="auto"/>
        <w:rPr>
          <w:sz w:val="20"/>
          <w:szCs w:val="20"/>
          <w:color w:val="auto"/>
        </w:rPr>
      </w:pPr>
      <w:r>
        <w:rPr>
          <w:rFonts w:ascii="Arial" w:cs="Arial" w:eastAsia="Arial" w:hAnsi="Arial"/>
          <w:sz w:val="18"/>
          <w:szCs w:val="18"/>
          <w:color w:val="auto"/>
        </w:rPr>
        <w:t>In connection with the Quarterly Report on Form 10-Q of Atea Pharmaceuticals, Inc. (the “Company”) for the period ended September 30, 2022 as filed with the Securities and Exchange Commission on the date hereof (the “Report”), I certify, pursuant to 18 U.S.C. § 1350, as adopted pursuant to § 906 of the Sarbanes-Oxley Act of 2002, that, to the best of my knowledge:</w:t>
      </w:r>
    </w:p>
    <w:p>
      <w:pPr>
        <w:spacing w:after="0" w:line="162"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8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28" w:lineRule="exact"/>
        <w:rPr>
          <w:sz w:val="20"/>
          <w:szCs w:val="20"/>
          <w:color w:val="auto"/>
        </w:rPr>
      </w:pPr>
    </w:p>
    <w:p>
      <w:pPr>
        <w:ind w:left="20"/>
        <w:spacing w:after="0"/>
        <w:tabs>
          <w:tab w:leader="none" w:pos="5680" w:val="left"/>
          <w:tab w:leader="none" w:pos="726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Jean-Pierre Sommadossi, Ph.D.</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Jean-Pierre Sommadossi,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-127635</wp:posOffset>
            </wp:positionV>
            <wp:extent cx="32404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7080"/>
        <w:spacing w:after="0" w:line="219" w:lineRule="auto"/>
        <w:rPr>
          <w:sz w:val="20"/>
          <w:szCs w:val="20"/>
          <w:color w:val="auto"/>
        </w:rPr>
      </w:pPr>
      <w:r>
        <w:rPr>
          <w:rFonts w:ascii="Arial" w:cs="Arial" w:eastAsia="Arial" w:hAnsi="Arial"/>
          <w:sz w:val="18"/>
          <w:szCs w:val="18"/>
          <w:b w:val="1"/>
          <w:bCs w:val="1"/>
          <w:color w:val="auto"/>
        </w:rPr>
        <w:t>President and Chief Executive Officer</w:t>
      </w: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In connection with the Quarterly Report on Form 10-Q of Atea Pharmaceuticals, Inc. (the “Company”) for the period ended September 30, 2022 as filed with the Securities and Exchange Commission on the date hereof (the “Report”), I certify, pursuant to 18 U.S.C. § 1350, as adopted pursuant to § 906 of the Sarbanes-Oxley Act of 2002, that, to the best of my knowledge:</w:t>
      </w:r>
    </w:p>
    <w:p>
      <w:pPr>
        <w:spacing w:after="0" w:line="182"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p>
      <w:pPr>
        <w:ind w:left="20"/>
        <w:spacing w:after="0"/>
        <w:tabs>
          <w:tab w:leader="none" w:pos="5580" w:val="left"/>
          <w:tab w:leader="none" w:pos="780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Andrea Corcoran</w:t>
      </w:r>
    </w:p>
    <w:p>
      <w:pPr>
        <w:spacing w:after="0" w:line="23"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6060"/>
        <w:spacing w:after="0" w:line="219" w:lineRule="auto"/>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6000"/>
        <w:spacing w:after="0" w:line="219" w:lineRule="auto"/>
        <w:rPr>
          <w:sz w:val="20"/>
          <w:szCs w:val="20"/>
          <w:color w:val="auto"/>
        </w:rPr>
      </w:pPr>
      <w:r>
        <w:rPr>
          <w:rFonts w:ascii="Arial" w:cs="Arial" w:eastAsia="Arial" w:hAnsi="Arial"/>
          <w:sz w:val="18"/>
          <w:szCs w:val="18"/>
          <w:b w:val="1"/>
          <w:bCs w:val="1"/>
          <w:color w:val="auto"/>
        </w:rPr>
        <w:t>Secretary</w:t>
      </w: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3"/>
    </w:lvl>
  </w:abstractNum>
  <w:abstractNum w:abstractNumId="6">
    <w:nsid w:val="836C40E"/>
    <w:multiLevelType w:val="hybridMultilevel"/>
    <w:lvl w:ilvl="0">
      <w:lvlJc w:val="left"/>
      <w:lvlText w:val="%1."/>
      <w:numFmt w:val="decimal"/>
      <w:start w:val="9"/>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25" Type="http://schemas.openxmlformats.org/officeDocument/2006/relationships/hyperlink" Target="https://www.sec.gov/Archives/edgar/data/1593899/000119312520286850/d97355dex31.htm" TargetMode="External"/><Relationship Id="rId126" Type="http://schemas.openxmlformats.org/officeDocument/2006/relationships/hyperlink" Target="https://www.sec.gov/Archives/edgar/data/1593899/000119312520286850/d9735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2022-11-07T17:14:06Z</dcterms:created>
  <dcterms:modified xsi:type="dcterms:W3CDTF">2022-11-07T17:14:06Z</dcterms:modified>
</cp:coreProperties>
</file>