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3700" w:right="1540" w:hanging="3692"/>
        <w:spacing w:after="0" w:line="329" w:lineRule="auto"/>
        <w:tabs>
          <w:tab w:leader="none" w:pos="45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98" w:lineRule="exact"/>
        <w:rPr>
          <w:sz w:val="24"/>
          <w:szCs w:val="24"/>
          <w:color w:val="auto"/>
        </w:rPr>
      </w:pPr>
    </w:p>
    <w:p>
      <w:pPr>
        <w:ind w:left="2700" w:right="1540" w:hanging="2692"/>
        <w:spacing w:after="0" w:line="209" w:lineRule="auto"/>
        <w:tabs>
          <w:tab w:leader="none" w:pos="468"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_______________ to _______________</w:t>
      </w:r>
    </w:p>
    <w:p>
      <w:pPr>
        <w:spacing w:after="0" w:line="19" w:lineRule="exact"/>
        <w:rPr>
          <w:rFonts w:ascii="MS PGothic" w:cs="MS PGothic" w:eastAsia="MS PGothic" w:hAnsi="MS PGothic"/>
          <w:sz w:val="36"/>
          <w:szCs w:val="36"/>
          <w:color w:val="auto"/>
          <w:highlight w:val="black"/>
          <w:vertAlign w:val="superscript"/>
        </w:rPr>
      </w:pPr>
    </w:p>
    <w:p>
      <w:pPr>
        <w:ind w:left="406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Commission File Number: 001-39661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ATEA PHARMACEUTICALS,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46-0574869</w:t>
            </w:r>
          </w:p>
        </w:tc>
      </w:tr>
      <w:tr>
        <w:trPr>
          <w:trHeight w:val="135"/>
        </w:trPr>
        <w:tc>
          <w:tcPr>
            <w:tcW w:w="2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4940" w:type="dxa"/>
            <w:vAlign w:val="bottom"/>
          </w:tcPr>
          <w:p>
            <w:pPr>
              <w:jc w:val="center"/>
              <w:ind w:left="3805"/>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34"/>
        </w:trPr>
        <w:tc>
          <w:tcPr>
            <w:tcW w:w="23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incorporation or organization)</w:t>
            </w:r>
          </w:p>
        </w:tc>
        <w:tc>
          <w:tcPr>
            <w:tcW w:w="4940" w:type="dxa"/>
            <w:vAlign w:val="bottom"/>
          </w:tcPr>
          <w:p>
            <w:pPr>
              <w:jc w:val="center"/>
              <w:ind w:left="3805"/>
              <w:spacing w:after="0" w:line="134" w:lineRule="exact"/>
              <w:rPr>
                <w:sz w:val="20"/>
                <w:szCs w:val="20"/>
                <w:color w:val="auto"/>
              </w:rPr>
            </w:pPr>
            <w:r>
              <w:rPr>
                <w:rFonts w:ascii="Arial" w:cs="Arial" w:eastAsia="Arial" w:hAnsi="Arial"/>
                <w:sz w:val="13"/>
                <w:szCs w:val="13"/>
                <w:b w:val="1"/>
                <w:bCs w:val="1"/>
                <w:color w:val="auto"/>
                <w:w w:val="96"/>
              </w:rPr>
              <w:t>Identification No.)</w:t>
            </w:r>
          </w:p>
        </w:tc>
      </w:tr>
      <w:tr>
        <w:trPr>
          <w:trHeight w:val="203"/>
        </w:trPr>
        <w:tc>
          <w:tcPr>
            <w:tcW w:w="2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125 Summer Street</w:t>
            </w:r>
          </w:p>
        </w:tc>
        <w:tc>
          <w:tcPr>
            <w:tcW w:w="4940" w:type="dxa"/>
            <w:vAlign w:val="bottom"/>
          </w:tcPr>
          <w:p>
            <w:pPr>
              <w:spacing w:after="0"/>
              <w:rPr>
                <w:sz w:val="17"/>
                <w:szCs w:val="17"/>
                <w:color w:val="auto"/>
              </w:rPr>
            </w:pPr>
          </w:p>
        </w:tc>
      </w:tr>
      <w:tr>
        <w:trPr>
          <w:trHeight w:val="203"/>
        </w:trPr>
        <w:tc>
          <w:tcPr>
            <w:tcW w:w="238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9"/>
              </w:rPr>
              <w:t>Boston, MA</w:t>
            </w:r>
          </w:p>
        </w:tc>
        <w:tc>
          <w:tcPr>
            <w:tcW w:w="4940" w:type="dxa"/>
            <w:vAlign w:val="bottom"/>
          </w:tcPr>
          <w:p>
            <w:pPr>
              <w:jc w:val="right"/>
              <w:ind w:right="205"/>
              <w:spacing w:after="0" w:line="203" w:lineRule="exact"/>
              <w:rPr>
                <w:sz w:val="20"/>
                <w:szCs w:val="20"/>
                <w:color w:val="auto"/>
              </w:rPr>
            </w:pPr>
            <w:r>
              <w:rPr>
                <w:rFonts w:ascii="Arial" w:cs="Arial" w:eastAsia="Arial" w:hAnsi="Arial"/>
                <w:sz w:val="18"/>
                <w:szCs w:val="18"/>
                <w:b w:val="1"/>
                <w:bCs w:val="1"/>
                <w:color w:val="auto"/>
              </w:rPr>
              <w:t>02110</w:t>
            </w:r>
          </w:p>
        </w:tc>
      </w:tr>
      <w:tr>
        <w:trPr>
          <w:trHeight w:val="168"/>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4940" w:type="dxa"/>
            <w:vAlign w:val="bottom"/>
          </w:tcPr>
          <w:p>
            <w:pPr>
              <w:jc w:val="center"/>
              <w:ind w:left="3805"/>
              <w:spacing w:after="0"/>
              <w:rPr>
                <w:sz w:val="20"/>
                <w:szCs w:val="20"/>
                <w:color w:val="auto"/>
              </w:rPr>
            </w:pPr>
            <w:r>
              <w:rPr>
                <w:rFonts w:ascii="Arial" w:cs="Arial" w:eastAsia="Arial" w:hAnsi="Arial"/>
                <w:sz w:val="13"/>
                <w:szCs w:val="13"/>
                <w:b w:val="1"/>
                <w:bCs w:val="1"/>
                <w:color w:val="auto"/>
                <w:w w:val="96"/>
              </w:rPr>
              <w:t>(Zip Code)</w:t>
            </w:r>
          </w:p>
        </w:tc>
      </w:tr>
      <w:tr>
        <w:trPr>
          <w:trHeight w:val="237"/>
        </w:trPr>
        <w:tc>
          <w:tcPr>
            <w:tcW w:w="2380" w:type="dxa"/>
            <w:vAlign w:val="bottom"/>
          </w:tcPr>
          <w:p>
            <w:pPr>
              <w:spacing w:after="0"/>
              <w:rPr>
                <w:sz w:val="20"/>
                <w:szCs w:val="20"/>
                <w:color w:val="auto"/>
              </w:rPr>
            </w:pPr>
          </w:p>
        </w:tc>
        <w:tc>
          <w:tcPr>
            <w:tcW w:w="4940" w:type="dxa"/>
            <w:vAlign w:val="bottom"/>
          </w:tcPr>
          <w:p>
            <w:pPr>
              <w:jc w:val="right"/>
              <w:ind w:right="2645"/>
              <w:spacing w:after="0"/>
              <w:rPr>
                <w:sz w:val="20"/>
                <w:szCs w:val="20"/>
                <w:color w:val="auto"/>
              </w:rPr>
            </w:pPr>
            <w:r>
              <w:rPr>
                <w:rFonts w:ascii="Arial" w:cs="Arial" w:eastAsia="Arial" w:hAnsi="Arial"/>
                <w:sz w:val="18"/>
                <w:szCs w:val="18"/>
                <w:b w:val="1"/>
                <w:bCs w:val="1"/>
                <w:color w:val="auto"/>
              </w:rPr>
              <w:t>(857) 284-8891</w:t>
            </w:r>
          </w:p>
        </w:tc>
      </w:tr>
      <w:tr>
        <w:trPr>
          <w:trHeight w:val="168"/>
        </w:trPr>
        <w:tc>
          <w:tcPr>
            <w:tcW w:w="2380" w:type="dxa"/>
            <w:vAlign w:val="bottom"/>
          </w:tcPr>
          <w:p>
            <w:pPr>
              <w:spacing w:after="0"/>
              <w:rPr>
                <w:sz w:val="14"/>
                <w:szCs w:val="14"/>
                <w:color w:val="auto"/>
              </w:rPr>
            </w:pPr>
          </w:p>
        </w:tc>
        <w:tc>
          <w:tcPr>
            <w:tcW w:w="4940" w:type="dxa"/>
            <w:vAlign w:val="bottom"/>
          </w:tcPr>
          <w:p>
            <w:pPr>
              <w:jc w:val="center"/>
              <w:ind w:right="1645"/>
              <w:spacing w:after="0"/>
              <w:rPr>
                <w:sz w:val="20"/>
                <w:szCs w:val="20"/>
                <w:color w:val="auto"/>
              </w:rPr>
            </w:pPr>
            <w:r>
              <w:rPr>
                <w:rFonts w:ascii="Arial" w:cs="Arial" w:eastAsia="Arial" w:hAnsi="Arial"/>
                <w:sz w:val="13"/>
                <w:szCs w:val="13"/>
                <w:b w:val="1"/>
                <w:bCs w:val="1"/>
                <w:color w:val="auto"/>
                <w:w w:val="96"/>
              </w:rPr>
              <w:t>(Registrant’s telephone number, including area code)</w:t>
            </w:r>
          </w:p>
        </w:tc>
      </w:tr>
    </w:tbl>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45720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4480" w:type="dxa"/>
            <w:vAlign w:val="bottom"/>
          </w:tcPr>
          <w:p>
            <w:pPr>
              <w:spacing w:after="0"/>
              <w:rPr>
                <w:sz w:val="14"/>
                <w:szCs w:val="14"/>
                <w:color w:val="auto"/>
              </w:rPr>
            </w:pPr>
          </w:p>
        </w:tc>
      </w:tr>
      <w:tr>
        <w:trPr>
          <w:trHeight w:val="175"/>
        </w:trPr>
        <w:tc>
          <w:tcPr>
            <w:tcW w:w="450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4620" w:type="dxa"/>
            <w:vAlign w:val="bottom"/>
            <w:gridSpan w:val="2"/>
          </w:tcPr>
          <w:p>
            <w:pPr>
              <w:spacing w:after="0"/>
              <w:rPr>
                <w:sz w:val="20"/>
                <w:szCs w:val="20"/>
                <w:color w:val="auto"/>
              </w:rPr>
            </w:pPr>
            <w:r>
              <w:rPr>
                <w:rFonts w:ascii="Arial" w:cs="Arial" w:eastAsia="Arial" w:hAnsi="Arial"/>
                <w:sz w:val="16"/>
                <w:szCs w:val="16"/>
                <w:color w:val="auto"/>
              </w:rPr>
              <w:t>Common Stock, $0.001 par value per share</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AVIR</w:t>
            </w: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62" w:lineRule="exact"/>
        <w:rPr>
          <w:sz w:val="24"/>
          <w:szCs w:val="24"/>
          <w:color w:val="auto"/>
        </w:rPr>
      </w:pPr>
    </w:p>
    <w:p>
      <w:pPr>
        <w:ind w:right="120" w:firstLine="59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ind w:right="40" w:firstLine="599"/>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184" w:lineRule="exact"/>
        <w:tabs>
          <w:tab w:leader="none" w:pos="8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6" w:lineRule="exact"/>
        <w:rPr>
          <w:sz w:val="24"/>
          <w:szCs w:val="24"/>
          <w:color w:val="auto"/>
        </w:rPr>
      </w:pPr>
    </w:p>
    <w:p>
      <w:pPr>
        <w:ind w:right="120" w:firstLine="599"/>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2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7" w:lineRule="exact"/>
        <w:rPr>
          <w:sz w:val="24"/>
          <w:szCs w:val="24"/>
          <w:color w:val="auto"/>
        </w:rPr>
      </w:pPr>
    </w:p>
    <w:p>
      <w:pPr>
        <w:jc w:val="both"/>
        <w:ind w:right="60" w:firstLine="599"/>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4"/>
          <w:szCs w:val="24"/>
          <w:color w:val="auto"/>
        </w:rPr>
      </w:pPr>
    </w:p>
    <w:p>
      <w:pPr>
        <w:ind w:left="600" w:right="120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10, 2021, the registrant had 82,776,937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Quarterly Report on Form 10-Q contains forward-looking statements. We make such forward-looking statements pursuant to the safe harbor provisions of the Private Securities Litigation Reform Act of 1995 and other federal securities laws. Forward-looking statements are neither historical facts nor assurances of future performance. Instead, they are based on our current beliefs, expectations and assumptions regarding the future of our business, future plans and strategies, our clinical results and other future conditions. The words “aim,” “anticipate,” “believe,” “contemplate,” “continue,” “could,” “estimate,” “expect,” “goal,” “intend,” “may,” "on track," “plan,” “possible,” “potential,” “predict,” “project,” “seek,” “should,” “target,” “will,” “would” or the negative of these terms or other similar expressions are intended to identify forward-looking statements, although not all forward-looking statements contain these identifying words.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117" w:lineRule="exact"/>
        <w:rPr>
          <w:sz w:val="20"/>
          <w:szCs w:val="20"/>
          <w:color w:val="auto"/>
        </w:rPr>
      </w:pPr>
    </w:p>
    <w:p>
      <w:pPr>
        <w:ind w:left="740" w:right="600" w:hanging="368"/>
        <w:spacing w:after="0" w:line="234" w:lineRule="auto"/>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expectations relating to clinical trials for our product candidates, including projected costs, study designs or the timing for initiation, recruitment, completion, or reporting top-line data;</w:t>
      </w:r>
    </w:p>
    <w:p>
      <w:pPr>
        <w:spacing w:after="0" w:line="1"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2E2E2E"/>
        </w:rPr>
        <w:t>the potential therapeutic benefits of our product candidates and the potential indications and market opportunities therefor;</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2E2E2E"/>
        </w:rPr>
        <w:t>the safety profile and related adverse events of our product candidates;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plans to research, develop and commercialize our current and future product candidates;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the potential benefits of our collaboration with Roche or any future collaboration we may enter into with Roche or others;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the timing of and our ability to obtain and maintain regulatory approvals for our product candidates;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the rate and degree of market acceptance and clinical utility of any products for which we may receive marketing approval;</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estimates regarding future revenue, expenses and results of operations;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the progress of, timing of and amount of expenses associated with our research, development and commercialization activities;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future financial position, capital requirements and needs for additional financing;</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business strategy;</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developments relating to our competitors, competing treatments and vaccines and our industry;</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auto"/>
        </w:rPr>
        <w:t>our expectations regarding federal, state and foreign laws and regulations;</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2E2E2E"/>
        </w:rPr>
      </w:pPr>
      <w:r>
        <w:rPr>
          <w:rFonts w:ascii="Arial" w:cs="Arial" w:eastAsia="Arial" w:hAnsi="Arial"/>
          <w:sz w:val="18"/>
          <w:szCs w:val="18"/>
          <w:color w:val="2E2E2E"/>
        </w:rPr>
        <w:t>our ability to attract, motivate, and retain key personnel; and</w:t>
      </w:r>
    </w:p>
    <w:p>
      <w:pPr>
        <w:spacing w:after="0" w:line="9" w:lineRule="exact"/>
        <w:rPr>
          <w:rFonts w:ascii="Arial" w:cs="Arial" w:eastAsia="Arial" w:hAnsi="Arial"/>
          <w:sz w:val="18"/>
          <w:szCs w:val="18"/>
          <w:color w:val="2E2E2E"/>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our preclinical studies and clinical trials.</w:t>
      </w:r>
    </w:p>
    <w:p>
      <w:pPr>
        <w:spacing w:after="0" w:line="13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the initiation, execution and completion of clinical trials, uncertainties surrounding the timing of availability of data from our clinical trials, ongoing discussions with and actions by regulatory authorities, our development activities and those other factors we discuss in Part II, Item 1A. “Risk Factors.” You should read these factors and the other cautionary statements made in this report as being applicable to all related forward-looking statements wherever they appear in this report. These risk factors are not exhaustive and other sections of this report may include additional factors which could adversely impact our business and financial performance.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1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used in this Quarterly Report on Form 10-Q, unless otherwise specified or the context otherwise requires, the terms “we,” “our,” “us,” the “Company” refer to Atea Pharmaceuticals, Inc. and its subsidiary. All brand names or trademarks appearing in this Quarterly Report on Form 10-Q are the property of their respective owners.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SUMMARY RISK FACTORS</w:t>
      </w:r>
    </w:p>
    <w:p>
      <w:pPr>
        <w:spacing w:after="0" w:line="13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The principal risks and uncertainties affecting our business include the following:</w:t>
      </w:r>
    </w:p>
    <w:p>
      <w:pPr>
        <w:spacing w:after="0" w:line="102"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There is significant uncertainty around our development of AT-527 as a potential treatment for COVID-19.</w:t>
      </w:r>
    </w:p>
    <w:p>
      <w:pPr>
        <w:spacing w:after="0" w:line="117" w:lineRule="exact"/>
        <w:rPr>
          <w:rFonts w:ascii="Arial" w:cs="Arial" w:eastAsia="Arial" w:hAnsi="Arial"/>
          <w:sz w:val="18"/>
          <w:szCs w:val="18"/>
          <w:color w:val="2E2E2E"/>
        </w:rPr>
      </w:pPr>
    </w:p>
    <w:p>
      <w:pPr>
        <w:ind w:left="74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are highly dependent on our management, directors and other key personnel.</w:t>
      </w:r>
    </w:p>
    <w:p>
      <w:pPr>
        <w:spacing w:after="0" w:line="117" w:lineRule="exact"/>
        <w:rPr>
          <w:rFonts w:ascii="Arial" w:cs="Arial" w:eastAsia="Arial" w:hAnsi="Arial"/>
          <w:sz w:val="18"/>
          <w:szCs w:val="18"/>
          <w:color w:val="2E2E2E"/>
        </w:rPr>
      </w:pPr>
    </w:p>
    <w:p>
      <w:pPr>
        <w:ind w:left="740" w:right="20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may expend resources in anticipation of potential clinical trials and commercialization of AT-527, which we may not be able to recover if AT-527 is not approved for the treatment of COVID-19 or we are not successful at commercializing AT-527.</w:t>
      </w:r>
    </w:p>
    <w:p>
      <w:pPr>
        <w:spacing w:after="0" w:line="88" w:lineRule="exact"/>
        <w:rPr>
          <w:rFonts w:ascii="Arial" w:cs="Arial" w:eastAsia="Arial" w:hAnsi="Arial"/>
          <w:sz w:val="18"/>
          <w:szCs w:val="18"/>
          <w:color w:val="2E2E2E"/>
        </w:rPr>
      </w:pPr>
    </w:p>
    <w:p>
      <w:pPr>
        <w:ind w:left="740" w:right="26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 market for therapeutics for the treatment of COVID-19 may be reduced, perhaps significantly, as uptake of vaccines that are effective in providing immunity continues to increase.</w:t>
      </w:r>
    </w:p>
    <w:p>
      <w:pPr>
        <w:spacing w:after="0" w:line="88" w:lineRule="exact"/>
        <w:rPr>
          <w:rFonts w:ascii="Arial" w:cs="Arial" w:eastAsia="Arial" w:hAnsi="Arial"/>
          <w:sz w:val="18"/>
          <w:szCs w:val="18"/>
          <w:color w:val="2E2E2E"/>
        </w:rPr>
      </w:pPr>
    </w:p>
    <w:p>
      <w:pPr>
        <w:ind w:left="74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AT-527 may face significant competition from other treatments for COVID-19 that are currently marketed or are in development.</w:t>
      </w:r>
    </w:p>
    <w:p>
      <w:pPr>
        <w:spacing w:after="0" w:line="117" w:lineRule="exact"/>
        <w:rPr>
          <w:rFonts w:ascii="Arial" w:cs="Arial" w:eastAsia="Arial" w:hAnsi="Arial"/>
          <w:sz w:val="18"/>
          <w:szCs w:val="18"/>
          <w:color w:val="2E2E2E"/>
        </w:rPr>
      </w:pPr>
    </w:p>
    <w:p>
      <w:pPr>
        <w:ind w:left="740" w:right="10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 COVID-19 pandemic continues to rapidly evolve and may materially and adversely affect our other business opportunities and financial results.</w:t>
      </w:r>
    </w:p>
    <w:p>
      <w:pPr>
        <w:spacing w:after="0" w:line="88" w:lineRule="exact"/>
        <w:rPr>
          <w:rFonts w:ascii="Arial" w:cs="Arial" w:eastAsia="Arial" w:hAnsi="Arial"/>
          <w:sz w:val="18"/>
          <w:szCs w:val="18"/>
          <w:color w:val="2E2E2E"/>
        </w:rPr>
      </w:pPr>
    </w:p>
    <w:p>
      <w:pPr>
        <w:ind w:left="740" w:right="180" w:hanging="368"/>
        <w:spacing w:after="0" w:line="274" w:lineRule="auto"/>
        <w:tabs>
          <w:tab w:leader="none" w:pos="740" w:val="left"/>
        </w:tabs>
        <w:numPr>
          <w:ilvl w:val="0"/>
          <w:numId w:val="4"/>
        </w:numPr>
        <w:rPr>
          <w:rFonts w:ascii="Arial" w:cs="Arial" w:eastAsia="Arial" w:hAnsi="Arial"/>
          <w:sz w:val="17"/>
          <w:szCs w:val="17"/>
          <w:color w:val="2E2E2E"/>
        </w:rPr>
      </w:pPr>
      <w:r>
        <w:rPr>
          <w:rFonts w:ascii="Arial" w:cs="Arial" w:eastAsia="Arial" w:hAnsi="Arial"/>
          <w:sz w:val="17"/>
          <w:szCs w:val="17"/>
          <w:color w:val="auto"/>
        </w:rPr>
        <w:t>We have a limited operating history and no history of successfully developing or commercializing any approved antiviral products, which may make it difficult to evaluate the success of our business to date and to assess the prospects for our future viability.</w:t>
      </w:r>
    </w:p>
    <w:p>
      <w:pPr>
        <w:spacing w:after="0" w:line="66" w:lineRule="exact"/>
        <w:rPr>
          <w:rFonts w:ascii="Arial" w:cs="Arial" w:eastAsia="Arial" w:hAnsi="Arial"/>
          <w:sz w:val="17"/>
          <w:szCs w:val="17"/>
          <w:color w:val="2E2E2E"/>
        </w:rPr>
      </w:pPr>
    </w:p>
    <w:p>
      <w:pPr>
        <w:ind w:left="740" w:right="18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have incurred significant losses since inception. We expect our expenditures will increase for the foreseeable future. We have no products that have generated any commercial revenue and we may never achieve or maintain sustainable profitability.</w:t>
      </w:r>
    </w:p>
    <w:p>
      <w:pPr>
        <w:spacing w:after="0" w:line="88" w:lineRule="exact"/>
        <w:rPr>
          <w:rFonts w:ascii="Arial" w:cs="Arial" w:eastAsia="Arial" w:hAnsi="Arial"/>
          <w:sz w:val="18"/>
          <w:szCs w:val="18"/>
          <w:color w:val="2E2E2E"/>
        </w:rPr>
      </w:pPr>
    </w:p>
    <w:p>
      <w:pPr>
        <w:jc w:val="both"/>
        <w:ind w:left="740" w:right="28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94" w:lineRule="exact"/>
        <w:rPr>
          <w:rFonts w:ascii="Arial" w:cs="Arial" w:eastAsia="Arial" w:hAnsi="Arial"/>
          <w:sz w:val="18"/>
          <w:szCs w:val="18"/>
          <w:color w:val="2E2E2E"/>
        </w:rPr>
      </w:pPr>
    </w:p>
    <w:p>
      <w:pPr>
        <w:ind w:left="740" w:right="38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Our ability to use our net operating loss carryforwards and other tax attributes to offset future taxable income may be subject to certain limitations.</w:t>
      </w:r>
    </w:p>
    <w:p>
      <w:pPr>
        <w:spacing w:after="0" w:line="88" w:lineRule="exact"/>
        <w:rPr>
          <w:rFonts w:ascii="Arial" w:cs="Arial" w:eastAsia="Arial" w:hAnsi="Arial"/>
          <w:sz w:val="18"/>
          <w:szCs w:val="18"/>
          <w:color w:val="2E2E2E"/>
        </w:rPr>
      </w:pPr>
    </w:p>
    <w:p>
      <w:pPr>
        <w:ind w:left="740" w:right="28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Our business is highly dependent on the success of our most advanced product candidates. If these product candidates fail in preclinical or clinical development, do not receive regulatory approval or are not successfully commercialized, or are significantly delayed in doing so, our business will be harmed.</w:t>
      </w:r>
    </w:p>
    <w:p>
      <w:pPr>
        <w:spacing w:after="0" w:line="94" w:lineRule="exact"/>
        <w:rPr>
          <w:rFonts w:ascii="Arial" w:cs="Arial" w:eastAsia="Arial" w:hAnsi="Arial"/>
          <w:sz w:val="18"/>
          <w:szCs w:val="18"/>
          <w:color w:val="2E2E2E"/>
        </w:rPr>
      </w:pPr>
    </w:p>
    <w:p>
      <w:pPr>
        <w:ind w:left="740" w:right="40" w:hanging="368"/>
        <w:spacing w:after="0" w:line="237"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The regulatory approval processes of the U.S. Food and Drug Administration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 Even if we complete the necessary preclinical studies and clinical trials, the marketing approval process is expensive, time-consuming and uncertain and may prevent us, our current collaboration partner, Roche, or any future collaboration partners from obtaining approvals for the commercialization of any product candidate we develop.</w:t>
      </w:r>
    </w:p>
    <w:p>
      <w:pPr>
        <w:spacing w:after="0" w:line="96" w:lineRule="exact"/>
        <w:rPr>
          <w:rFonts w:ascii="Arial" w:cs="Arial" w:eastAsia="Arial" w:hAnsi="Arial"/>
          <w:sz w:val="18"/>
          <w:szCs w:val="18"/>
          <w:color w:val="2E2E2E"/>
        </w:rPr>
      </w:pPr>
    </w:p>
    <w:p>
      <w:pPr>
        <w:ind w:left="740" w:right="22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Clinical development is lengthy and uncertain. We may encounter substantial delays and costs in our clinical trials, or may not be able to conduct or complete our clinical trials on the timelines we expect, if at all.</w:t>
      </w:r>
    </w:p>
    <w:p>
      <w:pPr>
        <w:spacing w:after="0" w:line="88" w:lineRule="exact"/>
        <w:rPr>
          <w:rFonts w:ascii="Arial" w:cs="Arial" w:eastAsia="Arial" w:hAnsi="Arial"/>
          <w:sz w:val="18"/>
          <w:szCs w:val="18"/>
          <w:color w:val="2E2E2E"/>
        </w:rPr>
      </w:pPr>
    </w:p>
    <w:p>
      <w:pPr>
        <w:ind w:left="740" w:hanging="368"/>
        <w:spacing w:after="0"/>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94" w:lineRule="exact"/>
        <w:rPr>
          <w:rFonts w:ascii="Arial" w:cs="Arial" w:eastAsia="Arial" w:hAnsi="Arial"/>
          <w:sz w:val="18"/>
          <w:szCs w:val="18"/>
          <w:color w:val="2E2E2E"/>
        </w:rPr>
      </w:pPr>
    </w:p>
    <w:p>
      <w:pPr>
        <w:ind w:left="740" w:right="30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We currently conduct clinical trials, and may in the future choose to conduct additional clinical trials, of our product candidates in sites outside the United States, and the FDA may not accept data from trials conducted in foreign locations.</w:t>
      </w:r>
    </w:p>
    <w:p>
      <w:pPr>
        <w:spacing w:after="0" w:line="88" w:lineRule="exact"/>
        <w:rPr>
          <w:rFonts w:ascii="Arial" w:cs="Arial" w:eastAsia="Arial" w:hAnsi="Arial"/>
          <w:sz w:val="18"/>
          <w:szCs w:val="18"/>
          <w:color w:val="2E2E2E"/>
        </w:rPr>
      </w:pPr>
    </w:p>
    <w:p>
      <w:pPr>
        <w:ind w:left="740" w:right="40" w:hanging="368"/>
        <w:spacing w:after="0" w:line="246" w:lineRule="auto"/>
        <w:tabs>
          <w:tab w:leader="none" w:pos="740" w:val="left"/>
        </w:tabs>
        <w:numPr>
          <w:ilvl w:val="0"/>
          <w:numId w:val="4"/>
        </w:numPr>
        <w:rPr>
          <w:rFonts w:ascii="Arial" w:cs="Arial" w:eastAsia="Arial" w:hAnsi="Arial"/>
          <w:sz w:val="18"/>
          <w:szCs w:val="18"/>
          <w:color w:val="2E2E2E"/>
        </w:rPr>
      </w:pPr>
      <w:r>
        <w:rPr>
          <w:rFonts w:ascii="Arial" w:cs="Arial" w:eastAsia="Arial" w:hAnsi="Arial"/>
          <w:sz w:val="18"/>
          <w:szCs w:val="18"/>
          <w:color w:val="auto"/>
        </w:rPr>
        <w:t>Interim, topline and preliminary data from our clinical trials that we announce or publish from time to time may change as more data become available and are subject to audit and verification procedures that could result in material changes in the final data.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may not be successful in our efforts to identify and successfully develop additional product candidates.</w:t>
      </w:r>
    </w:p>
    <w:p>
      <w:pPr>
        <w:spacing w:after="0" w:line="116" w:lineRule="exact"/>
        <w:rPr>
          <w:rFonts w:ascii="Arial" w:cs="Arial" w:eastAsia="Arial" w:hAnsi="Arial"/>
          <w:sz w:val="18"/>
          <w:szCs w:val="18"/>
          <w:color w:val="2E2E2E"/>
        </w:rPr>
      </w:pPr>
    </w:p>
    <w:p>
      <w:pPr>
        <w:ind w:left="368" w:right="10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healthcare laws and other legal compliance matters may materially and adversely affect our business and financial results.</w:t>
      </w:r>
    </w:p>
    <w:p>
      <w:pPr>
        <w:spacing w:after="0" w:line="88"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commercialization may materially and adversely affect our business and financial results.</w:t>
      </w:r>
    </w:p>
    <w:p>
      <w:pPr>
        <w:spacing w:after="0" w:line="117" w:lineRule="exact"/>
        <w:rPr>
          <w:rFonts w:ascii="Arial" w:cs="Arial" w:eastAsia="Arial" w:hAnsi="Arial"/>
          <w:sz w:val="18"/>
          <w:szCs w:val="18"/>
          <w:color w:val="2E2E2E"/>
        </w:rPr>
      </w:pPr>
    </w:p>
    <w:p>
      <w:pPr>
        <w:ind w:left="368" w:right="12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manufacturing and our dependence on third parties may materially and adversely affect our business and financial results.</w:t>
      </w:r>
    </w:p>
    <w:p>
      <w:pPr>
        <w:spacing w:after="0" w:line="88" w:lineRule="exact"/>
        <w:rPr>
          <w:rFonts w:ascii="Arial" w:cs="Arial" w:eastAsia="Arial" w:hAnsi="Arial"/>
          <w:sz w:val="18"/>
          <w:szCs w:val="18"/>
          <w:color w:val="2E2E2E"/>
        </w:rPr>
      </w:pPr>
    </w:p>
    <w:p>
      <w:pPr>
        <w:ind w:left="368" w:hanging="368"/>
        <w:spacing w:after="0" w:line="238"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intellectual property may materially and adversely affect our business and financial results, including 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94"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have only a limited number of employees which may be inadequate to manage and operate our business.</w:t>
      </w:r>
    </w:p>
    <w:p>
      <w:pPr>
        <w:spacing w:after="0" w:line="117"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Our business and operations would suffer in the event of system failures, deficiencies or intrusions.</w:t>
      </w:r>
    </w:p>
    <w:p>
      <w:pPr>
        <w:spacing w:after="0" w:line="117" w:lineRule="exact"/>
        <w:rPr>
          <w:rFonts w:ascii="Arial" w:cs="Arial" w:eastAsia="Arial" w:hAnsi="Arial"/>
          <w:sz w:val="18"/>
          <w:szCs w:val="18"/>
          <w:color w:val="2E2E2E"/>
        </w:rPr>
      </w:pPr>
    </w:p>
    <w:p>
      <w:pPr>
        <w:ind w:left="368" w:right="56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will need to expand our organization, and we may experience difficulties in managing this growth, which could disrupt our operations.</w:t>
      </w:r>
    </w:p>
    <w:p>
      <w:pPr>
        <w:spacing w:after="0" w:line="88" w:lineRule="exact"/>
        <w:rPr>
          <w:rFonts w:ascii="Arial" w:cs="Arial" w:eastAsia="Arial" w:hAnsi="Arial"/>
          <w:sz w:val="18"/>
          <w:szCs w:val="18"/>
          <w:color w:val="2E2E2E"/>
        </w:rPr>
      </w:pPr>
    </w:p>
    <w:p>
      <w:pPr>
        <w:ind w:left="368" w:right="10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may engage in acquisitions or strategic partnerships that could disrupt our business, cause dilution to our stockholders, reduce our financial resources, cause us to incur debt or assume contingent liabilities, and subject us to other risks.</w:t>
      </w:r>
    </w:p>
    <w:p>
      <w:pPr>
        <w:spacing w:after="0" w:line="88"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or the third parties upon whom we depend may be adversely affected by natural disasters or other unforeseen events resulting in business interruptions and our business continuity and disaster recovery plans may not adequately protect us from such business interruptions.</w:t>
      </w:r>
    </w:p>
    <w:p>
      <w:pPr>
        <w:spacing w:after="0" w:line="94"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Litigation against us could be costly and time-consuming to defend and could result in additional liabilities.</w:t>
      </w:r>
    </w:p>
    <w:p>
      <w:pPr>
        <w:spacing w:after="0" w:line="117" w:lineRule="exact"/>
        <w:rPr>
          <w:rFonts w:ascii="Arial" w:cs="Arial" w:eastAsia="Arial" w:hAnsi="Arial"/>
          <w:sz w:val="18"/>
          <w:szCs w:val="18"/>
          <w:color w:val="2E2E2E"/>
        </w:rPr>
      </w:pPr>
    </w:p>
    <w:p>
      <w:pPr>
        <w:ind w:left="368" w:right="80" w:hanging="368"/>
        <w:spacing w:after="0" w:line="246" w:lineRule="auto"/>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Unstable market and economic conditions may have serious adverse consequences on our business, financial condition and share price.</w:t>
      </w:r>
    </w:p>
    <w:p>
      <w:pPr>
        <w:spacing w:after="0" w:line="88"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Risks related to our common stock may materially and adversely affect our stock price.</w:t>
      </w:r>
    </w:p>
    <w:p>
      <w:pPr>
        <w:spacing w:after="0" w:line="117"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94" w:lineRule="exact"/>
        <w:rPr>
          <w:rFonts w:ascii="Arial" w:cs="Arial" w:eastAsia="Arial" w:hAnsi="Arial"/>
          <w:sz w:val="18"/>
          <w:szCs w:val="18"/>
          <w:color w:val="2E2E2E"/>
        </w:rPr>
      </w:pPr>
    </w:p>
    <w:p>
      <w:pPr>
        <w:ind w:left="368" w:hanging="368"/>
        <w:spacing w:after="0"/>
        <w:tabs>
          <w:tab w:leader="none" w:pos="368" w:val="left"/>
        </w:tabs>
        <w:numPr>
          <w:ilvl w:val="0"/>
          <w:numId w:val="5"/>
        </w:numPr>
        <w:rPr>
          <w:rFonts w:ascii="Arial" w:cs="Arial" w:eastAsia="Arial" w:hAnsi="Arial"/>
          <w:sz w:val="18"/>
          <w:szCs w:val="18"/>
          <w:color w:val="2E2E2E"/>
        </w:rPr>
      </w:pPr>
      <w:r>
        <w:rPr>
          <w:rFonts w:ascii="Arial" w:cs="Arial" w:eastAsia="Arial" w:hAnsi="Arial"/>
          <w:sz w:val="18"/>
          <w:szCs w:val="18"/>
          <w:color w:val="auto"/>
        </w:rPr>
        <w:t>We could be subject to securities class action litigation.</w:t>
      </w:r>
    </w:p>
    <w:p>
      <w:pPr>
        <w:spacing w:after="0" w:line="200" w:lineRule="exact"/>
        <w:rPr>
          <w:sz w:val="20"/>
          <w:szCs w:val="20"/>
          <w:color w:val="auto"/>
        </w:rPr>
      </w:pPr>
    </w:p>
    <w:p>
      <w:pPr>
        <w:spacing w:after="0" w:line="228" w:lineRule="exact"/>
        <w:rPr>
          <w:sz w:val="20"/>
          <w:szCs w:val="20"/>
          <w:color w:val="auto"/>
        </w:rPr>
      </w:pPr>
    </w:p>
    <w:p>
      <w:pPr>
        <w:jc w:val="center"/>
        <w:ind w:right="332"/>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92" w:top="14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r>
      <w:tr>
        <w:trPr>
          <w:trHeight w:val="183"/>
        </w:trPr>
        <w:tc>
          <w:tcPr>
            <w:tcW w:w="55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
              <w:r>
                <w:rPr>
                  <w:rFonts w:ascii="Arial" w:cs="Arial" w:eastAsia="Arial" w:hAnsi="Arial"/>
                  <w:sz w:val="18"/>
                  <w:szCs w:val="18"/>
                  <w:color w:val="0000EE"/>
                  <w:w w:val="99"/>
                </w:rPr>
                <w:t>SPECIAL NOTE REGARDING FORWARD-LOOKING STATEMENTS</w:t>
              </w:r>
            </w:hyperlink>
          </w:p>
        </w:tc>
        <w:tc>
          <w:tcPr>
            <w:tcW w:w="492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i</w:t>
            </w:r>
          </w:p>
        </w:tc>
      </w:tr>
      <w:tr>
        <w:trPr>
          <w:trHeight w:val="196"/>
        </w:trPr>
        <w:tc>
          <w:tcPr>
            <w:tcW w:w="230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SUMMARY RISK FACTORS</w:t>
              </w:r>
            </w:hyperlink>
          </w:p>
        </w:tc>
        <w:tc>
          <w:tcPr>
            <w:tcW w:w="816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290"/>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2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FINANCIAL INFORMATION</w:t>
              </w:r>
            </w:hyperlink>
          </w:p>
        </w:tc>
        <w:tc>
          <w:tcPr>
            <w:tcW w:w="706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28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928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9280" w:type="dxa"/>
            <w:vAlign w:val="bottom"/>
            <w:gridSpan w:val="19"/>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 and Comprehensive Income (Loss</w:t>
              </w:r>
            </w:hyperlink>
            <w:r>
              <w:rPr>
                <w:rFonts w:ascii="Arial" w:cs="Arial" w:eastAsia="Arial" w:hAnsi="Arial"/>
                <w:sz w:val="18"/>
                <w:szCs w:val="18"/>
                <w:u w:val="single" w:color="auto"/>
                <w:color w:val="000000"/>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928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Convertible Preferred Stock and Stockholders’ Equity (Deficit</w:t>
              </w:r>
            </w:hyperlink>
            <w:r>
              <w:rPr>
                <w:rFonts w:ascii="Arial" w:cs="Arial" w:eastAsia="Arial" w:hAnsi="Arial"/>
                <w:sz w:val="18"/>
                <w:szCs w:val="18"/>
                <w:u w:val="single" w:color="auto"/>
                <w:color w:val="000000"/>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0"/>
        </w:trPr>
        <w:tc>
          <w:tcPr>
            <w:tcW w:w="1180" w:type="dxa"/>
            <w:vAlign w:val="bottom"/>
          </w:tcPr>
          <w:p>
            <w:pPr>
              <w:spacing w:after="0"/>
              <w:rPr>
                <w:sz w:val="18"/>
                <w:szCs w:val="18"/>
                <w:color w:val="auto"/>
              </w:rPr>
            </w:pPr>
          </w:p>
        </w:tc>
        <w:tc>
          <w:tcPr>
            <w:tcW w:w="8040" w:type="dxa"/>
            <w:vAlign w:val="bottom"/>
            <w:tcBorders>
              <w:top w:val="single" w:sz="8" w:color="0000EE"/>
            </w:tcBorders>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Notes to Unaudited Condensed Consolidated Financial Statements</w:t>
              </w:r>
            </w:hyperlink>
          </w:p>
        </w:tc>
        <w:tc>
          <w:tcPr>
            <w:tcW w:w="39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06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Management’s Discussion and Analysis of Financial Condition and Results of Operations</w:t>
              </w:r>
            </w:hyperlink>
          </w:p>
        </w:tc>
        <w:tc>
          <w:tcPr>
            <w:tcW w:w="22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2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6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60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91"/>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top w:val="single" w:sz="8" w:color="0000EE"/>
            </w:tcBorders>
            <w:gridSpan w:val="7"/>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OTHER INFORMATION</w:t>
              </w:r>
            </w:hyperlink>
          </w:p>
        </w:tc>
        <w:tc>
          <w:tcPr>
            <w:tcW w:w="73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9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73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Risk Factors</w:t>
              </w:r>
            </w:hyperlink>
          </w:p>
        </w:tc>
        <w:tc>
          <w:tcPr>
            <w:tcW w:w="480" w:type="dxa"/>
            <w:vAlign w:val="bottom"/>
            <w:tcBorders>
              <w:top w:val="single" w:sz="8" w:color="0000EE"/>
            </w:tcBorders>
            <w:gridSpan w:val="3"/>
          </w:tcPr>
          <w:p>
            <w:pPr>
              <w:spacing w:after="0"/>
              <w:rPr>
                <w:sz w:val="17"/>
                <w:szCs w:val="17"/>
                <w:color w:val="auto"/>
              </w:rPr>
            </w:pPr>
          </w:p>
        </w:tc>
        <w:tc>
          <w:tcPr>
            <w:tcW w:w="782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280" w:type="dxa"/>
            <w:vAlign w:val="bottom"/>
            <w:gridSpan w:val="1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87">
              <w:r>
                <w:rPr>
                  <w:rFonts w:ascii="Arial" w:cs="Arial" w:eastAsia="Arial" w:hAnsi="Arial"/>
                  <w:sz w:val="18"/>
                  <w:szCs w:val="18"/>
                  <w:color w:val="0000EE"/>
                  <w:w w:val="97"/>
                </w:rPr>
                <w:t>Other Information</w:t>
              </w:r>
            </w:hyperlink>
          </w:p>
        </w:tc>
        <w:tc>
          <w:tcPr>
            <w:tcW w:w="3440" w:type="dxa"/>
            <w:vAlign w:val="bottom"/>
            <w:tcBorders>
              <w:top w:val="single" w:sz="8" w:color="0000EE"/>
            </w:tcBorders>
            <w:gridSpan w:val="10"/>
          </w:tcPr>
          <w:p>
            <w:pPr>
              <w:spacing w:after="0"/>
              <w:rPr>
                <w:sz w:val="17"/>
                <w:szCs w:val="17"/>
                <w:color w:val="auto"/>
              </w:rPr>
            </w:pPr>
          </w:p>
        </w:tc>
        <w:tc>
          <w:tcPr>
            <w:tcW w:w="44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280" w:type="dxa"/>
            <w:vAlign w:val="bottom"/>
            <w:gridSpan w:val="19"/>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Exhibits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8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tcPr>
          <w:p>
            <w:pPr>
              <w:spacing w:after="0" w:line="196" w:lineRule="exact"/>
              <w:rPr>
                <w:rFonts w:ascii="Arial" w:cs="Arial" w:eastAsia="Arial" w:hAnsi="Arial"/>
                <w:sz w:val="18"/>
                <w:szCs w:val="18"/>
                <w:color w:val="0000EE"/>
                <w:w w:val="97"/>
              </w:rPr>
            </w:pPr>
            <w:hyperlink w:anchor="page89">
              <w:r>
                <w:rPr>
                  <w:rFonts w:ascii="Arial" w:cs="Arial" w:eastAsia="Arial" w:hAnsi="Arial"/>
                  <w:sz w:val="18"/>
                  <w:szCs w:val="18"/>
                  <w:color w:val="0000EE"/>
                  <w:w w:val="97"/>
                </w:rPr>
                <w:t>SIGNATURES</w:t>
              </w:r>
            </w:hyperlink>
          </w:p>
        </w:tc>
        <w:tc>
          <w:tcPr>
            <w:tcW w:w="928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ind w:right="3760"/>
        <w:spacing w:after="0" w:line="258" w:lineRule="auto"/>
        <w:rPr>
          <w:sz w:val="20"/>
          <w:szCs w:val="20"/>
          <w:color w:val="auto"/>
        </w:rPr>
      </w:pPr>
      <w:r>
        <w:rPr>
          <w:rFonts w:ascii="Arial" w:cs="Arial" w:eastAsia="Arial" w:hAnsi="Arial"/>
          <w:sz w:val="32"/>
          <w:szCs w:val="32"/>
          <w:b w:val="1"/>
          <w:bCs w:val="1"/>
          <w:color w:val="auto"/>
        </w:rPr>
        <w:t>ATEA PHARMACEUTICALS, INC. and Subsidiary Condensed Consolidated Balance Sheets</w:t>
      </w:r>
    </w:p>
    <w:p>
      <w:pPr>
        <w:spacing w:after="0" w:line="235"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09"/>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816,460</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850,117</w:t>
            </w:r>
          </w:p>
        </w:tc>
      </w:tr>
      <w:tr>
        <w:trPr>
          <w:trHeight w:val="216"/>
        </w:trPr>
        <w:tc>
          <w:tcPr>
            <w:tcW w:w="66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Unbilled other receivable</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5,815</w:t>
            </w:r>
          </w:p>
        </w:tc>
      </w:tr>
      <w:tr>
        <w:trPr>
          <w:trHeight w:val="216"/>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4,650</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7,545</w:t>
            </w:r>
          </w:p>
        </w:tc>
      </w:tr>
      <w:tr>
        <w:trPr>
          <w:trHeight w:val="209"/>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871,110</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863,477</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48</w:t>
            </w:r>
          </w:p>
        </w:tc>
      </w:tr>
      <w:tr>
        <w:trPr>
          <w:trHeight w:val="216"/>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400</w:t>
            </w: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107</w:t>
            </w:r>
          </w:p>
        </w:tc>
      </w:tr>
      <w:tr>
        <w:trPr>
          <w:trHeight w:val="209"/>
        </w:trPr>
        <w:tc>
          <w:tcPr>
            <w:tcW w:w="66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871,543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863,632</w:t>
            </w:r>
          </w:p>
        </w:tc>
      </w:tr>
      <w:tr>
        <w:trPr>
          <w:trHeight w:val="209"/>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Current liabilities</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10,701</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w:t>
            </w:r>
          </w:p>
        </w:tc>
      </w:tr>
      <w:tr>
        <w:trPr>
          <w:trHeight w:val="216"/>
        </w:trPr>
        <w:tc>
          <w:tcPr>
            <w:tcW w:w="666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37,961</w:t>
            </w:r>
          </w:p>
        </w:tc>
        <w:tc>
          <w:tcPr>
            <w:tcW w:w="3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14,368</w:t>
            </w:r>
          </w:p>
        </w:tc>
      </w:tr>
      <w:tr>
        <w:trPr>
          <w:trHeight w:val="216"/>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06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224,991</w:t>
            </w: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301,367</w:t>
            </w:r>
          </w:p>
        </w:tc>
      </w:tr>
      <w:tr>
        <w:trPr>
          <w:trHeight w:val="209"/>
        </w:trPr>
        <w:tc>
          <w:tcPr>
            <w:tcW w:w="66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273,653</w:t>
            </w:r>
          </w:p>
        </w:tc>
        <w:tc>
          <w:tcPr>
            <w:tcW w:w="36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315,795</w:t>
            </w:r>
          </w:p>
        </w:tc>
      </w:tr>
      <w:tr>
        <w:trPr>
          <w:trHeight w:val="216"/>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06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29</w:t>
            </w: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w:t>
            </w:r>
          </w:p>
        </w:tc>
      </w:tr>
      <w:tr>
        <w:trPr>
          <w:trHeight w:val="209"/>
        </w:trPr>
        <w:tc>
          <w:tcPr>
            <w:tcW w:w="6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0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273,682</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315,831</w:t>
            </w: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(see Note 11)</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Stockholders’ equity:</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per share; 10,000,000 shares</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03"/>
        </w:trPr>
        <w:tc>
          <w:tcPr>
            <w:tcW w:w="66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authorized; no shares issued and outstanding as of June 30, 2021</w:t>
            </w: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6660" w:type="dxa"/>
            <w:vAlign w:val="bottom"/>
            <w:shd w:val="clear" w:color="auto" w:fill="CFF0FC"/>
          </w:tcPr>
          <w:p>
            <w:pPr>
              <w:ind w:left="360"/>
              <w:spacing w:after="0" w:line="203" w:lineRule="exact"/>
              <w:rPr>
                <w:sz w:val="20"/>
                <w:szCs w:val="20"/>
                <w:color w:val="auto"/>
              </w:rPr>
            </w:pPr>
            <w:r>
              <w:rPr>
                <w:rFonts w:ascii="Arial" w:cs="Arial" w:eastAsia="Arial" w:hAnsi="Arial"/>
                <w:sz w:val="18"/>
                <w:szCs w:val="18"/>
                <w:color w:val="auto"/>
              </w:rPr>
              <w:t>and December 31, 2020</w:t>
            </w: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w:t>
            </w:r>
          </w:p>
        </w:tc>
      </w:tr>
      <w:tr>
        <w:trPr>
          <w:trHeight w:val="215"/>
        </w:trPr>
        <w:tc>
          <w:tcPr>
            <w:tcW w:w="6660" w:type="dxa"/>
            <w:vAlign w:val="bottom"/>
          </w:tcPr>
          <w:p>
            <w:pPr>
              <w:ind w:left="260"/>
              <w:spacing w:after="0"/>
              <w:rPr>
                <w:sz w:val="20"/>
                <w:szCs w:val="20"/>
                <w:color w:val="auto"/>
              </w:rPr>
            </w:pPr>
            <w:r>
              <w:rPr>
                <w:rFonts w:ascii="Arial" w:cs="Arial" w:eastAsia="Arial" w:hAnsi="Arial"/>
                <w:sz w:val="18"/>
                <w:szCs w:val="18"/>
                <w:color w:val="auto"/>
              </w:rPr>
              <w:t>Common stock, $0.001 par value; 300,000,000 shares authorized</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3"/>
        </w:trPr>
        <w:tc>
          <w:tcPr>
            <w:tcW w:w="6660" w:type="dxa"/>
            <w:vAlign w:val="bottom"/>
          </w:tcPr>
          <w:p>
            <w:pPr>
              <w:ind w:left="400"/>
              <w:spacing w:after="0" w:line="202" w:lineRule="exact"/>
              <w:rPr>
                <w:sz w:val="20"/>
                <w:szCs w:val="20"/>
                <w:color w:val="auto"/>
              </w:rPr>
            </w:pPr>
            <w:r>
              <w:rPr>
                <w:rFonts w:ascii="Arial" w:cs="Arial" w:eastAsia="Arial" w:hAnsi="Arial"/>
                <w:sz w:val="18"/>
                <w:szCs w:val="18"/>
                <w:color w:val="auto"/>
              </w:rPr>
              <w:t>as of June 30, 2021 and December 31, 2020;</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660" w:type="dxa"/>
            <w:vAlign w:val="bottom"/>
          </w:tcPr>
          <w:p>
            <w:pPr>
              <w:ind w:left="400"/>
              <w:spacing w:after="0" w:line="202" w:lineRule="exact"/>
              <w:rPr>
                <w:sz w:val="20"/>
                <w:szCs w:val="20"/>
                <w:color w:val="auto"/>
              </w:rPr>
            </w:pPr>
            <w:r>
              <w:rPr>
                <w:rFonts w:ascii="Arial" w:cs="Arial" w:eastAsia="Arial" w:hAnsi="Arial"/>
                <w:sz w:val="18"/>
                <w:szCs w:val="18"/>
                <w:color w:val="auto"/>
              </w:rPr>
              <w:t>82,776,937 and 82,436,937 shares issued and outstanding</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6660" w:type="dxa"/>
            <w:vAlign w:val="bottom"/>
          </w:tcPr>
          <w:p>
            <w:pPr>
              <w:ind w:left="400"/>
              <w:spacing w:after="0" w:line="203" w:lineRule="exact"/>
              <w:rPr>
                <w:sz w:val="20"/>
                <w:szCs w:val="20"/>
                <w:color w:val="auto"/>
              </w:rPr>
            </w:pPr>
            <w:r>
              <w:rPr>
                <w:rFonts w:ascii="Arial" w:cs="Arial" w:eastAsia="Arial" w:hAnsi="Arial"/>
                <w:sz w:val="18"/>
                <w:szCs w:val="18"/>
                <w:color w:val="auto"/>
              </w:rPr>
              <w:t>as of June 30, 2021 and December 31, 2020, respectively</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jc w:val="right"/>
              <w:ind w:right="90"/>
              <w:spacing w:after="0" w:line="203" w:lineRule="exact"/>
              <w:rPr>
                <w:sz w:val="20"/>
                <w:szCs w:val="20"/>
                <w:color w:val="auto"/>
              </w:rPr>
            </w:pPr>
            <w:r>
              <w:rPr>
                <w:rFonts w:ascii="Arial" w:cs="Arial" w:eastAsia="Arial" w:hAnsi="Arial"/>
                <w:sz w:val="18"/>
                <w:szCs w:val="18"/>
                <w:color w:val="auto"/>
              </w:rPr>
              <w:t>83</w:t>
            </w:r>
          </w:p>
        </w:tc>
        <w:tc>
          <w:tcPr>
            <w:tcW w:w="360" w:type="dxa"/>
            <w:vAlign w:val="bottom"/>
          </w:tcPr>
          <w:p>
            <w:pPr>
              <w:spacing w:after="0"/>
              <w:rPr>
                <w:sz w:val="17"/>
                <w:szCs w:val="17"/>
                <w:color w:val="auto"/>
              </w:rPr>
            </w:pPr>
          </w:p>
        </w:tc>
        <w:tc>
          <w:tcPr>
            <w:tcW w:w="14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82</w:t>
            </w:r>
          </w:p>
        </w:tc>
      </w:tr>
      <w:tr>
        <w:trPr>
          <w:trHeight w:val="216"/>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630,686</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612,879</w:t>
            </w:r>
          </w:p>
        </w:tc>
      </w:tr>
      <w:tr>
        <w:trPr>
          <w:trHeight w:val="216"/>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deficit</w:t>
            </w:r>
          </w:p>
        </w:tc>
        <w:tc>
          <w:tcPr>
            <w:tcW w:w="10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(32,908)</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(65,160)</w:t>
            </w:r>
          </w:p>
        </w:tc>
      </w:tr>
      <w:tr>
        <w:trPr>
          <w:trHeight w:val="21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06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597,861</w:t>
            </w: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547,801</w:t>
            </w:r>
          </w:p>
        </w:tc>
      </w:tr>
      <w:tr>
        <w:trPr>
          <w:trHeight w:val="210"/>
        </w:trPr>
        <w:tc>
          <w:tcPr>
            <w:tcW w:w="66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5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871,543</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863,632</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Operations and Comprehensive</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Income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4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4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60,391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126,376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39,803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66,375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10,576</w:t>
            </w:r>
          </w:p>
        </w:tc>
      </w:tr>
      <w:tr>
        <w:trPr>
          <w:trHeight w:val="216"/>
        </w:trPr>
        <w:tc>
          <w:tcPr>
            <w:tcW w:w="49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11,901</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2,248</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20,658</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3,472</w:t>
            </w:r>
          </w:p>
        </w:tc>
      </w:tr>
      <w:tr>
        <w:trPr>
          <w:trHeight w:val="209"/>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51,704</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10,003</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87,033</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14,048</w:t>
            </w:r>
          </w:p>
        </w:tc>
      </w:tr>
      <w:tr>
        <w:trPr>
          <w:trHeight w:val="209"/>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operations</w:t>
            </w:r>
          </w:p>
        </w:tc>
        <w:tc>
          <w:tcPr>
            <w:tcW w:w="8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8,687</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39,343</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(14,048)</w:t>
            </w: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8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w:t>
            </w: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8,739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39,452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(13,981)</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Net income (loss) and comprehensive income (loss)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(9,993)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32,252</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(13,981)</w:t>
            </w:r>
          </w:p>
        </w:tc>
      </w:tr>
      <w:tr>
        <w:trPr>
          <w:trHeight w:val="209"/>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per share attributable to common</w:t>
            </w:r>
          </w:p>
        </w:tc>
        <w:tc>
          <w:tcPr>
            <w:tcW w:w="8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r>
      <w:tr>
        <w:trPr>
          <w:trHeight w:val="203"/>
        </w:trPr>
        <w:tc>
          <w:tcPr>
            <w:tcW w:w="49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stockholders</w:t>
            </w: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6"/>
        </w:trPr>
        <w:tc>
          <w:tcPr>
            <w:tcW w:w="4980" w:type="dxa"/>
            <w:vAlign w:val="bottom"/>
          </w:tcPr>
          <w:p>
            <w:pPr>
              <w:ind w:left="140"/>
              <w:spacing w:after="0"/>
              <w:rPr>
                <w:sz w:val="20"/>
                <w:szCs w:val="20"/>
                <w:color w:val="auto"/>
              </w:rPr>
            </w:pPr>
            <w:r>
              <w:rPr>
                <w:rFonts w:ascii="Arial" w:cs="Arial" w:eastAsia="Arial" w:hAnsi="Arial"/>
                <w:sz w:val="18"/>
                <w:szCs w:val="18"/>
                <w:color w:val="auto"/>
              </w:rPr>
              <w:t>Basic</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82,743,530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10,096,307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82,662,019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10,093,689</w:t>
            </w:r>
          </w:p>
        </w:tc>
      </w:tr>
      <w:tr>
        <w:trPr>
          <w:trHeight w:val="216"/>
        </w:trPr>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88,091,384</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10,096,307</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88,683,767</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10,093,689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50" w:lineRule="exact"/>
        <w:rPr>
          <w:sz w:val="20"/>
          <w:szCs w:val="20"/>
          <w:color w:val="auto"/>
        </w:rPr>
      </w:pPr>
    </w:p>
    <w:p>
      <w:pPr>
        <w:ind w:right="60"/>
        <w:spacing w:after="0" w:line="245" w:lineRule="auto"/>
        <w:rPr>
          <w:sz w:val="20"/>
          <w:szCs w:val="20"/>
          <w:color w:val="auto"/>
        </w:rPr>
      </w:pPr>
      <w:r>
        <w:rPr>
          <w:rFonts w:ascii="Arial" w:cs="Arial" w:eastAsia="Arial" w:hAnsi="Arial"/>
          <w:sz w:val="32"/>
          <w:szCs w:val="32"/>
          <w:b w:val="1"/>
          <w:bCs w:val="1"/>
          <w:color w:val="auto"/>
        </w:rPr>
        <w:t>Condensed Consolidated Statements of Convertible Preferred Stock and Stockholders’ Equity (Deficit)</w:t>
      </w:r>
    </w:p>
    <w:p>
      <w:pPr>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560" w:type="dxa"/>
            <w:vAlign w:val="bottom"/>
            <w:tcBorders>
              <w:top w:val="single" w:sz="8" w:color="auto"/>
              <w:right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Convertible</w:t>
            </w:r>
          </w:p>
        </w:tc>
        <w:tc>
          <w:tcPr>
            <w:tcW w:w="1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Additional</w:t>
            </w:r>
          </w:p>
        </w:tc>
        <w:tc>
          <w:tcPr>
            <w:tcW w:w="3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175"/>
        </w:trPr>
        <w:tc>
          <w:tcPr>
            <w:tcW w:w="33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Preferred Stock</w:t>
            </w:r>
          </w:p>
        </w:tc>
        <w:tc>
          <w:tcPr>
            <w:tcW w:w="1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3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Capital</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Deficit</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Equity</w:t>
            </w:r>
          </w:p>
        </w:tc>
      </w:tr>
      <w:tr>
        <w:trPr>
          <w:trHeight w:val="169"/>
        </w:trPr>
        <w:tc>
          <w:tcPr>
            <w:tcW w:w="3300" w:type="dxa"/>
            <w:vAlign w:val="bottom"/>
          </w:tcPr>
          <w:p>
            <w:pPr>
              <w:spacing w:after="0"/>
              <w:rPr>
                <w:sz w:val="20"/>
                <w:szCs w:val="20"/>
                <w:color w:val="auto"/>
              </w:rPr>
            </w:pPr>
            <w:r>
              <w:rPr>
                <w:rFonts w:ascii="Arial" w:cs="Arial" w:eastAsia="Arial" w:hAnsi="Arial"/>
                <w:sz w:val="14"/>
                <w:szCs w:val="14"/>
                <w:color w:val="auto"/>
              </w:rPr>
              <w:t>Balance—December 31, 2020</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82,436,937</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612,879</w:t>
            </w:r>
          </w:p>
        </w:tc>
        <w:tc>
          <w:tcPr>
            <w:tcW w:w="340" w:type="dxa"/>
            <w:vAlign w:val="bottom"/>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(65,160)</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547,801</w:t>
            </w:r>
          </w:p>
        </w:tc>
      </w:tr>
      <w:tr>
        <w:trPr>
          <w:trHeight w:val="180"/>
        </w:trPr>
        <w:tc>
          <w:tcPr>
            <w:tcW w:w="3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7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tcBorders>
              <w:right w:val="single" w:sz="8" w:color="auto"/>
            </w:tcBorders>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r>
      <w:tr>
        <w:trPr>
          <w:trHeight w:val="157"/>
        </w:trPr>
        <w:tc>
          <w:tcPr>
            <w:tcW w:w="330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of stock options</w:t>
            </w:r>
          </w:p>
        </w:tc>
        <w:tc>
          <w:tcPr>
            <w:tcW w:w="7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3"/>
                <w:szCs w:val="13"/>
                <w:color w:val="auto"/>
              </w:rPr>
            </w:pPr>
          </w:p>
        </w:tc>
        <w:tc>
          <w:tcPr>
            <w:tcW w:w="1040" w:type="dxa"/>
            <w:vAlign w:val="bottom"/>
            <w:tcBorders>
              <w:right w:val="single" w:sz="8" w:color="auto"/>
            </w:tcBorders>
            <w:shd w:val="clear" w:color="auto" w:fill="CFF0FC"/>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300,000</w:t>
            </w:r>
          </w:p>
        </w:tc>
        <w:tc>
          <w:tcPr>
            <w:tcW w:w="5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470</w:t>
            </w:r>
          </w:p>
        </w:tc>
        <w:tc>
          <w:tcPr>
            <w:tcW w:w="3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471</w:t>
            </w:r>
          </w:p>
        </w:tc>
      </w:tr>
      <w:tr>
        <w:trPr>
          <w:trHeight w:val="180"/>
        </w:trPr>
        <w:tc>
          <w:tcPr>
            <w:tcW w:w="33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7"/>
        </w:trPr>
        <w:tc>
          <w:tcPr>
            <w:tcW w:w="3300" w:type="dxa"/>
            <w:vAlign w:val="bottom"/>
          </w:tcPr>
          <w:p>
            <w:pPr>
              <w:ind w:left="380"/>
              <w:spacing w:after="0" w:line="157" w:lineRule="exact"/>
              <w:rPr>
                <w:sz w:val="20"/>
                <w:szCs w:val="20"/>
                <w:color w:val="auto"/>
              </w:rPr>
            </w:pPr>
            <w:r>
              <w:rPr>
                <w:rFonts w:ascii="Arial" w:cs="Arial" w:eastAsia="Arial" w:hAnsi="Arial"/>
                <w:sz w:val="14"/>
                <w:szCs w:val="14"/>
                <w:color w:val="auto"/>
              </w:rPr>
              <w:t>expense</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40" w:type="dxa"/>
            <w:vAlign w:val="bottom"/>
            <w:tcBorders>
              <w:right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7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7,273</w:t>
            </w:r>
          </w:p>
        </w:tc>
        <w:tc>
          <w:tcPr>
            <w:tcW w:w="340" w:type="dxa"/>
            <w:vAlign w:val="bottom"/>
          </w:tcPr>
          <w:p>
            <w:pPr>
              <w:spacing w:after="0"/>
              <w:rPr>
                <w:sz w:val="13"/>
                <w:szCs w:val="13"/>
                <w:color w:val="auto"/>
              </w:rPr>
            </w:pPr>
          </w:p>
        </w:tc>
        <w:tc>
          <w:tcPr>
            <w:tcW w:w="78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7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7,273</w:t>
            </w:r>
          </w:p>
        </w:tc>
      </w:tr>
      <w:tr>
        <w:trPr>
          <w:trHeight w:val="175"/>
        </w:trPr>
        <w:tc>
          <w:tcPr>
            <w:tcW w:w="3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 (loss)</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30,713</w:t>
            </w:r>
          </w:p>
        </w:tc>
        <w:tc>
          <w:tcPr>
            <w:tcW w:w="3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30,713</w:t>
            </w:r>
          </w:p>
        </w:tc>
      </w:tr>
      <w:tr>
        <w:trPr>
          <w:trHeight w:val="169"/>
        </w:trPr>
        <w:tc>
          <w:tcPr>
            <w:tcW w:w="3300" w:type="dxa"/>
            <w:vAlign w:val="bottom"/>
          </w:tcPr>
          <w:p>
            <w:pPr>
              <w:spacing w:after="0"/>
              <w:rPr>
                <w:sz w:val="20"/>
                <w:szCs w:val="20"/>
                <w:color w:val="auto"/>
              </w:rPr>
            </w:pPr>
            <w:r>
              <w:rPr>
                <w:rFonts w:ascii="Arial" w:cs="Arial" w:eastAsia="Arial" w:hAnsi="Arial"/>
                <w:sz w:val="14"/>
                <w:szCs w:val="14"/>
                <w:color w:val="auto"/>
              </w:rPr>
              <w:t>Balance—March 31, 2021</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1040" w:type="dxa"/>
            <w:vAlign w:val="bottom"/>
            <w:tcBorders>
              <w:right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82,736,937</w:t>
            </w:r>
          </w:p>
        </w:tc>
        <w:tc>
          <w:tcPr>
            <w:tcW w:w="5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6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620,622</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(34,447)</w:t>
            </w:r>
          </w:p>
        </w:tc>
        <w:tc>
          <w:tcPr>
            <w:tcW w:w="3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586,258</w:t>
            </w:r>
          </w:p>
        </w:tc>
      </w:tr>
      <w:tr>
        <w:trPr>
          <w:trHeight w:val="180"/>
        </w:trPr>
        <w:tc>
          <w:tcPr>
            <w:tcW w:w="3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7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tcBorders>
              <w:right w:val="single" w:sz="8" w:color="auto"/>
            </w:tcBorders>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r>
      <w:tr>
        <w:trPr>
          <w:trHeight w:val="157"/>
        </w:trPr>
        <w:tc>
          <w:tcPr>
            <w:tcW w:w="330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of stock options</w:t>
            </w:r>
          </w:p>
        </w:tc>
        <w:tc>
          <w:tcPr>
            <w:tcW w:w="7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3"/>
                <w:szCs w:val="13"/>
                <w:color w:val="auto"/>
              </w:rPr>
            </w:pPr>
          </w:p>
        </w:tc>
        <w:tc>
          <w:tcPr>
            <w:tcW w:w="1040" w:type="dxa"/>
            <w:vAlign w:val="bottom"/>
            <w:tcBorders>
              <w:right w:val="single" w:sz="8" w:color="auto"/>
            </w:tcBorders>
            <w:shd w:val="clear" w:color="auto" w:fill="CFF0FC"/>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40,000</w:t>
            </w:r>
          </w:p>
        </w:tc>
        <w:tc>
          <w:tcPr>
            <w:tcW w:w="5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57</w:t>
            </w:r>
          </w:p>
        </w:tc>
        <w:tc>
          <w:tcPr>
            <w:tcW w:w="3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57</w:t>
            </w:r>
          </w:p>
        </w:tc>
      </w:tr>
      <w:tr>
        <w:trPr>
          <w:trHeight w:val="180"/>
        </w:trPr>
        <w:tc>
          <w:tcPr>
            <w:tcW w:w="33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7"/>
        </w:trPr>
        <w:tc>
          <w:tcPr>
            <w:tcW w:w="3300" w:type="dxa"/>
            <w:vAlign w:val="bottom"/>
          </w:tcPr>
          <w:p>
            <w:pPr>
              <w:ind w:left="380"/>
              <w:spacing w:after="0" w:line="157" w:lineRule="exact"/>
              <w:rPr>
                <w:sz w:val="20"/>
                <w:szCs w:val="20"/>
                <w:color w:val="auto"/>
              </w:rPr>
            </w:pPr>
            <w:r>
              <w:rPr>
                <w:rFonts w:ascii="Arial" w:cs="Arial" w:eastAsia="Arial" w:hAnsi="Arial"/>
                <w:sz w:val="14"/>
                <w:szCs w:val="14"/>
                <w:color w:val="auto"/>
              </w:rPr>
              <w:t>expense</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40" w:type="dxa"/>
            <w:vAlign w:val="bottom"/>
            <w:tcBorders>
              <w:right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7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10,007</w:t>
            </w:r>
          </w:p>
        </w:tc>
        <w:tc>
          <w:tcPr>
            <w:tcW w:w="340" w:type="dxa"/>
            <w:vAlign w:val="bottom"/>
          </w:tcPr>
          <w:p>
            <w:pPr>
              <w:spacing w:after="0"/>
              <w:rPr>
                <w:sz w:val="13"/>
                <w:szCs w:val="13"/>
                <w:color w:val="auto"/>
              </w:rPr>
            </w:pPr>
          </w:p>
        </w:tc>
        <w:tc>
          <w:tcPr>
            <w:tcW w:w="78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7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10,007</w:t>
            </w:r>
          </w:p>
        </w:tc>
      </w:tr>
      <w:tr>
        <w:trPr>
          <w:trHeight w:val="176"/>
        </w:trPr>
        <w:tc>
          <w:tcPr>
            <w:tcW w:w="3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 (loss)</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1,539</w:t>
            </w:r>
          </w:p>
        </w:tc>
        <w:tc>
          <w:tcPr>
            <w:tcW w:w="3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1,539</w:t>
            </w:r>
          </w:p>
        </w:tc>
      </w:tr>
      <w:tr>
        <w:trPr>
          <w:trHeight w:val="169"/>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Balance—June 30, 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82,776,937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630,686</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(32,908)</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597,861</w:t>
            </w:r>
          </w:p>
        </w:tc>
      </w:tr>
      <w:tr>
        <w:trPr>
          <w:trHeight w:val="345"/>
        </w:trPr>
        <w:tc>
          <w:tcPr>
            <w:tcW w:w="3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560" w:type="dxa"/>
            <w:vAlign w:val="bottom"/>
            <w:tcBorders>
              <w:top w:val="single" w:sz="8" w:color="auto"/>
              <w:right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Convertible</w:t>
            </w:r>
          </w:p>
        </w:tc>
        <w:tc>
          <w:tcPr>
            <w:tcW w:w="1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Additional</w:t>
            </w: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Total</w:t>
            </w:r>
          </w:p>
        </w:tc>
      </w:tr>
      <w:tr>
        <w:trPr>
          <w:trHeight w:val="175"/>
        </w:trPr>
        <w:tc>
          <w:tcPr>
            <w:tcW w:w="3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Preferred Stock</w:t>
            </w:r>
          </w:p>
        </w:tc>
        <w:tc>
          <w:tcPr>
            <w:tcW w:w="1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3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Capital</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Deficit</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Deficit</w:t>
            </w:r>
          </w:p>
        </w:tc>
      </w:tr>
      <w:tr>
        <w:trPr>
          <w:trHeight w:val="169"/>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Balance—December 31, 2019</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33,645,447</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69,114</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10,091,100</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4,632</w:t>
            </w:r>
          </w:p>
        </w:tc>
        <w:tc>
          <w:tcPr>
            <w:tcW w:w="32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(54,213)</w:t>
            </w:r>
          </w:p>
        </w:tc>
        <w:tc>
          <w:tcPr>
            <w:tcW w:w="3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(49,571)</w:t>
            </w:r>
          </w:p>
        </w:tc>
      </w:tr>
      <w:tr>
        <w:trPr>
          <w:trHeight w:val="180"/>
        </w:trPr>
        <w:tc>
          <w:tcPr>
            <w:tcW w:w="32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57"/>
        </w:trPr>
        <w:tc>
          <w:tcPr>
            <w:tcW w:w="3220" w:type="dxa"/>
            <w:vAlign w:val="bottom"/>
          </w:tcPr>
          <w:p>
            <w:pPr>
              <w:ind w:left="380"/>
              <w:spacing w:after="0" w:line="157" w:lineRule="exact"/>
              <w:rPr>
                <w:sz w:val="20"/>
                <w:szCs w:val="20"/>
                <w:color w:val="auto"/>
              </w:rPr>
            </w:pPr>
            <w:r>
              <w:rPr>
                <w:rFonts w:ascii="Arial" w:cs="Arial" w:eastAsia="Arial" w:hAnsi="Arial"/>
                <w:sz w:val="14"/>
                <w:szCs w:val="14"/>
                <w:color w:val="auto"/>
              </w:rPr>
              <w:t>expense</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40" w:type="dxa"/>
            <w:vAlign w:val="bottom"/>
            <w:tcBorders>
              <w:right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189</w:t>
            </w:r>
          </w:p>
        </w:tc>
        <w:tc>
          <w:tcPr>
            <w:tcW w:w="320" w:type="dxa"/>
            <w:vAlign w:val="bottom"/>
          </w:tcPr>
          <w:p>
            <w:pPr>
              <w:spacing w:after="0"/>
              <w:rPr>
                <w:sz w:val="13"/>
                <w:szCs w:val="13"/>
                <w:color w:val="auto"/>
              </w:rPr>
            </w:pPr>
          </w:p>
        </w:tc>
        <w:tc>
          <w:tcPr>
            <w:tcW w:w="8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189</w:t>
            </w:r>
          </w:p>
        </w:tc>
      </w:tr>
      <w:tr>
        <w:trPr>
          <w:trHeight w:val="175"/>
        </w:trPr>
        <w:tc>
          <w:tcPr>
            <w:tcW w:w="3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(3,988)</w:t>
            </w:r>
          </w:p>
        </w:tc>
        <w:tc>
          <w:tcPr>
            <w:tcW w:w="3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(3,988)</w:t>
            </w:r>
          </w:p>
        </w:tc>
      </w:tr>
      <w:tr>
        <w:trPr>
          <w:trHeight w:val="169"/>
        </w:trPr>
        <w:tc>
          <w:tcPr>
            <w:tcW w:w="3220" w:type="dxa"/>
            <w:vAlign w:val="bottom"/>
          </w:tcPr>
          <w:p>
            <w:pPr>
              <w:spacing w:after="0"/>
              <w:rPr>
                <w:sz w:val="20"/>
                <w:szCs w:val="20"/>
                <w:color w:val="auto"/>
              </w:rPr>
            </w:pPr>
            <w:r>
              <w:rPr>
                <w:rFonts w:ascii="Arial" w:cs="Arial" w:eastAsia="Arial" w:hAnsi="Arial"/>
                <w:sz w:val="14"/>
                <w:szCs w:val="14"/>
                <w:color w:val="auto"/>
              </w:rPr>
              <w:t>Balance—March 31, 2020</w:t>
            </w:r>
          </w:p>
        </w:tc>
        <w:tc>
          <w:tcPr>
            <w:tcW w:w="860" w:type="dxa"/>
            <w:vAlign w:val="bottom"/>
          </w:tcPr>
          <w:p>
            <w:pPr>
              <w:jc w:val="right"/>
              <w:spacing w:after="0"/>
              <w:rPr>
                <w:sz w:val="20"/>
                <w:szCs w:val="20"/>
                <w:color w:val="auto"/>
              </w:rPr>
            </w:pPr>
            <w:r>
              <w:rPr>
                <w:rFonts w:ascii="Arial" w:cs="Arial" w:eastAsia="Arial" w:hAnsi="Arial"/>
                <w:sz w:val="14"/>
                <w:szCs w:val="14"/>
                <w:color w:val="auto"/>
              </w:rPr>
              <w:t>33,645,447</w:t>
            </w:r>
          </w:p>
        </w:tc>
        <w:tc>
          <w:tcPr>
            <w:tcW w:w="520" w:type="dxa"/>
            <w:vAlign w:val="bottom"/>
          </w:tcPr>
          <w:p>
            <w:pPr>
              <w:spacing w:after="0"/>
              <w:rPr>
                <w:sz w:val="14"/>
                <w:szCs w:val="14"/>
                <w:color w:val="auto"/>
              </w:rPr>
            </w:pPr>
          </w:p>
        </w:tc>
        <w:tc>
          <w:tcPr>
            <w:tcW w:w="1040" w:type="dxa"/>
            <w:vAlign w:val="bottom"/>
            <w:tcBorders>
              <w:right w:val="single" w:sz="8" w:color="auto"/>
            </w:tcBorders>
          </w:tcPr>
          <w:p>
            <w:pPr>
              <w:jc w:val="right"/>
              <w:ind w:right="368"/>
              <w:spacing w:after="0"/>
              <w:rPr>
                <w:sz w:val="20"/>
                <w:szCs w:val="20"/>
                <w:color w:val="auto"/>
              </w:rPr>
            </w:pPr>
            <w:r>
              <w:rPr>
                <w:rFonts w:ascii="Arial" w:cs="Arial" w:eastAsia="Arial" w:hAnsi="Arial"/>
                <w:sz w:val="14"/>
                <w:szCs w:val="14"/>
                <w:color w:val="auto"/>
              </w:rPr>
              <w:t>69,114</w:t>
            </w:r>
          </w:p>
        </w:tc>
        <w:tc>
          <w:tcPr>
            <w:tcW w:w="1180" w:type="dxa"/>
            <w:vAlign w:val="bottom"/>
          </w:tcPr>
          <w:p>
            <w:pPr>
              <w:jc w:val="right"/>
              <w:spacing w:after="0"/>
              <w:rPr>
                <w:sz w:val="20"/>
                <w:szCs w:val="20"/>
                <w:color w:val="auto"/>
              </w:rPr>
            </w:pPr>
            <w:r>
              <w:rPr>
                <w:rFonts w:ascii="Arial" w:cs="Arial" w:eastAsia="Arial" w:hAnsi="Arial"/>
                <w:sz w:val="14"/>
                <w:szCs w:val="14"/>
                <w:color w:val="auto"/>
              </w:rPr>
              <w:t>10,091,100</w:t>
            </w:r>
          </w:p>
        </w:tc>
        <w:tc>
          <w:tcPr>
            <w:tcW w:w="5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4,821</w:t>
            </w:r>
          </w:p>
        </w:tc>
        <w:tc>
          <w:tcPr>
            <w:tcW w:w="3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(58,201)</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(53,370)</w:t>
            </w:r>
          </w:p>
        </w:tc>
      </w:tr>
      <w:tr>
        <w:trPr>
          <w:trHeight w:val="180"/>
        </w:trPr>
        <w:tc>
          <w:tcPr>
            <w:tcW w:w="3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Series D convertible</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tcBorders>
              <w:right w:val="single" w:sz="8" w:color="auto"/>
            </w:tcBorders>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r>
      <w:tr>
        <w:trPr>
          <w:trHeight w:val="162"/>
        </w:trPr>
        <w:tc>
          <w:tcPr>
            <w:tcW w:w="3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net of issuance costs of</w:t>
            </w: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r>
      <w:tr>
        <w:trPr>
          <w:trHeight w:val="157"/>
        </w:trPr>
        <w:tc>
          <w:tcPr>
            <w:tcW w:w="322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$869</w:t>
            </w: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15,313,382</w:t>
            </w:r>
          </w:p>
        </w:tc>
        <w:tc>
          <w:tcPr>
            <w:tcW w:w="520" w:type="dxa"/>
            <w:vAlign w:val="bottom"/>
            <w:shd w:val="clear" w:color="auto" w:fill="CFF0FC"/>
          </w:tcPr>
          <w:p>
            <w:pPr>
              <w:spacing w:after="0"/>
              <w:rPr>
                <w:sz w:val="13"/>
                <w:szCs w:val="13"/>
                <w:color w:val="auto"/>
              </w:rPr>
            </w:pPr>
          </w:p>
        </w:tc>
        <w:tc>
          <w:tcPr>
            <w:tcW w:w="1040" w:type="dxa"/>
            <w:vAlign w:val="bottom"/>
            <w:tcBorders>
              <w:right w:val="single" w:sz="8" w:color="auto"/>
            </w:tcBorders>
            <w:shd w:val="clear" w:color="auto" w:fill="CFF0FC"/>
          </w:tcPr>
          <w:p>
            <w:pPr>
              <w:jc w:val="right"/>
              <w:ind w:right="368"/>
              <w:spacing w:after="0" w:line="157" w:lineRule="exact"/>
              <w:rPr>
                <w:sz w:val="20"/>
                <w:szCs w:val="20"/>
                <w:color w:val="auto"/>
              </w:rPr>
            </w:pPr>
            <w:r>
              <w:rPr>
                <w:rFonts w:ascii="Arial" w:cs="Arial" w:eastAsia="Arial" w:hAnsi="Arial"/>
                <w:sz w:val="14"/>
                <w:szCs w:val="14"/>
                <w:color w:val="auto"/>
              </w:rPr>
              <w:t>106,631</w:t>
            </w:r>
          </w:p>
        </w:tc>
        <w:tc>
          <w:tcPr>
            <w:tcW w:w="11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r>
      <w:tr>
        <w:trPr>
          <w:trHeight w:val="180"/>
        </w:trPr>
        <w:tc>
          <w:tcPr>
            <w:tcW w:w="322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57"/>
        </w:trPr>
        <w:tc>
          <w:tcPr>
            <w:tcW w:w="3220" w:type="dxa"/>
            <w:vAlign w:val="bottom"/>
          </w:tcPr>
          <w:p>
            <w:pPr>
              <w:ind w:left="260"/>
              <w:spacing w:after="0" w:line="157" w:lineRule="exact"/>
              <w:rPr>
                <w:sz w:val="20"/>
                <w:szCs w:val="20"/>
                <w:color w:val="auto"/>
              </w:rPr>
            </w:pPr>
            <w:r>
              <w:rPr>
                <w:rFonts w:ascii="Arial" w:cs="Arial" w:eastAsia="Arial" w:hAnsi="Arial"/>
                <w:sz w:val="14"/>
                <w:szCs w:val="14"/>
                <w:color w:val="auto"/>
              </w:rPr>
              <w:t>of stock options</w:t>
            </w:r>
          </w:p>
        </w:tc>
        <w:tc>
          <w:tcPr>
            <w:tcW w:w="860" w:type="dxa"/>
            <w:vAlign w:val="bottom"/>
          </w:tcPr>
          <w:p>
            <w:pPr>
              <w:ind w:left="340"/>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1040" w:type="dxa"/>
            <w:vAlign w:val="bottom"/>
            <w:tcBorders>
              <w:right w:val="single" w:sz="8" w:color="auto"/>
            </w:tcBorders>
          </w:tcPr>
          <w:p>
            <w:pPr>
              <w:jc w:val="right"/>
              <w:ind w:right="608"/>
              <w:spacing w:after="0" w:line="157"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57" w:lineRule="exact"/>
              <w:rPr>
                <w:sz w:val="20"/>
                <w:szCs w:val="20"/>
                <w:color w:val="auto"/>
              </w:rPr>
            </w:pPr>
            <w:r>
              <w:rPr>
                <w:rFonts w:ascii="Arial" w:cs="Arial" w:eastAsia="Arial" w:hAnsi="Arial"/>
                <w:sz w:val="14"/>
                <w:szCs w:val="14"/>
                <w:color w:val="auto"/>
              </w:rPr>
              <w:t>18,747</w:t>
            </w:r>
          </w:p>
        </w:tc>
        <w:tc>
          <w:tcPr>
            <w:tcW w:w="500" w:type="dxa"/>
            <w:vAlign w:val="bottom"/>
          </w:tcPr>
          <w:p>
            <w:pPr>
              <w:spacing w:after="0"/>
              <w:rPr>
                <w:sz w:val="13"/>
                <w:szCs w:val="13"/>
                <w:color w:val="auto"/>
              </w:rPr>
            </w:pPr>
          </w:p>
        </w:tc>
        <w:tc>
          <w:tcPr>
            <w:tcW w:w="7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27</w:t>
            </w:r>
          </w:p>
        </w:tc>
        <w:tc>
          <w:tcPr>
            <w:tcW w:w="320" w:type="dxa"/>
            <w:vAlign w:val="bottom"/>
          </w:tcPr>
          <w:p>
            <w:pPr>
              <w:spacing w:after="0"/>
              <w:rPr>
                <w:sz w:val="13"/>
                <w:szCs w:val="13"/>
                <w:color w:val="auto"/>
              </w:rPr>
            </w:pPr>
          </w:p>
        </w:tc>
        <w:tc>
          <w:tcPr>
            <w:tcW w:w="8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27</w:t>
            </w:r>
          </w:p>
        </w:tc>
      </w:tr>
      <w:tr>
        <w:trPr>
          <w:trHeight w:val="180"/>
        </w:trPr>
        <w:tc>
          <w:tcPr>
            <w:tcW w:w="3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40" w:type="dxa"/>
            <w:vAlign w:val="bottom"/>
            <w:tcBorders>
              <w:right w:val="single" w:sz="8" w:color="auto"/>
            </w:tcBorders>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r>
      <w:tr>
        <w:trPr>
          <w:trHeight w:val="157"/>
        </w:trPr>
        <w:tc>
          <w:tcPr>
            <w:tcW w:w="322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expense</w:t>
            </w: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3"/>
                <w:szCs w:val="13"/>
                <w:color w:val="auto"/>
              </w:rPr>
            </w:pPr>
          </w:p>
        </w:tc>
        <w:tc>
          <w:tcPr>
            <w:tcW w:w="1040" w:type="dxa"/>
            <w:vAlign w:val="bottom"/>
            <w:tcBorders>
              <w:right w:val="single" w:sz="8" w:color="auto"/>
            </w:tcBorders>
            <w:shd w:val="clear" w:color="auto" w:fill="CFF0FC"/>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28"/>
              <w:spacing w:after="0" w:line="157" w:lineRule="exact"/>
              <w:rPr>
                <w:sz w:val="20"/>
                <w:szCs w:val="20"/>
                <w:color w:val="auto"/>
              </w:rPr>
            </w:pPr>
            <w:r>
              <w:rPr>
                <w:rFonts w:ascii="Arial" w:cs="Arial" w:eastAsia="Arial" w:hAnsi="Arial"/>
                <w:sz w:val="14"/>
                <w:szCs w:val="14"/>
                <w:color w:val="auto"/>
              </w:rPr>
              <w:t>209</w:t>
            </w: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209</w:t>
            </w:r>
          </w:p>
        </w:tc>
      </w:tr>
      <w:tr>
        <w:trPr>
          <w:trHeight w:val="176"/>
        </w:trPr>
        <w:tc>
          <w:tcPr>
            <w:tcW w:w="32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Net income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(9,993)</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(9,993)</w:t>
            </w:r>
          </w:p>
        </w:tc>
      </w:tr>
      <w:tr>
        <w:trPr>
          <w:trHeight w:val="169"/>
        </w:trPr>
        <w:tc>
          <w:tcPr>
            <w:tcW w:w="3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Balance—June 30, 2020</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48,958,829</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175,745</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10,109,847</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5,057</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(68,194)</w:t>
            </w:r>
          </w:p>
        </w:tc>
        <w:tc>
          <w:tcPr>
            <w:tcW w:w="34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(63,127)</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8" w:name="page9"/>
    <w:bookmarkEnd w:id="8"/>
    <w:p>
      <w:pPr>
        <w:ind w:right="3200"/>
        <w:spacing w:after="0" w:line="258" w:lineRule="auto"/>
        <w:rPr>
          <w:sz w:val="20"/>
          <w:szCs w:val="20"/>
          <w:color w:val="auto"/>
        </w:rPr>
      </w:pPr>
      <w:r>
        <w:rPr>
          <w:rFonts w:ascii="Arial" w:cs="Arial" w:eastAsia="Arial" w:hAnsi="Arial"/>
          <w:sz w:val="32"/>
          <w:szCs w:val="32"/>
          <w:b w:val="1"/>
          <w:bCs w:val="1"/>
          <w:color w:val="auto"/>
        </w:rPr>
        <w:t>ATEA PHARMACEUTICALS, INC. and Subsidiary Condensed Consolidated Statements of Cash Flows</w:t>
      </w:r>
    </w:p>
    <w:p>
      <w:pPr>
        <w:spacing w:after="0" w:line="235" w:lineRule="auto"/>
        <w:rPr>
          <w:sz w:val="20"/>
          <w:szCs w:val="20"/>
          <w:color w:val="auto"/>
        </w:rPr>
      </w:pPr>
      <w:r>
        <w:rPr>
          <w:rFonts w:ascii="Arial" w:cs="Arial" w:eastAsia="Arial" w:hAnsi="Arial"/>
          <w:sz w:val="18"/>
          <w:szCs w:val="18"/>
          <w:b w:val="1"/>
          <w:bCs w:val="1"/>
          <w:color w:val="auto"/>
        </w:rPr>
        <w:t>(in thousands)</w:t>
      </w:r>
    </w:p>
    <w:p>
      <w:pPr>
        <w:spacing w:after="0"/>
        <w:rPr>
          <w:sz w:val="20"/>
          <w:szCs w:val="20"/>
          <w:color w:val="auto"/>
        </w:rPr>
      </w:pPr>
      <w:r>
        <w:rPr>
          <w:rFonts w:ascii="Arial" w:cs="Arial" w:eastAsia="Arial" w:hAnsi="Arial"/>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77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r>
      <w:tr>
        <w:trPr>
          <w:trHeight w:val="209"/>
        </w:trPr>
        <w:tc>
          <w:tcPr>
            <w:tcW w:w="7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32,252</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(13,981)</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17,280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398</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expense</w:t>
            </w: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2,895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(2,409)</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16,456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2,643</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23,586</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1,035</w:t>
            </w: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(76,376)</w:t>
            </w:r>
          </w:p>
        </w:tc>
        <w:tc>
          <w:tcPr>
            <w:tcW w:w="1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(34,185)</w:t>
            </w:r>
          </w:p>
        </w:tc>
        <w:tc>
          <w:tcPr>
            <w:tcW w:w="18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(12,306)</w:t>
            </w:r>
          </w:p>
        </w:tc>
      </w:tr>
      <w:tr>
        <w:trPr>
          <w:trHeight w:val="209"/>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property and equipment</w:t>
            </w:r>
          </w:p>
        </w:tc>
        <w:tc>
          <w:tcPr>
            <w:tcW w:w="5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106,631</w:t>
            </w: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for exercise of stock options</w:t>
            </w:r>
          </w:p>
        </w:tc>
        <w:tc>
          <w:tcPr>
            <w:tcW w:w="5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528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made for initial public offering costs</w:t>
            </w:r>
          </w:p>
        </w:tc>
        <w:tc>
          <w:tcPr>
            <w:tcW w:w="5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r>
      <w:tr>
        <w:trPr>
          <w:trHeight w:val="21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528</w:t>
            </w:r>
          </w:p>
        </w:tc>
        <w:tc>
          <w:tcPr>
            <w:tcW w:w="1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106,443</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(33,657)</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94,131</w:t>
            </w: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850,224</w:t>
            </w:r>
          </w:p>
        </w:tc>
        <w:tc>
          <w:tcPr>
            <w:tcW w:w="1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21,768</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816,567</w:t>
            </w: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115,899</w:t>
            </w: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816,460</w:t>
            </w: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115,792</w:t>
            </w: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Restricted cash</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r>
      <w:tr>
        <w:trPr>
          <w:trHeight w:val="21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cash, cash equivalents and restricted cash</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816,567</w:t>
            </w: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115,899</w:t>
            </w:r>
          </w:p>
        </w:tc>
      </w:tr>
      <w:tr>
        <w:trPr>
          <w:trHeight w:val="425"/>
        </w:trPr>
        <w:tc>
          <w:tcPr>
            <w:tcW w:w="772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5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16"/>
        </w:trPr>
        <w:tc>
          <w:tcPr>
            <w:tcW w:w="77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Equity issuance costs included in accounts payable and accrued expenses</w:t>
            </w: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919</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Condensed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Nature of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2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Atea Pharmaceuticals, Inc., together with its subsidiary Atea Pharmaceuticals Securities Corporation, is referred to on a consolidated basis as “the Company”.</w:t>
      </w:r>
    </w:p>
    <w:p>
      <w:pPr>
        <w:spacing w:after="0" w:line="8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Company is a clinical-stage biopharmaceutical company focused on discovering, developing and commercializing antiviral therapeutics to improve the lives of patients suffering from life-threatening viral infections.</w:t>
      </w:r>
    </w:p>
    <w:p>
      <w:pPr>
        <w:spacing w:after="0" w:line="21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November 3, 2020, the Company completed an initial public offering of its common stock (the “IPO”). In connection with the IPO, the Company issued 14,375,000 shares of its common stock at $24.00 per share for net proceeds of $317,605 after deducting underwriting discounts and commissions and offering expenses. Upon closing of the IPO, all outstanding shares of the Company’s convertible preferred stock converted into 57,932,090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Company is subject to risks and uncertainties common to clinical-stage biopharmaceutical companies. These risks include, but are not limited to, potential failure of preclinical and clinical studies, uncertainties associated with research and development activities generally, competition from technical innovations of others, dependence upon key personnel, compliance with governmental regulations, the need to obtain marketing approval for any product candidate that the Company may discover and develop, the need to gain broad acceptance among patients, payers and health care providers to successfully commercialize any product for which marketing approval is obtained and the need to secure and maintain adequate intellectual property protection for the Company’s proprietary technology and products. Further, the Company is currently dependent on third-party service providers for much of its preclinical research, clinical development and manufacturing activities. Product candidates currently under development will require significant amounts of additional capital, additional research and development efforts, including extensive preclinical and clinical testing and regulatory approval, prior to commercialization. Even if the Company is able to generate revenues from the sale of its product candidates, if approved, it may not become profitable or be able to sustain profitability. If the Company fails to become profitable or is unable to sustain profitability on a continuing basis, then it may be unable to continue its operations at planned levels and be forced to reduce its operations. The Company is also subject to risks associated with the COVID-19 global pandemic, including actual and potential delays associated with certain of its ongoing and anticipated trials, and potential negative impacts on the Company’s business operations and its ability to raise additional capital to finance its operations.</w:t>
      </w:r>
    </w:p>
    <w:p>
      <w:pPr>
        <w:spacing w:after="0" w:line="92"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The Company may seek additional capital through one or more of a combination of financing through the sale of additional equity securities, debt financing, or funding in connection with any additional collaborative relationships it may enter into or other arrangements. There can be no assurance that the Company will be able to obtain such additional funding, on terms acceptable to the Company, on a timely basis or at</w:t>
      </w:r>
    </w:p>
    <w:p>
      <w:pPr>
        <w:spacing w:after="0" w:line="14"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all. The terms of any financing may adversely affect the holdings or the rights of the Company’s existing shareholders. The Company believes that its cash and cash equivalents of $816,460 as of June 30, 2021 will be sufficient to fund its operations as currently planned through at least 2023.</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 w:right="399" w:bottom="1440" w:gutter="0" w:footer="0" w:header="0"/>
        </w:sectPr>
      </w:pPr>
    </w:p>
    <w:bookmarkStart w:id="10" w:name="page11"/>
    <w:bookmarkEnd w:id="10"/>
    <w:p>
      <w:pPr>
        <w:ind w:right="400"/>
        <w:spacing w:after="0" w:line="234" w:lineRule="auto"/>
        <w:rPr>
          <w:sz w:val="20"/>
          <w:szCs w:val="20"/>
          <w:color w:val="auto"/>
        </w:rPr>
      </w:pPr>
      <w:r>
        <w:rPr>
          <w:rFonts w:ascii="Arial" w:cs="Arial" w:eastAsia="Arial" w:hAnsi="Arial"/>
          <w:sz w:val="18"/>
          <w:szCs w:val="18"/>
          <w:color w:val="auto"/>
        </w:rPr>
        <w:t>(“SEC”). Certain information and footnote disclosures normally included in financial statements prepared in accordance with GAAP have been condensed or omitted from this report, as is permitted by such rules and regulations. Accordingly, these unaudited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condensed consolidated financial statements should be read in conjunction with the Company’s audited consolidated financial statements and the notes thereto for the year ended December 31, 2020 included in the Company’s Annual Report on Form 10-K filed with the SEC on March 30,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preparation of unaudited financial statements in conformity with GAAP requires management to make estimates and assumptions that affect the amounts reported in the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estimates of revenue recognition, accrued research and development expenses, income taxes and the valuation of common stock in connection with the issuance of stock-based awards prior to the Company’s IPO. Changes in estimates are recorded in the period in which they become known.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6"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The unaudited condensed consolidated financial statements include the accounts of Atea Pharmaceuticals, Inc. and its wholly owned subsidiary, Atea Pharmaceuticals Securities Corporation. All intercompany amounts have been eliminated in consolidation.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accompanying condensed consolidated balance sheet as of June 30, 2021, the condensed consolidated statements of operations and comprehensive income (loss) for the three and six months ended June 30, 2021 and 2020, the condensed consolidated statements of convertible preferred stock and stockholders’ equity (deficit) for the three and six months ended June 30, 2021 and June 30, 2020, and the condensed consolidated statements of cash flows for the six months ended June 30, 2021 and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2021, the results of its operations for the three and six months ended June 30, 2021 and 2020 and its cash flows for the three and six months ended June 30, 2021 and 2020. The results for the six months ended June 30, 2021 and 2020 are not necessarily indicative of results to be expected for the year ending December 31, 2021, or any other interim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3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There were no changes in the Company’s significant accounting policies as described in the Annual Report on Form 10-K for the year ended December 31, 2020 filed with the SEC on March 30, 2021 except as discussed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jc w:val="both"/>
        <w:ind w:right="340"/>
        <w:spacing w:after="0" w:line="250" w:lineRule="auto"/>
        <w:rPr>
          <w:sz w:val="20"/>
          <w:szCs w:val="20"/>
          <w:color w:val="auto"/>
        </w:rPr>
      </w:pPr>
      <w:r>
        <w:rPr>
          <w:rFonts w:ascii="Arial" w:cs="Arial" w:eastAsia="Arial" w:hAnsi="Arial"/>
          <w:sz w:val="18"/>
          <w:szCs w:val="18"/>
          <w:color w:val="auto"/>
        </w:rPr>
        <w:t xml:space="preserve">The Company adopted Accounting Standards Updated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or “ASC 842”) effective January 1, 2021, using the modified retrospective method and utilized the effective date as its date of initial application, with prior periods presented in accordance with previous guidance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8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The Company has elected not to recognize leases with an original term of one year or less on the unaudited condensed consolidated balance sheet. The Company typically only includes an initial lease term in its assessment of a lease arrangement. Options to renew a lease are not included in the Company’s assessment unless there is reasonable certainty that the Company will renew. Leases with a term greater than one year are recognized on the balance sheet as right-of-use assets and current and non-current lease liabilities, as applicable.</w:t>
      </w:r>
    </w:p>
    <w:p>
      <w:pPr>
        <w:spacing w:after="0" w:line="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Leases that are economically similar to the purchase of assets are generally classified as finance leases; otherwise the leases are classified as operating leases. Operating lease liabilities and their corresponding right-of-use assets are initially recorded based on the present value of lease payments over the expected remaining lease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1" w:name="page12"/>
    <w:bookmarkEnd w:id="11"/>
    <w:p>
      <w:pPr>
        <w:ind w:right="40"/>
        <w:spacing w:after="0" w:line="237" w:lineRule="auto"/>
        <w:rPr>
          <w:sz w:val="20"/>
          <w:szCs w:val="20"/>
          <w:color w:val="auto"/>
        </w:rPr>
      </w:pPr>
      <w:r>
        <w:rPr>
          <w:rFonts w:ascii="Arial" w:cs="Arial" w:eastAsia="Arial" w:hAnsi="Arial"/>
          <w:sz w:val="18"/>
          <w:szCs w:val="18"/>
          <w:color w:val="auto"/>
        </w:rPr>
        <w:t>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including outstanding stock options. Diluted net income (loss) per share attributable to common stockholders is computed by dividing the diluted net income (loss) attributable to common stockholders by the weighted average number of common shares outstanding for the period, including potential dilutive common shares assuming the dilutive effect of outstanding stock options.</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Prior to the Company’s IPO in November 2020, basic and diluted net loss per share attributable to common stockholders was determined using the two-class method, which is required for participating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 xml:space="preserve">In February 2016, the Financial Accounting Standards Board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or “ASC 842”),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July 2018, an amendment was made that allows companies the option of using the effective date of the new standard as the initial application date (at the beginning of the period in which the new standard is adopted, rather than at the beginning of the earliest comparative period). This update includes a short-term lease exception for leases with a term of 12 months or less, in which a lessee can make an accounting policy election not to recognize the associated lease assets and lease liabilities on its balance sheet.</w:t>
      </w: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Additionally, in March 2019, the FASB issued ASU 2019-01 (“ASU No. 2019-01”). ASU No. 2019-01 clarifies the transition guidance related to interim disclosures provided in the year of adoption. Lessees will continue to differentiate between finance leases (previously referred to as capital leases) and operating leases, using classification criteria that are substantially similar to the previous guidance. For lessees, the recognition, measurement, and presentation of expenses and cash flows arising from a lease did not significantly change from previous U.S. GAAP. The modified retrospective method includes several optional practical expedients that entities may elect to apply, as well as transition guidance specific to nonstandard leasing transactions.</w:t>
      </w:r>
    </w:p>
    <w:p>
      <w:pPr>
        <w:spacing w:after="0" w:line="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the Company has elected to use the extended transition period for complying with new or revised accounting standards as available under the Jobs Act, the Company adopted the new standard effective January 1, 2021 using the modified retrospective method as of the beginning of the period of the adoption. The Company has elected the package of practical expedients permitted in ASC Topic 842. Accordingly, the Company accounted for its existing operating lease as an operating lease under the new guidance, without reassessing (a) whether the contracts contain a lease under ASC Topic 842, (b) whether classification of the operating leases would be different in accordance with ASC Topic 842, or (c) whether the unamortized initial direct costs would have met the definition of initial direct costs in ASC Topic 842 at lease commencement.</w:t>
      </w:r>
    </w:p>
    <w:p>
      <w:pPr>
        <w:spacing w:after="0" w:line="230"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The adoption of this standard resulted in the recording of operating lease liabilities and right-of-use assets on the Company’s unaudited condensed consolidated balance sheet (see Note 9). The adoption of the standard did not have a material effect on the Company’s unaudited condensed consolidated statements of operations and comprehensive income (loss), unaudited condensed consolidated statements of cash flows or unaudited condensed consolidated statement of stockholders’ equity (deficit).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ind w:right="20"/>
        <w:spacing w:after="0" w:line="238" w:lineRule="auto"/>
        <w:rPr>
          <w:sz w:val="20"/>
          <w:szCs w:val="20"/>
          <w:color w:val="auto"/>
        </w:rPr>
      </w:pPr>
      <w:r>
        <w:rPr>
          <w:rFonts w:ascii="Arial" w:cs="Arial" w:eastAsia="Arial" w:hAnsi="Arial"/>
          <w:sz w:val="18"/>
          <w:szCs w:val="18"/>
          <w:color w:val="auto"/>
        </w:rPr>
        <w:t xml:space="preserve">In July 2017, the FASB issued ASU No. 2017-11, </w:t>
      </w:r>
      <w:r>
        <w:rPr>
          <w:rFonts w:ascii="Arial" w:cs="Arial" w:eastAsia="Arial" w:hAnsi="Arial"/>
          <w:sz w:val="18"/>
          <w:szCs w:val="18"/>
          <w:i w:val="1"/>
          <w:iCs w:val="1"/>
          <w:color w:val="auto"/>
        </w:rPr>
        <w:t>Earnings Per Share (Topic 260), Distinguishing Liabilities from Equity (Topic 480),</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(“ASU 2017-11”)</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Part I applies to entities that issue financial instruments such as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Company adopted the standard effective January 1, 2021. The adoption of the standard did not have a material effect on the Company’s unaudited condensed consolidated balance sheets, condensed consolidated statements of operations and comprehensive income (loss), condensed consolidated statements of cash flows or condensed consolidated statement of stockholders’ equity (deficit).</w:t>
      </w:r>
    </w:p>
    <w:p>
      <w:pPr>
        <w:spacing w:after="0" w:line="80"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is intended to simplify the accounting for income taxes. ASU 2019-12 removes certain exceptions to the general principles in Topic 740 and also clarifies and amends existing guidance to improve consistent application. The Company adopted the standard effective January 1,</w:t>
      </w:r>
    </w:p>
    <w:p>
      <w:pPr>
        <w:spacing w:after="0" w:line="2"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2021. The adoption of the standard did not have a material effect on the Company’s unaudited condensed consolidated balance sheets, unaudited condensed consolidated statements of operations and comprehensive income (loss), unaudited condensed consolidated statements of cash flows or unaudited condensed consolidated statement of stockholders’ equity (deficit).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The new standard requires that expected credit losses relating to financial assets measured on an amortized cost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standard will be effective for the Company effective December 31, 2021 and the Company is evaluating the impact that the adoption of ASU 2016-13 will have on its consolidated financial statements.</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Collaboration Revenue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35" w:lineRule="exact"/>
        <w:rPr>
          <w:sz w:val="20"/>
          <w:szCs w:val="20"/>
          <w:color w:val="auto"/>
        </w:rPr>
      </w:pPr>
    </w:p>
    <w:p>
      <w:pPr>
        <w:jc w:val="both"/>
        <w:ind w:right="80"/>
        <w:spacing w:after="0" w:line="274" w:lineRule="auto"/>
        <w:rPr>
          <w:sz w:val="20"/>
          <w:szCs w:val="20"/>
          <w:color w:val="auto"/>
        </w:rPr>
      </w:pPr>
      <w:r>
        <w:rPr>
          <w:rFonts w:ascii="Arial" w:cs="Arial" w:eastAsia="Arial" w:hAnsi="Arial"/>
          <w:sz w:val="17"/>
          <w:szCs w:val="17"/>
          <w:color w:val="auto"/>
        </w:rPr>
        <w:t>In October 2020, the Company licensed to F. Hoffmann-LaRoche Ltd. and Genentech, Inc. (collectively, “Roche”) under a license agreement (the “Roche License Agreement”) ex-US rights to develop and commercialize certain of the Company’s compounds, including AT-527.</w:t>
      </w:r>
    </w:p>
    <w:p>
      <w:pPr>
        <w:spacing w:after="0" w:line="67" w:lineRule="exact"/>
        <w:rPr>
          <w:sz w:val="20"/>
          <w:szCs w:val="20"/>
          <w:color w:val="auto"/>
        </w:rPr>
      </w:pPr>
    </w:p>
    <w:p>
      <w:pPr>
        <w:jc w:val="both"/>
        <w:ind w:right="80"/>
        <w:spacing w:after="0" w:line="261" w:lineRule="auto"/>
        <w:rPr>
          <w:sz w:val="20"/>
          <w:szCs w:val="20"/>
          <w:color w:val="auto"/>
        </w:rPr>
      </w:pPr>
      <w:r>
        <w:rPr>
          <w:rFonts w:ascii="Arial" w:cs="Arial" w:eastAsia="Arial" w:hAnsi="Arial"/>
          <w:sz w:val="17"/>
          <w:szCs w:val="17"/>
          <w:color w:val="auto"/>
        </w:rPr>
        <w:t>The Company is responsible for completing certain ongoing clinical and non-clinical and manufacturing activities at its own expense. These obligations are referred to as the Atea Ongoing Studies and the Atea Manufacturing Obligations, respectively. The parties are collaboratively executing a global development plan intended to support regulatory approvals and are sharing joint development costs equally.</w:t>
      </w:r>
    </w:p>
    <w:p>
      <w:pPr>
        <w:spacing w:after="0" w:line="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Roche License Agreement provided for a nonrefundable upfront payment of $ 350,000 which the Company received in November 2020. In addition, the Roche License Agreement further provides that Roche is obligated to pay the Company up to $330,000 in the aggregate upon the achievement of certain development and regulatory milestone events; up to $320,000 in the aggregate upon the achievement of certain sales based milestone events; and tiered royalties based on annual net sales of the products covered by the agreement, ranging between low double-digits and mid-twenties, subject to certain adjustments and limitations. The Company achieved a development milestone in the amount of $ 50,000 during the three months ended June 30, 2021. Further, under the Roche License Agreement, the Company has a one time option to request that Roche co-promote with the Company in the United States products covered by the Roche License Agreement that are successfully developed and commercialized. Roche has the right to terminate the Roche License Agreement for convenience pursuant to the terms of the agreement.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Accounting Analysis</w:t>
      </w:r>
    </w:p>
    <w:p>
      <w:pPr>
        <w:spacing w:after="0" w:line="1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Company concluded that the License Agreement is under the scope of ASC 808 as both parties will actively participate in a joint operating activity and are exposed to significant risks and rewards that depend on the activity’s commercial success. ASC 808 provides that certain transactions between collaborative arrangement participants should be accounted for as revenue under ASC 606 when the collaborative arrangement participant is a customer in the context of a unit of account. In those situations, all of the guidance in ASC 606 should be applied, including recognition, measurement, presentation, and disclosure requirements related to such unit of account. The unit-of-account guidance in ASC 808, which aligns with the guidance in ASC 606 (that is, a distinct good or service) is used when an entity is assessing whether the collaborative arrangement or a part of the arrangement is within the scope of ASC 606. Based on the Company’s analysis, it concluded that the delivery of the license to Roche, the performance of the Atea Ongoing Studies and the Atea Manufacturing Obligations should be accounted for under ASC 606. The Company’s efforts under the global development plan and certain Atea Manufacturing Obligations in the initial year of the contract, will be accounted for under ASC 808.</w:t>
      </w:r>
    </w:p>
    <w:p>
      <w:pPr>
        <w:spacing w:after="0" w:line="11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Company concluded that the provision of the license to Roche, the performance of the Atea Ongoing Studies and the Atea Manufacturing Obligations should be combined as one performance obligation as Roche cannot receive the benefit of each promise without the other promises. Specifically, Roche is dependent on the Company’s expertise and ability to complete the Atea Ongoing Studies and the Atea Manufacturing Obligations, which cannot be performed by other third parties, in order to exploit the value from the license.</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initial transaction price was $350,000 which consisted of the upfront payment. The Company concluded that all other forms of variable consideration, including future development and regulatory milestones should be constrained at contract inception. As part of this conclusion, the Company assessed the stage of development and risk associated with remaining development required to achieve each milestone, including whether the achievement of certain milestones was outside the control of the Company. During the three months ended June 30, 2021, the transaction price was increased to $400,000 which includes the $350,000 upfront payment and $50,000 related to the development milestone payment achieved during the three months ended June 30, 2021. Sales based milestone payments and royalty payments qualify for the sales based royalty exception and will be recognized when the underlying sale transaction have occurred.</w:t>
      </w:r>
    </w:p>
    <w:p>
      <w:pPr>
        <w:spacing w:after="0" w:line="1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transaction price is being recognized as collaboration revenue over the period in which the Company performs the Atea Ongoing Studies and the Atea Manufacturing Obligations. The Company concluded that an inputs method based on costs incurred compared to total estimated costs-to-complete approach most faithfully depicts the Company’s progress towards completion. Revenue recognized for the three months ended June 30, 2021 was calculated by applying the cumulative percent complete to the transaction price of $400,000 minus the cumulative revenue previously recognized.</w:t>
      </w:r>
    </w:p>
    <w:p>
      <w:pPr>
        <w:spacing w:after="0" w:line="108"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 xml:space="preserve">The Company concluded that its efforts to complete the global development plan will be accounted for under ASC 808. The Company will account for expenses incurred and reimbursements made or received from Roche pursuant to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As such, the Company will expense costs as incurred, including any reimbursements made to Roche, and recognize reimbursement received from Roche as a reduction of research and development expense.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all revenues recognized under the Roche License Agreement as collaboration revenues within the accompanying</w:t>
      </w:r>
    </w:p>
    <w:p>
      <w:pPr>
        <w:spacing w:after="0" w:line="234" w:lineRule="auto"/>
        <w:rPr>
          <w:sz w:val="20"/>
          <w:szCs w:val="20"/>
          <w:color w:val="auto"/>
        </w:rPr>
      </w:pPr>
      <w:r>
        <w:rPr>
          <w:rFonts w:ascii="Arial" w:cs="Arial" w:eastAsia="Arial" w:hAnsi="Arial"/>
          <w:sz w:val="18"/>
          <w:szCs w:val="18"/>
          <w:color w:val="auto"/>
        </w:rPr>
        <w:t>unaudited condensed consolidated statements of operations and comprehensive income (loss). For the three and six months ended</w:t>
      </w:r>
    </w:p>
    <w:p>
      <w:pPr>
        <w:spacing w:after="0" w:line="235" w:lineRule="auto"/>
        <w:rPr>
          <w:sz w:val="20"/>
          <w:szCs w:val="20"/>
          <w:color w:val="auto"/>
        </w:rPr>
      </w:pPr>
      <w:r>
        <w:rPr>
          <w:rFonts w:ascii="Arial" w:cs="Arial" w:eastAsia="Arial" w:hAnsi="Arial"/>
          <w:sz w:val="18"/>
          <w:szCs w:val="18"/>
          <w:color w:val="auto"/>
        </w:rPr>
        <w:t>June 30, 2021, the Company recognized collaboration revenue of $60,391 and $126,376, respectively, related to the combined performance</w:t>
      </w:r>
    </w:p>
    <w:p>
      <w:pPr>
        <w:spacing w:after="0" w:line="235" w:lineRule="auto"/>
        <w:rPr>
          <w:sz w:val="20"/>
          <w:szCs w:val="20"/>
          <w:color w:val="auto"/>
        </w:rPr>
      </w:pPr>
      <w:r>
        <w:rPr>
          <w:rFonts w:ascii="Arial" w:cs="Arial" w:eastAsia="Arial" w:hAnsi="Arial"/>
          <w:sz w:val="18"/>
          <w:szCs w:val="18"/>
          <w:color w:val="auto"/>
        </w:rPr>
        <w:t>obligation. As of June 30, 2021, the Company had deferred revenue of $224,991 related to the Roche License Agreement. Deferred</w:t>
      </w:r>
    </w:p>
    <w:p>
      <w:pPr>
        <w:spacing w:after="0" w:line="235" w:lineRule="auto"/>
        <w:rPr>
          <w:sz w:val="20"/>
          <w:szCs w:val="20"/>
          <w:color w:val="auto"/>
        </w:rPr>
      </w:pPr>
      <w:r>
        <w:rPr>
          <w:rFonts w:ascii="Arial" w:cs="Arial" w:eastAsia="Arial" w:hAnsi="Arial"/>
          <w:sz w:val="18"/>
          <w:szCs w:val="18"/>
          <w:color w:val="auto"/>
        </w:rPr>
        <w:t>revenue is classified in current liabilities in the accompanying unaudited condensed consolidated balance sheet as of June 30, 2021 as the</w:t>
      </w:r>
    </w:p>
    <w:p>
      <w:pPr>
        <w:spacing w:after="0"/>
        <w:rPr>
          <w:sz w:val="20"/>
          <w:szCs w:val="20"/>
          <w:color w:val="auto"/>
        </w:rPr>
      </w:pPr>
      <w:r>
        <w:rPr>
          <w:rFonts w:ascii="Arial" w:cs="Arial" w:eastAsia="Arial" w:hAnsi="Arial"/>
          <w:sz w:val="18"/>
          <w:szCs w:val="18"/>
          <w:color w:val="auto"/>
        </w:rPr>
        <w:t>performance obligation associated with the deferred revenue as of June 30, 2021 is expected to be completed within twelve months.</w:t>
      </w:r>
    </w:p>
    <w:p>
      <w:pPr>
        <w:spacing w:after="0" w:line="11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For the three and six months ended June 30, 2021, costs reimbursable by Roche which are reflected as a reduction to operating expenses were $2,478 and $ 5,897, respectively. The Company recorded research and development expense of $23,212 and $37,729, respectively, related to its share of costs incurred by Roche. The net liability to Roche related to reimbursable costs was $29,541 as of June 30, 2021, with $8,807 recorded as accounts payable and $ 20,734 recorded as accrued expenses and other current liabilities in the accompanying unaudited condensed consolidated balance sheet. Unbilled receivables as of December 31, 2020 were offset against amounts due to Roche included in accounts payable at June 30, 2021.</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Included in accounts receivable is $50,000 related to a milestone achieved by the Company during the three months ended June 30, 2021.</w:t>
      </w:r>
    </w:p>
    <w:p>
      <w:pPr>
        <w:spacing w:after="0"/>
        <w:rPr>
          <w:sz w:val="20"/>
          <w:szCs w:val="20"/>
          <w:color w:val="auto"/>
        </w:rPr>
      </w:pPr>
      <w:r>
        <w:rPr>
          <w:rFonts w:ascii="Arial" w:cs="Arial" w:eastAsia="Arial" w:hAnsi="Arial"/>
          <w:sz w:val="18"/>
          <w:szCs w:val="18"/>
          <w:color w:val="auto"/>
        </w:rPr>
        <w:t>This amount was received in July 2021.</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Fair Value Measurements</w:t>
      </w:r>
    </w:p>
    <w:p>
      <w:pPr>
        <w:spacing w:after="0" w:line="13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Fair Value Measurements as of</w:t>
      </w:r>
    </w:p>
    <w:p>
      <w:pPr>
        <w:spacing w:after="0" w:line="14"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June 30, 2021</w:t>
      </w:r>
    </w:p>
    <w:tbl>
      <w:tblPr>
        <w:tblLayout w:type="fixed"/>
        <w:tblInd w:w="0" w:type="dxa"/>
        <w:tblCellMar>
          <w:top w:w="0" w:type="dxa"/>
          <w:left w:w="0" w:type="dxa"/>
          <w:bottom w:w="0" w:type="dxa"/>
          <w:right w:w="0" w:type="dxa"/>
        </w:tblCellMar>
      </w:tblPr>
      <w:tr>
        <w:trPr>
          <w:trHeight w:val="209"/>
        </w:trPr>
        <w:tc>
          <w:tcPr>
            <w:tcW w:w="578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811,693</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811,693</w:t>
            </w:r>
          </w:p>
        </w:tc>
      </w:tr>
      <w:tr>
        <w:trPr>
          <w:trHeight w:val="209"/>
        </w:trPr>
        <w:tc>
          <w:tcPr>
            <w:tcW w:w="57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811,693</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811,693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6"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Fair Value Measurements as of</w:t>
      </w:r>
    </w:p>
    <w:p>
      <w:pPr>
        <w:spacing w:after="0" w:line="14"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December 31, 2020</w:t>
      </w:r>
    </w:p>
    <w:tbl>
      <w:tblPr>
        <w:tblLayout w:type="fixed"/>
        <w:tblInd w:w="0" w:type="dxa"/>
        <w:tblCellMar>
          <w:top w:w="0" w:type="dxa"/>
          <w:left w:w="0" w:type="dxa"/>
          <w:bottom w:w="0" w:type="dxa"/>
          <w:right w:w="0" w:type="dxa"/>
        </w:tblCellMar>
      </w:tblPr>
      <w:tr>
        <w:trPr>
          <w:trHeight w:val="209"/>
        </w:trPr>
        <w:tc>
          <w:tcPr>
            <w:tcW w:w="578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846,701</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846,701</w:t>
            </w:r>
          </w:p>
        </w:tc>
      </w:tr>
      <w:tr>
        <w:trPr>
          <w:trHeight w:val="209"/>
        </w:trPr>
        <w:tc>
          <w:tcPr>
            <w:tcW w:w="57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846,701</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846,701</w:t>
            </w:r>
          </w:p>
        </w:tc>
      </w:tr>
    </w:tbl>
    <w:p>
      <w:pPr>
        <w:spacing w:after="0" w:line="12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Company’s assets with fair value categorized as Level 1 within the fair value hierarchy include money market funds. Money market funds are publicly traded mutual funds and are presented as cash equivalents on the unaudited condensed consolidated balance sheets as of June 30, 2021 and December 31,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Level 1, Level 2 or Level 3 categories in the six months ended June 30, 2021 and 2020.</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Accrued Expenses and Other Current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3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0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1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26,925</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10,546</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Professional fees and other</w:t>
            </w: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2,071</w:t>
            </w:r>
          </w:p>
        </w:tc>
        <w:tc>
          <w:tcPr>
            <w:tcW w:w="3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1,079</w:t>
            </w:r>
          </w:p>
        </w:tc>
      </w:tr>
      <w:tr>
        <w:trPr>
          <w:trHeight w:val="216"/>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Payroll and payroll related</w:t>
            </w:r>
          </w:p>
        </w:tc>
        <w:tc>
          <w:tcPr>
            <w:tcW w:w="1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1,765</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2,743</w:t>
            </w:r>
          </w:p>
        </w:tc>
      </w:tr>
      <w:tr>
        <w:trPr>
          <w:trHeight w:val="216"/>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7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7,200</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60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2180" w:type="dxa"/>
            <w:vAlign w:val="bottom"/>
            <w:tcBorders>
              <w:bottom w:val="single" w:sz="8" w:color="auto"/>
            </w:tcBorders>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37,961</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14,368</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Common Stock</w:t>
      </w:r>
    </w:p>
    <w:p>
      <w:pPr>
        <w:spacing w:after="0" w:line="13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At June 30, 2021, the authorized capital of the Company included 300,000,000 shares of common stock, of which 82,776,937 shares of common stock were issued and outstanding. On all matters to be voted upon by the holders of common stock, holders of common stock are entitled to one vote per share. The holders of common stock have no preemptive, redemption or conversion rights.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Stock-based Compensation</w:t>
      </w:r>
    </w:p>
    <w:p>
      <w:pPr>
        <w:spacing w:after="0" w:line="13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October 2020, the Company’s shareholders approved the Company’s 2020 Incentive Award Plan (the “2020 Plan”), which became effective in connection with the Company’s initial public offering on October 29, 2020. The 2020 Plan provides for the issuance of up to 7,924,000 shares of common stock and for grant of incentive stock options or other incentive awards to employees, officers, directors and consultants of the Company. The number of shares of common stock that may be issued under the 2020 Plan is also subject to increase on the first day of each calendar year equal to the lesser of i) 5% of the aggregate number of shares of common stock outstanding on the final day of the immediately preceding calendar year or ii) such smaller number of shares as is determined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by the board of directors. In January 2021, the shares available under the plan were increased by 4,130,847 shares.</w:t>
      </w:r>
    </w:p>
    <w:p>
      <w:pPr>
        <w:spacing w:after="0" w:line="10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2020 Plan replaced and is the successor of 2013 Equity Incentive Plan, as amended (the “2013 Plan”), which provided for the grant of incentive stock options, non-qualified stock options, restricted common stock awards and other awards for up to 7,807,200 shares of common stock to employees, officers, directors and consultants of the Company. Upon the closing of the Company’s IPO the 2013 Plan was terminated and no further awards will be made under the 2013 Plan. Any cancellation of outstanding awards at the time of the IPO under the 2013 Plan will be made available for grant under 2020 Plan.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there were 8,127,850 shares of common stock remaining available for future issuance under the 2020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During the three and six months ended June 30, 2021, the Company granted 1,022,045 and 3,234,295 options, respectively, to employees with an aggregate grant date fair market value of $19,812 and $132,283, respectively. During the three and six months ended June 30, 2020,</w:t>
      </w:r>
    </w:p>
    <w:p>
      <w:pPr>
        <w:spacing w:after="0"/>
        <w:rPr>
          <w:sz w:val="20"/>
          <w:szCs w:val="20"/>
          <w:color w:val="auto"/>
        </w:rPr>
      </w:pPr>
      <w:r>
        <w:rPr>
          <w:rFonts w:ascii="Arial" w:cs="Arial" w:eastAsia="Arial" w:hAnsi="Arial"/>
          <w:sz w:val="18"/>
          <w:szCs w:val="18"/>
          <w:color w:val="auto"/>
        </w:rPr>
        <w:t>293,861 options were granted with an aggregate grant date fair market value of $317.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classified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5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r>
      <w:tr>
        <w:trPr>
          <w:trHeight w:val="209"/>
        </w:trPr>
        <w:tc>
          <w:tcPr>
            <w:tcW w:w="578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0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4,573</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7,771</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157</w:t>
            </w:r>
          </w:p>
        </w:tc>
      </w:tr>
      <w:tr>
        <w:trPr>
          <w:trHeight w:val="216"/>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5,434</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9,509</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241</w:t>
            </w:r>
          </w:p>
        </w:tc>
      </w:tr>
      <w:tr>
        <w:trPr>
          <w:trHeight w:val="209"/>
        </w:trPr>
        <w:tc>
          <w:tcPr>
            <w:tcW w:w="5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10,007</w:t>
            </w:r>
          </w:p>
        </w:tc>
        <w:tc>
          <w:tcPr>
            <w:tcW w:w="40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17,280</w:t>
            </w:r>
          </w:p>
        </w:tc>
        <w:tc>
          <w:tcPr>
            <w:tcW w:w="4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398</w:t>
            </w:r>
          </w:p>
        </w:tc>
      </w:tr>
    </w:tbl>
    <w:p>
      <w:pPr>
        <w:spacing w:after="0" w:line="207" w:lineRule="exact"/>
        <w:rPr>
          <w:sz w:val="20"/>
          <w:szCs w:val="20"/>
          <w:color w:val="auto"/>
        </w:rPr>
      </w:pPr>
    </w:p>
    <w:p>
      <w:pPr>
        <w:ind w:right="5280" w:firstLine="8"/>
        <w:spacing w:after="0" w:line="396" w:lineRule="auto"/>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(Loss) Per Share Attributable to Common Stockholders </w:t>
      </w:r>
      <w:r>
        <w:rPr>
          <w:rFonts w:ascii="Arial" w:cs="Arial" w:eastAsia="Arial" w:hAnsi="Arial"/>
          <w:sz w:val="18"/>
          <w:szCs w:val="18"/>
          <w:color w:val="auto"/>
        </w:rPr>
        <w:t>Basic and diluted earnings per share are calculated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r>
      <w:tr>
        <w:trPr>
          <w:trHeight w:val="209"/>
        </w:trPr>
        <w:tc>
          <w:tcPr>
            <w:tcW w:w="57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1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32,252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(13,981)</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Weighted average common shares outstanding, basic</w:t>
            </w: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82,743,530</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10,096,307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82,662,019</w:t>
            </w:r>
          </w:p>
        </w:tc>
        <w:tc>
          <w:tcPr>
            <w:tcW w:w="3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10,093,689</w:t>
            </w: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outstanding stock options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5,347,854</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6,021,748</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Weighted average common shares outstanding, diluted</w:t>
            </w: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88,091,384</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10,096,307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88,683,767</w:t>
            </w:r>
          </w:p>
        </w:tc>
        <w:tc>
          <w:tcPr>
            <w:tcW w:w="3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10,093,689</w:t>
            </w: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basic</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per share,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bl>
    <w:p>
      <w:pPr>
        <w:spacing w:after="0" w:line="20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Stock options for the purchase of 3,548,713 and 2,308,070 weighted average shares were excluded from the computation of diluted net income per share attributable to common stockholders for the three and six months ended June 30, 2021, respectively, because those options had an anti-dilutive impact due to the assumed proceeds per share using the treasury stock method being greater than the average fair value of the Company’s common shares for the period. For the three and six months ended June 30, 2020, 48,958,829 shares of convertible preferred stock, options to purchase 4,186,747 shares of common stock and 200,000 shares of non-vested restricted common stock have been excluded from the calculation of diluted net loss per share, as their effect is anti-dilutive.</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Leases</w:t>
      </w:r>
    </w:p>
    <w:p>
      <w:pPr>
        <w:spacing w:after="0" w:line="23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As of January 1, 2021, the date of adoption of ASC 842, the Company utilized operating classification for its facility lease and recorded a right-of-use asset and lease liability.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 w:name="page17"/>
    <w:bookmarkEnd w:id="16"/>
    <w:p>
      <w:pPr>
        <w:ind w:right="160"/>
        <w:spacing w:after="0"/>
        <w:rPr>
          <w:sz w:val="20"/>
          <w:szCs w:val="20"/>
          <w:color w:val="auto"/>
        </w:rPr>
      </w:pPr>
      <w:r>
        <w:rPr>
          <w:rFonts w:ascii="Arial" w:cs="Arial" w:eastAsia="Arial" w:hAnsi="Arial"/>
          <w:sz w:val="18"/>
          <w:szCs w:val="18"/>
          <w:color w:val="auto"/>
        </w:rPr>
        <w:t>The following assets and liabilities are recorded on the Company’s balance sheet as of June 30, 2021. The right-of-use asset is included in other assets, the current lease liability is included in accrued expenses and other current liabilities and the non-current lease liability is included in other liabilities,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top w:val="single" w:sz="8" w:color="auto"/>
            </w:tcBorders>
          </w:tcPr>
          <w:p>
            <w:pPr>
              <w:spacing w:after="0"/>
              <w:rPr>
                <w:sz w:val="20"/>
                <w:szCs w:val="20"/>
                <w:color w:val="auto"/>
              </w:rPr>
            </w:pPr>
          </w:p>
        </w:tc>
        <w:tc>
          <w:tcPr>
            <w:tcW w:w="39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As of June 30,</w:t>
            </w:r>
          </w:p>
        </w:tc>
      </w:tr>
      <w:tr>
        <w:trPr>
          <w:trHeight w:val="225"/>
        </w:trPr>
        <w:tc>
          <w:tcPr>
            <w:tcW w:w="56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r>
      <w:tr>
        <w:trPr>
          <w:trHeight w:val="20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w:t>
            </w:r>
          </w:p>
        </w:tc>
        <w:tc>
          <w:tcPr>
            <w:tcW w:w="39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Current lease liability</w:t>
            </w:r>
          </w:p>
        </w:tc>
        <w:tc>
          <w:tcPr>
            <w:tcW w:w="3980" w:type="dxa"/>
            <w:vAlign w:val="bottom"/>
          </w:tcPr>
          <w:p>
            <w:pPr>
              <w:spacing w:after="0"/>
              <w:rPr>
                <w:sz w:val="18"/>
                <w:szCs w:val="18"/>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332</w:t>
            </w:r>
          </w:p>
        </w:tc>
      </w:tr>
      <w:tr>
        <w:trPr>
          <w:trHeight w:val="216"/>
        </w:trPr>
        <w:tc>
          <w:tcPr>
            <w:tcW w:w="5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Non-current lease liability</w:t>
            </w:r>
          </w:p>
        </w:tc>
        <w:tc>
          <w:tcPr>
            <w:tcW w:w="39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w:t>
            </w:r>
          </w:p>
        </w:tc>
      </w:tr>
    </w:tbl>
    <w:p>
      <w:pPr>
        <w:spacing w:after="0" w:line="215" w:lineRule="exact"/>
        <w:rPr>
          <w:sz w:val="20"/>
          <w:szCs w:val="20"/>
          <w:color w:val="auto"/>
        </w:rPr>
      </w:pPr>
    </w:p>
    <w:p>
      <w:pPr>
        <w:jc w:val="both"/>
        <w:ind w:right="700"/>
        <w:spacing w:after="0" w:line="246" w:lineRule="auto"/>
        <w:rPr>
          <w:sz w:val="20"/>
          <w:szCs w:val="20"/>
          <w:color w:val="auto"/>
        </w:rPr>
      </w:pPr>
      <w:r>
        <w:rPr>
          <w:rFonts w:ascii="Arial" w:cs="Arial" w:eastAsia="Arial" w:hAnsi="Arial"/>
          <w:sz w:val="18"/>
          <w:szCs w:val="18"/>
          <w:color w:val="auto"/>
        </w:rPr>
        <w:t>The components of the lease allocated between the general and administrative and the research and development expenses on the unaudited condensed consolidated statement of operations costs for the three and six months ended June 30, 2021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Three Months</w:t>
            </w:r>
          </w:p>
        </w:tc>
        <w:tc>
          <w:tcPr>
            <w:tcW w:w="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Six Months</w:t>
            </w:r>
          </w:p>
        </w:tc>
      </w:tr>
      <w:tr>
        <w:trPr>
          <w:trHeight w:val="203"/>
        </w:trPr>
        <w:tc>
          <w:tcPr>
            <w:tcW w:w="47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Ended</w:t>
            </w:r>
          </w:p>
        </w:tc>
        <w:tc>
          <w:tcPr>
            <w:tcW w:w="360" w:type="dxa"/>
            <w:vAlign w:val="bottom"/>
          </w:tcPr>
          <w:p>
            <w:pPr>
              <w:spacing w:after="0"/>
              <w:rPr>
                <w:sz w:val="17"/>
                <w:szCs w:val="17"/>
                <w:color w:val="auto"/>
              </w:rPr>
            </w:pP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Ended</w:t>
            </w:r>
          </w:p>
        </w:tc>
      </w:tr>
      <w:tr>
        <w:trPr>
          <w:trHeight w:val="216"/>
        </w:trPr>
        <w:tc>
          <w:tcPr>
            <w:tcW w:w="4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r>
      <w:tr>
        <w:trPr>
          <w:trHeight w:val="225"/>
        </w:trPr>
        <w:tc>
          <w:tcPr>
            <w:tcW w:w="47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3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141</w:t>
            </w:r>
          </w:p>
        </w:tc>
      </w:tr>
      <w:tr>
        <w:trPr>
          <w:trHeight w:val="216"/>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costs</w:t>
            </w:r>
          </w:p>
        </w:tc>
        <w:tc>
          <w:tcPr>
            <w:tcW w:w="30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r>
      <w:tr>
        <w:trPr>
          <w:trHeight w:val="209"/>
        </w:trPr>
        <w:tc>
          <w:tcPr>
            <w:tcW w:w="4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lease costs</w:t>
            </w:r>
          </w:p>
        </w:tc>
        <w:tc>
          <w:tcPr>
            <w:tcW w:w="324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161</w:t>
            </w:r>
          </w:p>
        </w:tc>
      </w:tr>
    </w:tbl>
    <w:p>
      <w:pPr>
        <w:spacing w:after="0" w:line="21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variable lease costs for the three and six months ended June 30, 2021 include common area maintenance and other operating charges associated with the Company’s lease of its principal office facilities in Boston, MA. As the Company’s lease does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As of June 30,</w:t>
            </w:r>
          </w:p>
        </w:tc>
      </w:tr>
      <w:tr>
        <w:trPr>
          <w:trHeight w:val="225"/>
        </w:trPr>
        <w:tc>
          <w:tcPr>
            <w:tcW w:w="91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r>
      <w:tr>
        <w:trPr>
          <w:trHeight w:val="209"/>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Remaining lease term (in years)</w:t>
            </w: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w:t>
            </w:r>
          </w:p>
        </w:tc>
      </w:tr>
      <w:tr>
        <w:trPr>
          <w:trHeight w:val="216"/>
        </w:trPr>
        <w:tc>
          <w:tcPr>
            <w:tcW w:w="9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w:t>
            </w: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426"/>
        </w:trPr>
        <w:tc>
          <w:tcPr>
            <w:tcW w:w="9180" w:type="dxa"/>
            <w:vAlign w:val="bottom"/>
          </w:tcPr>
          <w:p>
            <w:pPr>
              <w:spacing w:after="0"/>
              <w:rPr>
                <w:sz w:val="20"/>
                <w:szCs w:val="20"/>
                <w:color w:val="auto"/>
              </w:rPr>
            </w:pPr>
            <w:r>
              <w:rPr>
                <w:rFonts w:ascii="Arial" w:cs="Arial" w:eastAsia="Arial" w:hAnsi="Arial"/>
                <w:sz w:val="18"/>
                <w:szCs w:val="18"/>
                <w:color w:val="auto"/>
              </w:rPr>
              <w:t>Future minimum payments under the Company’s operating leases as of June 30, 2021 were as follows: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9"/>
        </w:trPr>
        <w:tc>
          <w:tcPr>
            <w:tcW w:w="9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r>
      <w:tr>
        <w:trPr>
          <w:trHeight w:val="232"/>
        </w:trPr>
        <w:tc>
          <w:tcPr>
            <w:tcW w:w="9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b w:val="1"/>
                <w:bCs w:val="1"/>
                <w:color w:val="auto"/>
              </w:rPr>
              <w:t>As of June 30,</w:t>
            </w:r>
          </w:p>
        </w:tc>
      </w:tr>
      <w:tr>
        <w:trPr>
          <w:trHeight w:val="234"/>
        </w:trPr>
        <w:tc>
          <w:tcPr>
            <w:tcW w:w="9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r>
      <w:tr>
        <w:trPr>
          <w:trHeight w:val="21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171</w:t>
            </w:r>
          </w:p>
        </w:tc>
      </w:tr>
      <w:tr>
        <w:trPr>
          <w:trHeight w:val="216"/>
        </w:trPr>
        <w:tc>
          <w:tcPr>
            <w:tcW w:w="9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w:t>
            </w:r>
          </w:p>
        </w:tc>
      </w:tr>
      <w:tr>
        <w:trPr>
          <w:trHeight w:val="209"/>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371</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Less amount representing implied interest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lease liability</w:t>
            </w:r>
          </w:p>
        </w:tc>
        <w:tc>
          <w:tcPr>
            <w:tcW w:w="40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361</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Income Taxes</w:t>
      </w:r>
    </w:p>
    <w:p>
      <w:pPr>
        <w:spacing w:after="0" w:line="130"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Company recorded a provision for income taxes of $7,200 for the three and six months ended June 30, 2021 and $0 for the three and six months ended June 30, 2020. The tax expense recorded in the quarter ended June 30, 2021 is due to the application of a year-to-date effective tax rate rather than an annual effective rate estimated for the entire year as the Company determined that using a year-to-date approach resulted in a better estimate of its income tax expense/benefit. The Company used a year-to-date effective tax rate during the quarter ended June 30, 2021 due to a change in forecast resulting in the Company anticipating a federal and state taxable income for the year, while maintaining a full valuation allowance on its net deferred tax assets.</w:t>
      </w:r>
    </w:p>
    <w:p>
      <w:pPr>
        <w:spacing w:after="0" w:line="23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For the three and six months ended June 30, 2021, the Company utilized deferred tax assets, consisting of net operating loss carryforwards and research and development credits, in the amount of $17,100 to offset taxable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ind w:right="100"/>
        <w:spacing w:after="0" w:line="245" w:lineRule="auto"/>
        <w:rPr>
          <w:sz w:val="20"/>
          <w:szCs w:val="20"/>
          <w:color w:val="auto"/>
        </w:rPr>
      </w:pPr>
      <w:r>
        <w:rPr>
          <w:rFonts w:ascii="Arial" w:cs="Arial" w:eastAsia="Arial" w:hAnsi="Arial"/>
          <w:sz w:val="18"/>
          <w:szCs w:val="18"/>
          <w:color w:val="auto"/>
        </w:rPr>
        <w:t>income. The Company continues to maintain a full valuation allowance against its remaining net deferred tax assets as of June 30, 2021, as it is more likely than not that any future benefit beyond 2021 will not be realized.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Commitments and Contingencies</w:t>
      </w:r>
    </w:p>
    <w:p>
      <w:pPr>
        <w:spacing w:after="0" w:line="34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 has an agreement with a consultant that requires payment of a success fee calculated as a percentage of certain product sales, subject to a cumulative maximum payout of $ 5.0 million. This success payment is contingent upon the occurrence of future events and the timing and likelihood of such payment is neither probable nor estimable.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enters into certain types of contracts that contingently require the Company to indemnify various parties against claims from third parties. These contracts primarily relate to (i) the Company’s bylaws, under which the Company must indemnify directors and executive officers, and may indemnify other officers and employees, for liabilities arising out of their relationship, (ii) contracts under which the Company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It is not possible to determine the maximum potential amount potentially payable under these contracts since the Company has no history of prior indemnification claims and the unique facts and circumstances involved in each particular claim will be determinative.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Benefit Plan</w:t>
      </w:r>
    </w:p>
    <w:p>
      <w:pPr>
        <w:spacing w:after="0" w:line="23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During the three months ended June 30, 2021, the Company implemented a defined contribution plan under Section 401(k) of the Internal Revenue Code (the “401(k) Plan”). The plan covers substantially all employees who meet minimum age and service requirements. Under the terms of the plan, the Company records matching contributions up to 4% of the participant’s eligible compensation. During the three and six months ended June 30, 2021 the Company recognized expense of $76 relating to matching contributions to the 401(k) Plan.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Related Party Transactions</w:t>
      </w:r>
    </w:p>
    <w:p>
      <w:pPr>
        <w:spacing w:after="0" w:line="23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During the three months ended June 30, 2021, the Company entered into a consulting agreement with an entity controlled by one of its directors. The agreement provides for annual retainer of $110, the Company recognized expense in the amount of $14 for the three and six months ended June 30, 2021, of which $14 is included in accrued expenses and other current liabilities as of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Subsequent Events</w:t>
      </w:r>
    </w:p>
    <w:p>
      <w:pPr>
        <w:spacing w:after="0" w:line="238"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On July 19, 2021, the “Company” entered into a sublease (the “Sublease”) pursuant to which the Company will lease office space in Boston, Massachusetts (the “Premises”). The term of the Sublease is expected to commence on January 1, 2022 (the “Commencement Date”) and end on December 31, 2026.</w:t>
      </w:r>
    </w:p>
    <w:p>
      <w:pPr>
        <w:spacing w:after="0" w:line="13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Sublease provides that the initial base rent for the Premises will be $66 per month, subject to upward adjustment of 2% each year starting on the first anniversary of the Commencement Date. In addition to base rent, the Company is required to pay certain operating expenses and taxes associated with the Premises as well as certain utilities supplied to the Premises. The sublease includes a leasehold improvement allowance of $877 for certain improvements the Company is expecting to construct in the Premises.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dated December 31, 2020, filed with the Securities and Exchange Commission (“SEC”) on March 30, 2021.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II, Item 1A, “Risk Factors” and other factors set forth in other parts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are a clinical stage biopharmaceutical company focused on discovering, developing and commercializing antiviral therapeutics to improve the lives of patients suffering from life threatening viral infections. Leveraging our deep understanding of antiviral drug development, nucleoside biology, and medicinal chemistry, we have built a proprietary purine nucleotide prodrug platform to develop novel product candidates to treat single stranded ribonucleic acid viruses, which are a prevalent cause of severe viral diseases. Currently, we are focused on the development of orally available, potent, and selective nucleotide and nucleoside prodrugs for difficult to treat, life-threatening viral infections, including SARS-CoV-2, the virus that causes COVID-19, dengue virus, chronic hepatitis C infection (“HCV”), and respiratory syncytial virus (“RSV”).</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AT-527 for the Treatment of COVID-19</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product candidate for the treatment of patients with COVID-19 is AT-527, an orally administered, novel antiviral agent. In October 2020, we entered into a license agreement (“Roche License Agreement”) with F. Hoffmann-LaRoche Ltd. and Genentech, Inc. (together, “Roche”) under which we granted to Roche an exclusive license to development and commercialization rights related to certain of our compounds, including AT-527, outside of the United States (other than for certain HCV uses).</w:t>
      </w:r>
    </w:p>
    <w:p>
      <w:pPr>
        <w:spacing w:after="0" w:line="97"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 together with our collaborator Roche, initiated in April 2021 a Phase 3 clinical trial to study AT-527 in adult patients with mild or moderate COVID-19 in the outpatient setting (MORNINGSKY). In June 2021, the first patient was enrolled in a Phase 3 six month follow-on study (MEADOWSPRING) that is designed to evaluate the impact of AT-527 treatment on the long-term sequelae of COVID-19 in patients previously enrolled in MORNINGSKY.</w:t>
      </w:r>
    </w:p>
    <w:p>
      <w:pPr>
        <w:spacing w:after="0" w:line="3"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In addition, we are currently evaluating AT-527 for the treatment of patients with mild or moderate COVID-19 in two Phase 2 clinical trials. The first trial is a randomized, double-blind, placebo-controlled Phase 2 clinical trial in approximately 190 adult patients with</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moderate COVID-19 and one or more risk factors for poor outcomes in the hospital setting. We dosed our first patient in this clinical trial in September 2020. In June 2021, we announced results of the interim analysis of data from this first Phase 2 clinical trial. These interim results included data from 70 patients of which data from 62 patients were evaluable for virology analysis. Interim virology results indicated that AT-527 rapidly reduced viral load levels. At Day 2, patients receiving AT-527 experienced a 0.7 log</w:t>
      </w:r>
      <w:r>
        <w:rPr>
          <w:rFonts w:ascii="Arial" w:cs="Arial" w:eastAsia="Arial" w:hAnsi="Arial"/>
          <w:sz w:val="15"/>
          <w:szCs w:val="15"/>
          <w:color w:val="auto"/>
        </w:rPr>
        <w:t>10</w:t>
      </w:r>
      <w:r>
        <w:rPr>
          <w:rFonts w:ascii="Arial" w:cs="Arial" w:eastAsia="Arial" w:hAnsi="Arial"/>
          <w:sz w:val="18"/>
          <w:szCs w:val="18"/>
          <w:color w:val="auto"/>
        </w:rPr>
        <w:t xml:space="preserve"> (80%) greater mean reduction from baseline viral load as compared to placebo. A sustained difference in viral load reduction was maintained through Day 8. In addition, AT-527’s SARS-CoV-2 potent antiviral activity was also observed in patients with baseline viral loads above the median of 5.26 log</w:t>
      </w:r>
      <w:r>
        <w:rPr>
          <w:rFonts w:ascii="Arial" w:cs="Arial" w:eastAsia="Arial" w:hAnsi="Arial"/>
          <w:sz w:val="15"/>
          <w:szCs w:val="15"/>
          <w:color w:val="auto"/>
        </w:rPr>
        <w:t>10</w:t>
      </w:r>
      <w:r>
        <w:rPr>
          <w:rFonts w:ascii="Arial" w:cs="Arial" w:eastAsia="Arial" w:hAnsi="Arial"/>
          <w:sz w:val="18"/>
          <w:szCs w:val="18"/>
          <w:color w:val="auto"/>
        </w:rPr>
        <w:t xml:space="preserve"> as compared to placebo. The results showed that viral clearance of SARS-CoV-2 RNA in patients with higher baseline viral load (≥ median) is faster in patients treated with AT-527 versus placebo.</w:t>
      </w:r>
    </w:p>
    <w:p>
      <w:pPr>
        <w:spacing w:after="0" w:line="100"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The second Phase 2 clinical trial, which is being conducted in collaboration with Roche, is a randomized, double-blind, placebo-controlled clinical trial in up to 220 adult patients with mild or moderate COVID-19 in an outpatient setting (MOONSONG). The first patient in this trial was dosed in February 2021. We expect to report interim virology data from this trial in the second half of 2021.</w:t>
      </w:r>
    </w:p>
    <w:p>
      <w:pPr>
        <w:spacing w:after="0" w:line="95"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In addition to the ongoing Phase 3 and Phase 2 clinical trials we are also conducting a comprehensive Phase 1 program that includes several clinical trials in healthy volunteers which are either currently underway or planned.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AT-752 for the Treatment of Dengue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developing AT-752, an oral, purine nucleoside prodrug product candidate for the treatment of dengue. AT-752 has shown</w:t>
      </w:r>
    </w:p>
    <w:p>
      <w:pPr>
        <w:ind w:right="40"/>
        <w:spacing w:after="0" w:line="238" w:lineRule="auto"/>
        <w:rPr>
          <w:sz w:val="20"/>
          <w:szCs w:val="20"/>
          <w:color w:val="auto"/>
        </w:rPr>
      </w:pPr>
      <w:r>
        <w:rPr>
          <w:rFonts w:ascii="Arial" w:cs="Arial" w:eastAsia="Arial" w:hAnsi="Arial"/>
          <w:sz w:val="18"/>
          <w:szCs w:val="18"/>
          <w:color w:val="auto"/>
        </w:rPr>
        <w:t>potent activity against all serotypes tested in preclinical studies. In March 2021, we initiated a randomized, double-blind, placebo-controlled Phase 1a trial to evaluate the safety and pharmacokinetics (“PK”) of several different dosages of AT-752 in 50-60 healthy adult subjects. Part 1 of this Phase 1a trial, consisting of single ascending dose escalation of AT-752, has been completed and Part 2 of this trial, which is evaluating multiple doses of AT-752, has been initiated. The Phase 1b trial of AT-752 is evaluating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9" w:name="page20"/>
    <w:bookmarkEnd w:id="19"/>
    <w:p>
      <w:pPr>
        <w:spacing w:after="0" w:line="274" w:lineRule="auto"/>
        <w:rPr>
          <w:sz w:val="20"/>
          <w:szCs w:val="20"/>
          <w:color w:val="auto"/>
        </w:rPr>
      </w:pPr>
      <w:r>
        <w:rPr>
          <w:rFonts w:ascii="Arial" w:cs="Arial" w:eastAsia="Arial" w:hAnsi="Arial"/>
          <w:sz w:val="17"/>
          <w:szCs w:val="17"/>
          <w:color w:val="auto"/>
        </w:rPr>
        <w:t>antiviral activity, viral kinetics, safety and PK in 60-80 adult subjects with dengue virus infection. As part of the Roche License Agreement, we agreed that we would not commercialize AT-752 outside the United States unless we enter into a separate agreement with Roche to do so.</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AT-787 for the Treatment of Hepatitis C</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HCV is a blood-borne, positive sense, ssRNA virus, primarily infecting cells of the liver. HCV is a leading cause of chronic liver disease and liver transplants and spreads via blood transfusion, hemodialysis and needle sticks. We are developing AT-787 for the treatment of chronic HCV infection, including patients with decompensated cirrhosis. AT-787 combines AT-527 with a second generation NS5A inhibitor, AT-777, into a single, oral, pan-genotypic fixed-dose combination therapy. Despite recent advances in treatment, there remains a large underserved HCV patient population which continues to grow. Based on our preclinical and clinical data to date, we believe that AT-787, if approved, could offer potential benefits over currently available treatments, including to shorten treatment duration in non-cirrhotic and compensated cirrhosis HCV in all genotypes and to eliminate the need for ribavirin in patients with decompensated cirrhosis. We temporarily paused our development program for AT-787 in HCV infected patients at the outset of the COVID-19 pandemic in March 2020. Currently we expect to restart this program in the second half of 2021, starting with our Phase 1/2a clinical trial, which is designed to evaluate the safety and PK of different dosages of AT-777 in healthy adults and evaluate the combination of AT-527 and AT-777.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AT-889 and Other Candidates for the Treatment of RSV</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RSV is a seasonal respiratory virus that can be serious for infants, older adults, and the immuno-compromised population. We are evaluating AT-889, a second generation nucleoside pyrimidine prodrug and other compounds for the treatment of RSV. We believe AT-889 or one of our other candidates for RSV has the potential to inhibit both initiation of viral replication, as well as viral transcription. We anticipate nominating our product candidate and initiating the IND-enabling studies in the second half of 2021. We believe that the product candidate we develop, if successful, could be the first therapy in over 30 years to be approved specifically for the treatment of RSV.</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Operations Overview</w:t>
      </w:r>
    </w:p>
    <w:p>
      <w:pPr>
        <w:spacing w:after="0" w:line="13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of June 30, 2021, we had cash and cash equivalents of $816.5 million. Net cash used in operating activities was $34.2 million for the six months ended June 30, 2021. We expect that our net cash used in operating activities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we expect to incur additional costs as we continue to operate as a public company. We believe that our available cash and cash equivalents will be sufficient to fund our planned operations through at least 2023.</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do not have any product candidates approved for sale and have not generated any product revenue since inception. 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9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We plan to continue to use third-party service providers, including contract research organizations (“CROs”) and contract manufacturing organizations (“CMOs”), to carry out our preclinical and clinical development and to manufacture and supply the materials to be used during the development and commercialization of our product candidates.</w:t>
      </w:r>
    </w:p>
    <w:p>
      <w:pPr>
        <w:spacing w:after="0" w:line="87"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We expect to continue to incur significantly higher expenses over the next several years. We anticipate that our expenses will increase significantly in connection with our ongoing activities, as we:</w:t>
      </w:r>
    </w:p>
    <w:p>
      <w:pPr>
        <w:spacing w:after="0" w:line="89"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clinical development of AT-527 for the treatment of COVID-19;</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clinical development of AT-752 for the treatment of dengue;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20" w:name="page21"/>
    <w:bookmarkEnd w:id="20"/>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re-initiate clinical development of AT-787 for the treatment of HCV;</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IND-enabling activities and commence clinical development activities for product candidates for the treatment of RSV;</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additional research, development and general and administrative personnel;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commercialization capabilities;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To date, we have not generated any revenue from product sales. Our revenue has been collaboration revenue solely derived from the Roche License Agreement, which became effective in October 2020. If our development efforts for our product candidates are successful and result in commercialization, we may generate additional revenue in the future from a combination of product sales or payments from collaboration or license agreements that we may enter into with third 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Substantially all of our research and development expenses consist of expenses incurred in connection with the development of our product candidates. These expenses include fees paid to third parties, including CROs and CMOs, to conduct certain research and development activities on our behalf, consulting costs, certain payroll and personnel-related expenses, including salaries and bonuses, employee benefit costs and stock-based compensation expenses for our research and product development employees and allocated overhead, including rent, equipment, depreciation, information technology costs and utilities attributable to research and development personnel. We expense both internal and external research and development expenses as they are incurred. In circumstances where amounts have been paid in advance or in excess of costs incurred, we record a prepaid expense, which is expensed as services are performed or goods are delivered.</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 significant portion of our research and development costs have been external costs, which we track by therapeutic area. Our internal research and development costs are primarily personnel-related costs, including stock-based compensation, facility costs, including depreciation and lab consumables. We have not historically tracked our internal research and development expenses by therapeutic area as they are deployed across multiple programs.</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discussed in Note 3 to our unaudited condensed consolidated financial statements, we and Roche share certain manufacturing and clinical development costs on a 50/50 basis. Billings to us by Roche for our percentage share of such expenses are recorded in research and development expenses. These costs represent a material portion of our total expenses and may continue to increase based on the activities being performed by Roche.</w:t>
      </w:r>
    </w:p>
    <w:p>
      <w:pPr>
        <w:spacing w:after="0" w:line="9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following table summarizes our external research and development expenses by indication and internal research and development expenses: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4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r>
      <w:tr>
        <w:trPr>
          <w:trHeight w:val="209"/>
        </w:trPr>
        <w:tc>
          <w:tcPr>
            <w:tcW w:w="4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10"/>
        </w:trPr>
        <w:tc>
          <w:tcPr>
            <w:tcW w:w="4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COVID-19 external costs</w:t>
            </w: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28,841</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5,352</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46,954</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5,487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Dengue external costs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2,313</w:t>
            </w:r>
          </w:p>
        </w:tc>
        <w:tc>
          <w:tcPr>
            <w:tcW w:w="3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816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3,592</w:t>
            </w:r>
          </w:p>
        </w:tc>
        <w:tc>
          <w:tcPr>
            <w:tcW w:w="4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1,049</w:t>
            </w: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HCV external costs</w:t>
            </w: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RSV external costs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3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943</w:t>
            </w:r>
          </w:p>
        </w:tc>
        <w:tc>
          <w:tcPr>
            <w:tcW w:w="4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660</w:t>
            </w: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Internal research and development costs</w:t>
            </w:r>
          </w:p>
        </w:tc>
        <w:tc>
          <w:tcPr>
            <w:tcW w:w="12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8,077</w:t>
            </w:r>
          </w:p>
        </w:tc>
        <w:tc>
          <w:tcPr>
            <w:tcW w:w="3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1,064</w:t>
            </w:r>
          </w:p>
        </w:tc>
        <w:tc>
          <w:tcPr>
            <w:tcW w:w="1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14,846</w:t>
            </w:r>
          </w:p>
        </w:tc>
        <w:tc>
          <w:tcPr>
            <w:tcW w:w="4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1,697</w:t>
            </w:r>
          </w:p>
        </w:tc>
      </w:tr>
      <w:tr>
        <w:trPr>
          <w:trHeight w:val="21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research and development costs</w:t>
            </w:r>
          </w:p>
        </w:tc>
        <w:tc>
          <w:tcPr>
            <w:tcW w:w="1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39,803</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7,755</w:t>
            </w:r>
          </w:p>
        </w:tc>
        <w:tc>
          <w:tcPr>
            <w:tcW w:w="4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66,375</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10,576</w:t>
            </w:r>
          </w:p>
        </w:tc>
      </w:tr>
    </w:tbl>
    <w:p>
      <w:pPr>
        <w:spacing w:after="0" w:line="12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are focusing substantially all of our resources on the development of our product candidates, particularly AT-527. We expect our research and development expenses to increase substantially for at least the next few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1" w:name="page22"/>
    <w:bookmarkEnd w:id="21"/>
    <w:p>
      <w:pPr>
        <w:ind w:right="20"/>
        <w:spacing w:after="0" w:line="237" w:lineRule="auto"/>
        <w:rPr>
          <w:sz w:val="20"/>
          <w:szCs w:val="20"/>
          <w:color w:val="auto"/>
        </w:rPr>
      </w:pPr>
      <w:r>
        <w:rPr>
          <w:rFonts w:ascii="Arial" w:cs="Arial" w:eastAsia="Arial" w:hAnsi="Arial"/>
          <w:sz w:val="18"/>
          <w:szCs w:val="18"/>
          <w:color w:val="auto"/>
        </w:rPr>
        <w:t>as we seek to initiate additional clinical trials for our product candidates, complete our clinical programs, pursue regulatory approval of our product candidates and prepare for the possible commercialization of these product candidates. Predicting the timing or cost to complete our clinical programs or validation of our commercial manufacturing and supply processes is difficult and delays may occur because of many factors, including factors outside of our control. For example, if the U.S. Food and Drug Administration (“FDA”) or other regulatory authorities were to require us to conduct clinical trials beyond those that we currently anticipate, we could be required to expend significant additional financial resources and time on the completion of clinical development. Furthermore, we are unable to predict when or if our product candidates will receive regulatory approval with any certainty.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salaries and bonuses, benefits and stock-based compensation expenses, professional fees for legal, consulting, accounting and tax services, allocated overhead, including rent, equipment, depreciation, information technology costs and utilities, and other general operating expenses not otherwise classified as research and development expenses.</w:t>
      </w:r>
    </w:p>
    <w:p>
      <w:pPr>
        <w:spacing w:after="0" w:line="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expanded infrastructure and higher consulting, legal and accounting services costs associated with complying with Nasdaq and SEC requirements, investor relations costs and director and officer insurance premiums associated with being a public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and other, net, consists primarily of interest income earned on our cash and cash equivalents.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Income taxes consists primarily of federal and state income taxes.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9"/>
                <w:szCs w:val="19"/>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60,391</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60,391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39,803</w:t>
            </w: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7,755</w:t>
            </w: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32,048</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11,901</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2,248</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9,653</w:t>
            </w: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51,704</w:t>
            </w:r>
          </w:p>
        </w:tc>
        <w:tc>
          <w:tcPr>
            <w:tcW w:w="4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10,003</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41,701</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4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8,687</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(10,003)</w:t>
            </w:r>
          </w:p>
        </w:tc>
        <w:tc>
          <w:tcPr>
            <w:tcW w:w="5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18,690</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4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52</w:t>
            </w:r>
          </w:p>
        </w:tc>
        <w:tc>
          <w:tcPr>
            <w:tcW w:w="4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8,739</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(9,993)</w:t>
            </w:r>
          </w:p>
        </w:tc>
        <w:tc>
          <w:tcPr>
            <w:tcW w:w="5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18,732</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(7,200)</w:t>
            </w:r>
          </w:p>
        </w:tc>
        <w:tc>
          <w:tcPr>
            <w:tcW w:w="4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and comprehensive income (loss)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1,539</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(9,993)</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18,732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3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Collaboration revenue for the three months ended June 30, 2021 was derived from the Roche License Agreement that was executed in October 2020. As discussed in Note 3 to our unaudited condensed consolidated financial statements included elsewhere in this Quarterly Report on Form 10-Q, revenue is being recognized over the period in which the Company performs the Atea Ongoing Studies and the Atea Manufacturing Obligations. Revenue was calculated based on a transaction price of $400.0 million, which consisted of the upfront payment of $350.0 million and $50.0 million from a milestone achieved during the quarter.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Research and development expenses increased by $32.0 million from $7.8 million for the three months ended June 30, 2020 to $39.8 million for the three months ended June 30, 2021. The increase in research and development expenses was primarily due to a $25.0 million increase in external expenses incurred related to the CRO and CMO services in conjunction with the advancement of product candidates for the treatment of COVID-19 and dengue, including $ 23.2 million related to the Company’s share of costs incurred by Roche, and an increase of $7.0 million in internal spend primarily due to the expansion of our organization resulting in an increase in personnel-related expenses, including salaries and bonuses, benefits and stock-based compensation expense of $4.5 million for our research and product development employees and consulting fees and other research and development expenses. Research and development expenses include a reduction of $2.5 million representing Roche’s share of certain expenses incurred that are subject to ASC 808 as discussed in Note 3 to our unaudited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General and administrative expenses increased by $9.7 million from $2.2 million for the three months ended June 30, 2020 to $11.9 million for the three months ended June 30, 2021. The increase in general and administrative expenses was primarily due to the expansion of our organization resulting in an increase in payroll and personnel-related expenses of $6.5 million, including salaries, benefits and stock-based compensation expense of $5.3 million; professional fees of $1.4 million; and an increase in other general and administrative expenses of $1.8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22"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Interest income and other, net, remained consistent during the three months ended June 30, 2021 compared to the three months ended June 30, 2020 primarily due to lower interest rates applied to higher investment balances.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Income Tax Expense</w:t>
      </w:r>
    </w:p>
    <w:p>
      <w:pPr>
        <w:spacing w:after="0" w:line="23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Income tax expense was $7.2 million and $0 million for the three months ended June 30, 2021 and 2020, respectively. The effective tax rate for the three months ended June 30, 2021 and 2020 was 82% and 0%, respectively. The increase in income tax expense was primarily due to higher income before income taxes due to revenue generated in 2021. The tax provision for the three months ended June 30, 2021 was calculated based on the year to date effective rate.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Six Months Ended</w:t>
            </w:r>
          </w:p>
        </w:tc>
        <w:tc>
          <w:tcPr>
            <w:tcW w:w="5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9"/>
                <w:szCs w:val="19"/>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126,376</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126,376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66,375</w:t>
            </w: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10,576</w:t>
            </w: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55,799</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20,658</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3,472</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17,186</w:t>
            </w: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87,033</w:t>
            </w:r>
          </w:p>
        </w:tc>
        <w:tc>
          <w:tcPr>
            <w:tcW w:w="4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14,048</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72,985</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39,343</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(14,048)</w:t>
            </w:r>
          </w:p>
        </w:tc>
        <w:tc>
          <w:tcPr>
            <w:tcW w:w="5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53,391</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109</w:t>
            </w:r>
          </w:p>
        </w:tc>
        <w:tc>
          <w:tcPr>
            <w:tcW w:w="4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39,452</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(13,981)</w:t>
            </w:r>
          </w:p>
        </w:tc>
        <w:tc>
          <w:tcPr>
            <w:tcW w:w="5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53,433</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(7,200)</w:t>
            </w:r>
          </w:p>
        </w:tc>
        <w:tc>
          <w:tcPr>
            <w:tcW w:w="4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and comprehensive income (loss)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32,252</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(13,981)</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46,233</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Collaboration revenue for the six months ended June 30, 2021 was derived from the Roche License Agreement that was executed in October 2020. As discussed in Note 3 to our unaudited condensed consolidated financial statements included elsewhere in this Quarterly Report on Form 10-Q, revenue is being recognized over the period in which the Company performs the Atea Ongoing Studies and the Atea Manufacturing Obligations. Revenue was calculated based on a transaction price of $400.0 million, which consisted of the upfront payment of $350.0 million and $50.0 million from a milestone achieved during the quarter.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Research and development expenses increased by $55.8 million from $10.6 million for the six months ended June 30, 2020 to $66.4 million for the six months ended June 30, 2021. The increase in research and development expenses was primarily due to a $42.6 million increase in external expenses incurred related to the CRO and CMO services in conjunction with the advancement of product candidates for the treatment of COVID-19 and dengue, including $37.7 million related to the Company’s share of costs incurred by Roche, and an increase of $13.2 million in internal spend primarily due to the expansion of our organization resulting in an increase in personnel-related expenses, including salaries and bonuses, benefits and stock-based compensation expense of $7.6 million for our research and product development employees and consulting fees and other research and development expenses. Research and development expenses include a reduction of $5.9 million representing Roche’s share of certain expenses incurred that are subject to ASC 808 as discussed in Note 3 to our unaudited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General and administrative expenses increased by $17.2 million from $3.5 million for the six months ended June 30, 2020 to $20.7 million for the six months ended June 30, 2021. The increase in general and administrative expenses was primarily due to the expansion of our organization resulting in an increase in payroll and personnel-related expenses of $11.3 million, including salaries, benefits and stock-based compensation expense of $9.3 million; professional fees of $2.4 million; and an increase in other general and administrative expenses of $3.5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23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Interest income and other, net, remained consistent during the six months ended June 30, 2021 compared to the six months ended June 30, 2020 primarily due to lower interest rates applied to higher investment balances.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Income tax expense was $7.2 million and $0 million for the six months ended June 30, 2021 and 2020, respectively. The effective tax rate for the six months ended June 30, 2021 and 2020 was 18% and 0%, respectively. The increase in income tax expense was primarily due to higher income before income taxes due to revenue generated in 2021. The tax provision for the six months ended June 30, 2021 was calculated based on the year to date effective rate.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As of June 30, 2021, we had cash and cash equivalents of $816.5 million. We believe that our available cash and cash equivalents will be sufficient to fund our planned operations through at least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and we do not know when, or if, this will occur. We expect to continue to incur increased expenditures for the foreseeable future, and we expect our expenses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incur additional general and administrative costs as we continue to operate as a public company.</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public or private equity or debt financings, collaborative or other arrangements with corporate sources, or through other sources of financing. We anticipate that we may need to raise substantial additional capital, the requirements for which will depend on many factors, including:</w:t>
      </w:r>
    </w:p>
    <w:p>
      <w:pPr>
        <w:spacing w:after="0" w:line="97" w:lineRule="exact"/>
        <w:rPr>
          <w:sz w:val="20"/>
          <w:szCs w:val="20"/>
          <w:color w:val="auto"/>
        </w:rPr>
      </w:pPr>
    </w:p>
    <w:p>
      <w:pPr>
        <w:ind w:left="280" w:hanging="272"/>
        <w:spacing w:after="0" w:line="246"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and costs of development and commercial manufacturing activities;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280" w:right="120" w:hanging="272"/>
        <w:spacing w:after="0" w:line="246"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the collaboration with Roche and to establish and maintain other collaborations on favorable terms, if at all;</w:t>
      </w:r>
    </w:p>
    <w:p>
      <w:pPr>
        <w:spacing w:after="0" w:line="117" w:lineRule="exact"/>
        <w:rPr>
          <w:rFonts w:ascii="Arial" w:cs="Arial" w:eastAsia="Arial" w:hAnsi="Arial"/>
          <w:sz w:val="18"/>
          <w:szCs w:val="18"/>
          <w:color w:val="auto"/>
        </w:rPr>
      </w:pPr>
    </w:p>
    <w:p>
      <w:pPr>
        <w:ind w:left="280" w:right="40" w:hanging="272"/>
        <w:spacing w:after="0" w:line="246"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 and, ultimately, the sale of our products, following regulatory approval;</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implementation of operational, financial and management systems;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right="20"/>
        <w:spacing w:after="0" w:line="236"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0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others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1A,“Risk Factors” for additional risks associated with our substantial capital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2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each of the periods presented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6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6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09"/>
        </w:trPr>
        <w:tc>
          <w:tcPr>
            <w:tcW w:w="6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gridSpan w:val="2"/>
          </w:tcPr>
          <w:p>
            <w:pPr>
              <w:ind w:left="56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66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(34,185)</w:t>
            </w:r>
          </w:p>
        </w:tc>
        <w:tc>
          <w:tcPr>
            <w:tcW w:w="76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(12,306)</w:t>
            </w:r>
          </w:p>
        </w:tc>
      </w:tr>
      <w:tr>
        <w:trPr>
          <w:trHeight w:val="216"/>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10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528</w:t>
            </w:r>
          </w:p>
        </w:tc>
        <w:tc>
          <w:tcPr>
            <w:tcW w:w="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106,443</w:t>
            </w:r>
          </w:p>
        </w:tc>
      </w:tr>
      <w:tr>
        <w:trPr>
          <w:trHeight w:val="209"/>
        </w:trPr>
        <w:tc>
          <w:tcPr>
            <w:tcW w:w="6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0" w:type="dxa"/>
            <w:vAlign w:val="bottom"/>
            <w:tcBorders>
              <w:bottom w:val="single" w:sz="8" w:color="auto"/>
            </w:tcBorders>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(33,657)</w:t>
            </w:r>
          </w:p>
        </w:tc>
        <w:tc>
          <w:tcPr>
            <w:tcW w:w="7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94,131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Net cash used in operating activities for the six months ended June 30, 2021 was $34.2 million. Cash used in operating activities was primarily due to net income of $32.3 offset by stock-based compensation of $17.3 million, an increase in accounts payable and accrued expenses of $40.0 million, an increase in other assets of $0.3 million, a decrease in prepaid expenses of $2.9 million and a decrease in deferred revenue of $76.4 million. The Company recognized revenue of $126.4 million for the six months ended June 30, 2021. The revenue recognized did not have an impact on net cash used in operating activities as this amount was previously included in deferred revenue as of December 31, 2020.</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Net cash used in operating activities was $12.3 million for the six months ended June 30, 2020. Cash used in operating activities was primarily related to the use of funds in our efforts to develop our product candidates, resulting in a net loss of $ 14.0 million, offset by stock-based compensation of $0.4 million. Additional uses of cash during the period included an increase in prepaid expenses of $2.4 million and a decrease in accounts payable and accrued expenses of $3.7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22"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There were no cash flows from investing activities for the six months ended June 30, 2021. Cash used in financing activities for the six months ended June 30, 2020 was less than $0.1 million and consisted of purchases of fixed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22"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Net cash provided by financing activities was $0.5 million for the six months ended June 30, 2021 and consisted of proceeds from the exercise of stock options.</w:t>
      </w:r>
    </w:p>
    <w:p>
      <w:pPr>
        <w:spacing w:after="0" w:line="89"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Net cash provided by financing activities was $106.4 million for the six months ended June 30, 2020, which consisted primarily of $ 106.6 million of net proceeds from the sale of Series D convertible preferred stock partially offset by payment of deferred offering costs of $0.2 million.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30"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There have been no material changes to our contractual obligations during the six months ended June 30, 2021 from those previously disclosed in our Annual Report on Form 10-K for the year ended December 31, 2020.</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enter into contracts in the normal course of business with third-party contract organizations including CROs and CMOs for preclinical and clinical studies and testing, manufacture and supply of our preclinical materials and other services and products used for operating purposes. These contracts do not contain any minimum purchase commitments and generally provide for termination following a certain period after notice, and therefore we believe that our non-cancelable obligations under these agreements are not material. Payments due upon cancelation consist only of payments for services provided and expenses incurred up to the date of cancelation.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Significant Judgments and Use of Estimates</w:t>
      </w:r>
    </w:p>
    <w:p>
      <w:pPr>
        <w:spacing w:after="0" w:line="13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financial statements have been prepared in accordance with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Significant Judgments and Use of Estimates” in our Annual Report on Form 10-K for the year ended December 31, 2020. We believe that these accounting policies are critical to understanding our historical and future performance, as these policies relate to significant areas involving management’s judgments and estimates. During the six months ended June 30, 2021 there were no material changes to our critical accounting policies from those discussed in our Annual Report on Form 10-K except as discussed in Note 2, “Summary of Significant Accounting Policies” in the financial statements included elsewhere in this Quarterly Report on Form 10-Q.</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Agreements</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8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ind w:right="780"/>
        <w:spacing w:after="0" w:line="246" w:lineRule="auto"/>
        <w:rPr>
          <w:sz w:val="20"/>
          <w:szCs w:val="20"/>
          <w:color w:val="auto"/>
        </w:rPr>
      </w:pPr>
      <w:r>
        <w:rPr>
          <w:rFonts w:ascii="Arial" w:cs="Arial" w:eastAsia="Arial" w:hAnsi="Arial"/>
          <w:sz w:val="18"/>
          <w:szCs w:val="18"/>
          <w:color w:val="auto"/>
        </w:rPr>
        <w:t>any future amounts paid. We believe the estimated fair value of these indemnification agreements in excess of applicable insurance coverage is minimal.</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JOBS Act Accounting Election</w:t>
      </w:r>
    </w:p>
    <w:p>
      <w:pPr>
        <w:spacing w:after="0" w:line="13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Jumpstart Our Business Startups Act of 2012 (the “JOBS Act”) permits an “emerging growth company” such as us to take advantage of an extended transition period to comply with new or revised accounting standards applicable to public companies. We have elected to avail ourselves of this exemption from new or revised accounting standards, and, therefore, will not be subject to the same new or revised accounting standards as public companies that are not emerging growth companies. We intend to rely on other exemptions provided by the JOBS Act, including without limitation, not being required to comply with the auditor attestation requirements of Section 404(b) of the Sarbanes-Oxley Act.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Based on our public float as of June 30, 2021, we will become a large accelerated filer, and lose emerging growth company status, as of December 31, 2021. As of December 31, 2021, we will be required to adopt new or revised accounting standards when they are applicable to public companies that are not emerging growth companies.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30"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See the section titled “Summary of Significant Accounting Policies—Recent Accounting Pronouncements” in Note 2 to our unaudited condensed consolidated financial statements included in this Quarterly Report on Form 10-Q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2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or exchange rates. As of June 30, 2021, we had cash and cash equivalents of $816.5 million, consisting of interest-bearing money market funds for which the fair value would be affected by changes in the general level of U.S. interest rates. However, due to the short-term maturities and the low-risk profile of our cash equivalents, an immediate 10% relative change in interest rates would not have a material effect on the fair value of our cash equivalents or on our future interest income.</w:t>
      </w:r>
    </w:p>
    <w:p>
      <w:pPr>
        <w:spacing w:after="0" w:line="9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We do not believe that inflation, interest rate changes or foreign currency exchange rate fluctuations have had a significant impact on our results of operations for any periods presented 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2021, our disclosure controls and procedures were effective at the reasonable assurance level.</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in this Quarterly Report on Form 10-Q, including our financial statements and the related notes and “Management’s Discussion and Analysis of Results of Operations and Financial Condition.” Our business, financial condition, results of operations or prospects could be materially and adversely affected if any of these risks occurs, and as a result, the market price of our common stock could decline and you could lose all or part of your investment. Our actual results could differ materially and adversely from those anticipated in these forward-looking statements as a result of certain factors, including those set forth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significant uncertainty around our development of AT-527 as a potential treatment for COVID-19.</w:t>
      </w:r>
    </w:p>
    <w:p>
      <w:pPr>
        <w:spacing w:after="0" w:line="12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development of AT-527 for the treatment of COVID-19 is in its early stages, and we may not be successful in our development of AT-527 as a potential treatment for COVID-19. In October 2020, we entered into a license agreement (“Roche License Agreement”) with F. Hoffmann-LaRoche Ltd. and Genentech, Inc. (together, “Roche”) under which we granted to Roche an exclusive license to development and commercialization rights related to certain of our compounds, including AT-527, outside of the United States (other than for certain HCV uses). Together with Roche, we initiated a Phase 3 clinical trial to study AT-527 in adult patients with mild or moderate COVID-19 in the outpatient setting in April 2021 and we are evaluating, in a Phase 3 six month followup study, the impact of AT-527 treatment on long-term sequelae of COVID-19 in the patients previously enrolled in MORNINGSKY. Concurrently, we are also evaluating AT-527 for the treatment of patients with mild to moderate COVID-19 in two Phase 2 clinical trials. Additionally, we are currently conducting a comprehensive Phase 1 program that includes ongoing Phase 1 studies and additional Phase 1 studies that are being planned. We have committed and plan to continue to commit significant financial and personnel resources to the development of AT-527 as a potential treatment for COVID-19. If we are unable to successfully develop AT-527 for the treatment of COVID-19, we will have taken resources away from other development programs and will not be able to recuperate the resources dedicated to developing AT-527 as a potential treatment for COVID-19, which could have a material adverse impact on our business. If the data from our clinical trials are not supportive of further development of AT-527 as a treatment for COVID-19 or the investor community has a negative reaction to the data, the demand for our common stock could decrease significantly, and the price of our common stock could decline substantially, which could result in significant losses for our stockholders.</w:t>
      </w:r>
    </w:p>
    <w:p>
      <w:pPr>
        <w:spacing w:after="0" w:line="1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Further, while there is currently an urgent need for a treatment for COVID-19, the longevity and extent of the ongoing COVID-19 pandemic is uncertain and it is unclear whether SARS-CoV-2 will become an endemic human coronavirus that may circulate in the human population after the current pandemic has subsided. If the pandemic were to dissipate, whether due to a significant decrease in new infections, due to the effectiveness of vaccines, or otherwise, the need for a treatment could decrease significantly. If the need for a treatment decreases before or soon after commercialization of AT-527, if approved, or other treatments for COVID-19 are developed before AT-527, our business could be adversely impacted.</w:t>
      </w:r>
    </w:p>
    <w:p>
      <w:pPr>
        <w:spacing w:after="0" w:line="7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may expend resources in anticipation of clinical trials and potential commercialization of AT-527, which we may not be able to recover if AT-527 is not approved for the treatment of COVID-19 or we are not successful at commercializing AT-527.</w:t>
      </w:r>
    </w:p>
    <w:p>
      <w:pPr>
        <w:spacing w:after="0" w:line="6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believe that there is an urgent unmet need for effective orally administered COVID-19 treatments particularly for patients in the outpatient setting. Accordingly, if the data from our ongoing and planned clinical trials of AT-527 in COVID-19 patients are positive, we may pursue certain expedited development, review and approval programs offered by the U.S. Food and Drug Administration (“FDA”) to sponsors of drugs designed to treat serious diseases and conditions. These programs may offer the potential for a more rapid approval and commercialization process than traditional FDA review pathways.</w:t>
      </w:r>
    </w:p>
    <w:p>
      <w:pPr>
        <w:spacing w:after="0" w:line="9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order to prepare for the possibility that we may be required to develop and rapidly commercialize AT-527, we have entered and may enter into additional agreements with, and make payments to, contract manufacturing organizations (“CMOs”), third parties we are engaging to assist us in the potential commercialization of AT-527, and other third parties prior to obtaining any approval to market AT-527 for the treatment of COVID-19. As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ind w:right="520"/>
        <w:spacing w:after="0" w:line="246" w:lineRule="auto"/>
        <w:rPr>
          <w:sz w:val="20"/>
          <w:szCs w:val="20"/>
          <w:color w:val="auto"/>
        </w:rPr>
      </w:pPr>
      <w:r>
        <w:rPr>
          <w:rFonts w:ascii="Arial" w:cs="Arial" w:eastAsia="Arial" w:hAnsi="Arial"/>
          <w:sz w:val="18"/>
          <w:szCs w:val="18"/>
          <w:color w:val="auto"/>
        </w:rPr>
        <w:t>result, we may not be able to recover these costs if AT-527 is not approved for the treatment of COVID-19, which could have a material adverse effect on our business.</w:t>
      </w:r>
    </w:p>
    <w:p>
      <w:pPr>
        <w:spacing w:after="0" w:line="8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currently expect that the market for a treatment for COVID-19 will be large, and we cannot be certain that Roche, our exclusive supplier of AT-527 commercial product for COVID-19, will be able to satisfy commercial demand for AT-527, if approved. If AT-527 is approved and we are unable to meet commercial demand, we may not be able to fully capitalize on our development of AT-527, which could have an adverse effect on our business.</w:t>
      </w:r>
    </w:p>
    <w:p>
      <w:pPr>
        <w:spacing w:after="0" w:line="9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Furthermore, we have never commercialized a product and may not be successful in establishing the capabilities required for commercialization. In order to commercialize AT-527, we are developing commercial capabilities. If we do not obtain approval for AT-527, we will have expended those resources prematurely, and our business could be adversely affected.</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There has also been significant media coverage regarding the pricing of treatments for COVID-19. For example, Gilead Sciences, Inc. came under scrutiny regarding its pricing of Veklury (remdesivir), after having donated the initial supply of the drug. Pricing for drugs to treat COVID-19 continues to evolve, and we cannot be certain of the factors that will determine the sales price of AT-527, if approved. If we are unable to sell AT-527 at a sufficient price point, our ability to commercialize AT-527, if approved, may be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AT-527 may face significant competition from vaccines and other treatments for COVID-19 that are in development.</w:t>
      </w:r>
    </w:p>
    <w:p>
      <w:pPr>
        <w:spacing w:after="0" w:line="12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in October 2020, the FDA approved the antiviral drug Veklury (remdesivir), a direct acting antiviral marketed by Gilead Sciences for the treatment of COVID-19 for certain patients requiring hospitalization and in November 2020 the FDA granted Regeneron an emergency use authorization for the use of casirivimab and imdevimab, administered together, for the treatment of mild to moderate coronavirus COVID-19 in adult and certain pediatric patients with positive results of direct SARS-CoV-2 viral testing who are at high risk for progressing to severe COVID-19 and/or hospitalization. In the same month, the FDA granted Eli Lily emergency use authorization for bamlanivimab for the treatment of </w:t>
      </w:r>
      <w:r>
        <w:rPr>
          <w:rFonts w:ascii="Arial" w:cs="Arial" w:eastAsia="Arial" w:hAnsi="Arial"/>
          <w:sz w:val="17"/>
          <w:szCs w:val="17"/>
          <w:color w:val="333333"/>
        </w:rPr>
        <w:t>mild to moderate COVID-19 in adult and certain pediatric patients. This</w:t>
      </w:r>
      <w:r>
        <w:rPr>
          <w:rFonts w:ascii="Arial" w:cs="Arial" w:eastAsia="Arial" w:hAnsi="Arial"/>
          <w:sz w:val="17"/>
          <w:szCs w:val="17"/>
          <w:color w:val="auto"/>
        </w:rPr>
        <w:t xml:space="preserve"> </w:t>
      </w:r>
      <w:r>
        <w:rPr>
          <w:rFonts w:ascii="Arial" w:cs="Arial" w:eastAsia="Arial" w:hAnsi="Arial"/>
          <w:sz w:val="17"/>
          <w:szCs w:val="17"/>
          <w:color w:val="333333"/>
        </w:rPr>
        <w:t xml:space="preserve">emergency use authorization has since been revoked. There are other companies that have currently received or are currently pursuing authorization for emergency use of their respective products. For example, in May 2021, VIR Biotechnology, Inc. and GlaxoSmithKline received authorization from the FDA for the emergency use of sotrovimab for the treatment of high risk adults and adolescents with mild to moderate COVID-19. In addition to therapeutics, vaccines indicated for active immunization to prevent COVID-19 have been authorized for emergency use. In December 2020, the FDA granted authorization for emergency use for vaccines from </w:t>
      </w:r>
      <w:r>
        <w:rPr>
          <w:rFonts w:ascii="Arial" w:cs="Arial" w:eastAsia="Arial" w:hAnsi="Arial"/>
          <w:sz w:val="17"/>
          <w:szCs w:val="17"/>
          <w:color w:val="000000"/>
        </w:rPr>
        <w:t>Pfizer Inc. and BioNTech and</w:t>
      </w:r>
      <w:r>
        <w:rPr>
          <w:rFonts w:ascii="Arial" w:cs="Arial" w:eastAsia="Arial" w:hAnsi="Arial"/>
          <w:sz w:val="17"/>
          <w:szCs w:val="17"/>
          <w:color w:val="333333"/>
        </w:rPr>
        <w:t xml:space="preserve"> </w:t>
      </w:r>
      <w:r>
        <w:rPr>
          <w:rFonts w:ascii="Arial" w:cs="Arial" w:eastAsia="Arial" w:hAnsi="Arial"/>
          <w:sz w:val="17"/>
          <w:szCs w:val="17"/>
          <w:color w:val="000000"/>
        </w:rPr>
        <w:t>Moderna, Inc. each of which announced clinical trial results showing that their respective vaccine candidate was found to be more than 90% effective in preventing COVID-19 during such trials and in February 2021, the FDA granted emergency use authorization to a vaccine developed by Janssen Pharmaceutical Company. Additional vaccines and therapeutics are in development by other pharmaceutical and biopharmaceutical companies. For example, molnupiravir, an orally administered direct-acting antiviral, which is being developed by Merck and Ridgeback Biotherapeutics is currently in Phase 3 development in the outpatient setting and Pfizer has initiated clinical development of protease inhibitors, another form of direct acting antiviral. Given the products currently approved or authorized for use as well as those in development by others, any treatment we may develop could face significant competition. If any other company develops treatments more rapidly or effectively than we do, develops a treatment that becomes the standard of care, develops a treatment at a lower cost, or is more successful at commercializing an approved treatment, we may not be able to successfully commercialize AT-527 for the treatment of COVID-19, even if approved, or compete with other treatments or vaccines, which could adversely impact our business and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business and financial results.</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December 2019, SARS-CoV-2 surfaced in China. Since then, COVID-19 has spread globally. The recent global emergence of variants of SARS-CoV-2, including the Delta variant, has resulted in an increasing number of infections, including breakthrough infections in persons who have been vaccinated against the infection. In the United States, travel bans and government stay-at-home orders in response to the initial outbreak caused widespread disruption in business operations and economic activity. Governmental authorities around the world implemented measures to reduce the spread of COVID-19. These measures, including suggested or mandated “shelter-in-place” orders, have adversely affected workforces, customers, consumer sentiment, economies, and financial markets, and, along with decreased consumer spending, contributed to an economic downturn in the United States. The recent resurgence in cases may result in continuation or renewal of previously relaxed measures intended to reduce the spread of COVID-19. In response to the public health directives and orders and to help minimize the risk of COVID-19 for our employees, we have taken precautionary measures, including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0" w:name="page31"/>
    <w:bookmarkEnd w:id="30"/>
    <w:p>
      <w:pPr>
        <w:ind w:right="40"/>
        <w:spacing w:after="0" w:line="237" w:lineRule="auto"/>
        <w:rPr>
          <w:sz w:val="20"/>
          <w:szCs w:val="20"/>
          <w:color w:val="auto"/>
        </w:rPr>
      </w:pPr>
      <w:r>
        <w:rPr>
          <w:rFonts w:ascii="Arial" w:cs="Arial" w:eastAsia="Arial" w:hAnsi="Arial"/>
          <w:sz w:val="18"/>
          <w:szCs w:val="18"/>
          <w:color w:val="auto"/>
        </w:rPr>
        <w:t>implementing work-from-home policies for all our employees. Many of our third-party collaborators, such as our CMOs, clinical research organizations (“CROs”), suppliers and others, have taken similar precautionary measures. These measures have disrupted our business and delayed certain of our clinical programs and timelines. For example, our Phase 1/2a clinical trial of AT-787 for the treatment of hepatitis C virus (“HCV”) was paused when clinical trial sites closed due to COVID-19 precautions by the countries and medical facilities where the trial was to be conducted. As certain countries have reopened, they have experienced a new surge of infection and have in some areas reinstated stay at home and other containment measures. Efforts to re-open are likely to take a significant amount of time, require additional resources to implement social-distancing and other containment measures, or may not be successful.</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impact to our operations due to the COVID-19 pandemic could be severe and could negatively affect our business, financial condition and results of operations. To the extent the COVID-19 pandemic adversely affects our business and financial results, it may also have the effect of heightening many of the other risk factors described in this “Risk Factors” section, such as those relating to our clinical trial timelines, our ability to enroll subjects for clinical trials and obtain materials that are required for the production of our product candidates, and our ability to raise capital.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clinical trials.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COVID-19 pandemic, we may experience additional disruptions that could severely impact our clinical trials, including:</w:t>
      </w:r>
    </w:p>
    <w:p>
      <w:pPr>
        <w:spacing w:after="0" w:line="104" w:lineRule="exact"/>
        <w:rPr>
          <w:sz w:val="20"/>
          <w:szCs w:val="20"/>
          <w:color w:val="auto"/>
        </w:rPr>
      </w:pPr>
    </w:p>
    <w:p>
      <w:pPr>
        <w:ind w:left="280" w:right="360" w:hanging="272"/>
        <w:spacing w:after="0" w:line="246"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or difficulties in enrolling patients in a clinical trial, including rapidly evolving treatment paradigms, and patients that may not be able to comply with clinical trial protocols if quarantines impede patient movement or interrupt healthcare services;</w:t>
      </w:r>
    </w:p>
    <w:p>
      <w:pPr>
        <w:spacing w:after="0" w:line="88" w:lineRule="exact"/>
        <w:rPr>
          <w:rFonts w:ascii="Arial" w:cs="Arial" w:eastAsia="Arial" w:hAnsi="Arial"/>
          <w:sz w:val="18"/>
          <w:szCs w:val="18"/>
          <w:color w:val="auto"/>
        </w:rPr>
      </w:pPr>
    </w:p>
    <w:p>
      <w:pPr>
        <w:ind w:left="280" w:right="700" w:hanging="272"/>
        <w:spacing w:after="0" w:line="246"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 or the overwork of existing investigators and staff;</w:t>
      </w:r>
    </w:p>
    <w:p>
      <w:pPr>
        <w:spacing w:after="0" w:line="88" w:lineRule="exact"/>
        <w:rPr>
          <w:rFonts w:ascii="Arial" w:cs="Arial" w:eastAsia="Arial" w:hAnsi="Arial"/>
          <w:sz w:val="18"/>
          <w:szCs w:val="18"/>
          <w:color w:val="auto"/>
        </w:rPr>
      </w:pPr>
    </w:p>
    <w:p>
      <w:pPr>
        <w:ind w:left="280" w:right="160" w:hanging="272"/>
        <w:spacing w:after="0" w:line="246"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interruptions or delays in preclinical studies due to restricted or limited operations at research and development laboratory facilities;</w:t>
      </w:r>
    </w:p>
    <w:p>
      <w:pPr>
        <w:spacing w:after="0" w:line="117" w:lineRule="exact"/>
        <w:rPr>
          <w:rFonts w:ascii="Arial" w:cs="Arial" w:eastAsia="Arial" w:hAnsi="Arial"/>
          <w:sz w:val="18"/>
          <w:szCs w:val="18"/>
          <w:color w:val="auto"/>
        </w:rPr>
      </w:pPr>
    </w:p>
    <w:p>
      <w:pPr>
        <w:ind w:left="280" w:right="420" w:hanging="272"/>
        <w:spacing w:after="0" w:line="246"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state or provincial governments, employers and others;</w:t>
      </w:r>
    </w:p>
    <w:p>
      <w:pPr>
        <w:spacing w:after="0" w:line="88" w:lineRule="exact"/>
        <w:rPr>
          <w:rFonts w:ascii="Arial" w:cs="Arial" w:eastAsia="Arial" w:hAnsi="Arial"/>
          <w:sz w:val="18"/>
          <w:szCs w:val="18"/>
          <w:color w:val="auto"/>
        </w:rPr>
      </w:pPr>
    </w:p>
    <w:p>
      <w:pPr>
        <w:ind w:left="280" w:right="20" w:hanging="272"/>
        <w:spacing w:after="0" w:line="246"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participants enrolled in our non-COVID-19-related clinical trials will contract COVID-19 while the clinical trial is ongoing, which could impact the results of the clinical trial, including by increasing the number of observed adverse events;</w:t>
      </w:r>
    </w:p>
    <w:p>
      <w:pPr>
        <w:spacing w:after="0" w:line="88" w:lineRule="exact"/>
        <w:rPr>
          <w:rFonts w:ascii="Arial" w:cs="Arial" w:eastAsia="Arial" w:hAnsi="Arial"/>
          <w:sz w:val="18"/>
          <w:szCs w:val="18"/>
          <w:color w:val="auto"/>
        </w:rPr>
      </w:pPr>
    </w:p>
    <w:p>
      <w:pPr>
        <w:ind w:left="280" w:right="240" w:hanging="272"/>
        <w:spacing w:after="0" w:line="246"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w:t>
      </w:r>
    </w:p>
    <w:p>
      <w:pPr>
        <w:spacing w:after="0" w:line="117" w:lineRule="exact"/>
        <w:rPr>
          <w:rFonts w:ascii="Arial" w:cs="Arial" w:eastAsia="Arial" w:hAnsi="Arial"/>
          <w:sz w:val="18"/>
          <w:szCs w:val="18"/>
          <w:color w:val="auto"/>
        </w:rPr>
      </w:pPr>
    </w:p>
    <w:p>
      <w:pPr>
        <w:ind w:left="280" w:right="80" w:hanging="272"/>
        <w:spacing w:after="0" w:line="246"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88" w:lineRule="exact"/>
        <w:rPr>
          <w:rFonts w:ascii="Arial" w:cs="Arial" w:eastAsia="Arial" w:hAnsi="Arial"/>
          <w:sz w:val="18"/>
          <w:szCs w:val="18"/>
          <w:color w:val="auto"/>
        </w:rPr>
      </w:pPr>
    </w:p>
    <w:p>
      <w:pPr>
        <w:ind w:left="280" w:right="160" w:hanging="272"/>
        <w:spacing w:after="0" w:line="246"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refusal of the FDA to accept data from clinical trials in these affected geographies.</w:t>
      </w:r>
    </w:p>
    <w:p>
      <w:pPr>
        <w:spacing w:after="0" w:line="117"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For example, our HCV program was delayed when clinical trial sites conducting our Phase 1/2a trials closed, and our other development programs may be delayed or otherwise negatively impacted. As a result, the expected timeline for data readouts of our clinical trials and certain regulatory submissions will likely be negatively impacted, which would adversely affect and delay our ability to seek regulatory approvals for our product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1" w:name="page32"/>
    <w:bookmarkEnd w:id="31"/>
    <w:p>
      <w:pPr>
        <w:ind w:right="60"/>
        <w:spacing w:after="0" w:line="237" w:lineRule="auto"/>
        <w:rPr>
          <w:sz w:val="20"/>
          <w:szCs w:val="20"/>
          <w:color w:val="auto"/>
        </w:rPr>
      </w:pPr>
      <w:r>
        <w:rPr>
          <w:rFonts w:ascii="Arial" w:cs="Arial" w:eastAsia="Arial" w:hAnsi="Arial"/>
          <w:sz w:val="18"/>
          <w:szCs w:val="18"/>
          <w:color w:val="auto"/>
        </w:rPr>
        <w:t>candidates, increase our operating expenses, and have a material adverse effect on our financial condition. Moreover, SARS-CoV-2 is a novel pathogen, and information regarding the emergence of viral variants, and the symptoms, progression, and transmission of COVID-19 continues to rapidly evolve, presenting additional challenges for the conduct of our clinical trials in COVID-19 patients. For example, COVID-19 patients have presented with a wide range of symptoms and side effects, which may make it more difficult for clinical trial investigators to determine whether any adverse events observed in our clinical trials are related to AT-527 or are consistent with the underlying disease. Any increase in the severity or incidence of adverse events deemed to be related to AT-527 could delay or prevent its regulatory approval, which could have a material adverse effect on our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We have a limited operating history and no history of successfully developing or commercializing any approved antiviral products, which may make it difficult to evaluate the success of our business to date and to assess the prospects for our future viability.</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are a clinical-stage biopharmaceutical company. Our operations to date have been limited to financing and staffing our company, developing our technology and identifying and developing our product candidates. Our prospects must be considered in light of the uncertainties, risks, expenses and difficulties frequently encountered by biopharmaceutical companies in their early stages of operations. We have not yet demonstrated an ability to complete any late-stage or pivotal clinical trials, obtain marketing approval, manufacture a commercial-scale product, or conduct sales and marketing activities necessary for successful product commercialization, or arrange for third parties to do these activities on our behalf. Consequently, predictions about our future success or viability may not be as accurate as they could be if we had a longer operating history or a history of successfully developing, obtaining marketing approval for and commercializing antiviral therapies.</w:t>
      </w:r>
    </w:p>
    <w:p>
      <w:pPr>
        <w:spacing w:after="0" w:line="10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obstacles. If we successfully develop a product candidate, we will eventually need to transition from a company with a research and development focus to a company capable of supporting commercial activities. We may not be successful in this transition. For example, we may need to rapidly develop our commercialization capabilities if AT-527 is approved for the treatment of COVID-19.</w:t>
      </w:r>
    </w:p>
    <w:p>
      <w:pPr>
        <w:spacing w:after="0" w:line="9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As we continue to build our business, we expect our financial condition and operating results may fluctuate significantly from quarter to quarter and year to year due to a variety of factors, many of which are beyond our control. Accordingly, you should not rely upon the results of any particular quarterly or annual period as indications of future operating performance.</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have incurred significant operating expenses since inception and expect to incur significant additional operating expenses for the foreseeable future. We have no products that have generated any commercial revenue and we may not maintain profitability.</w:t>
      </w:r>
    </w:p>
    <w:p>
      <w:pPr>
        <w:spacing w:after="0" w:line="6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incurred significant operating expenses since our inception, including operating expenses of $87.0 million and $59.7 million for the six months ended June 30, 2021 and the year ended December 31, 2020, respectively. Prior to the quarter ended March 31, 2021, we had incurred significant operating losses. In addition, we have not commercialized any products and have never generated any revenue from product sales. We have devoted almost all of our financial resources to research and development, including our clinical trials and preclinical development activities.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expect to continue to incur significant additional operating expenses for the foreseeable future as we seek to advance product candidates through clinical development, continue preclinical development, expand our research and development activities, develop new product candidates, complete preclinical studies and clinical trials, seek regulatory approval and, if we receive regulatory approval, commercialize our products, and we may incur operating losses in future periods. In order to obtain FDA approval to market any product candidate in the United States, we must submit to the FDA a New Drug Application (“NDA”) demonstrating to the FDA’s satisfaction that the product candidate is safe and effective for its intended use(s). This demonstration requires significant research and extensive data from animal tests, which are referred to as nonclinical or preclinical studies, as well as human tests, which are referred to as clinical trials. Furthermore, the costs of advancing product candidates into each succeeding clinical phase tend to increase substantially over time. The total costs to advance any of our product candidates to marketing approval in even a single jurisdiction would be substantial and difficult to accurately predict. Because of the numerous risks and uncertainties associated with the development of drug products, we are unable to accurately predict the timing or amount of increased expenses or when, or if, we will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2" w:name="page33"/>
    <w:bookmarkEnd w:id="32"/>
    <w:p>
      <w:pPr>
        <w:ind w:right="740"/>
        <w:spacing w:after="0" w:line="246" w:lineRule="auto"/>
        <w:rPr>
          <w:sz w:val="20"/>
          <w:szCs w:val="20"/>
          <w:color w:val="auto"/>
        </w:rPr>
      </w:pPr>
      <w:r>
        <w:rPr>
          <w:rFonts w:ascii="Arial" w:cs="Arial" w:eastAsia="Arial" w:hAnsi="Arial"/>
          <w:sz w:val="18"/>
          <w:szCs w:val="18"/>
          <w:color w:val="auto"/>
        </w:rPr>
        <w:t>be able to begin generating revenue from the commercialization of products or maintain profitability. Our expenses will also increase substantially if or as we:</w:t>
      </w:r>
    </w:p>
    <w:p>
      <w:pPr>
        <w:spacing w:after="0" w:line="89" w:lineRule="exact"/>
        <w:rPr>
          <w:sz w:val="20"/>
          <w:szCs w:val="20"/>
          <w:color w:val="auto"/>
        </w:rPr>
      </w:pPr>
    </w:p>
    <w:p>
      <w:pPr>
        <w:ind w:left="280" w:right="140" w:hanging="272"/>
        <w:spacing w:after="0" w:line="246"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additional clinical trials of our most advanced product candidate, AT-527, and progress our ongoing clinical trials for the treatment of patients with moderate COVID-19 and our current and planned Phase 1 clinical trials in healthy volunteers;</w:t>
      </w:r>
    </w:p>
    <w:p>
      <w:pPr>
        <w:spacing w:after="0" w:line="88" w:lineRule="exact"/>
        <w:rPr>
          <w:rFonts w:ascii="Arial" w:cs="Arial" w:eastAsia="Arial" w:hAnsi="Arial"/>
          <w:sz w:val="18"/>
          <w:szCs w:val="18"/>
          <w:color w:val="auto"/>
        </w:rPr>
      </w:pPr>
    </w:p>
    <w:p>
      <w:pPr>
        <w:ind w:left="280" w:right="500" w:hanging="272"/>
        <w:spacing w:after="0" w:line="238"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the development of our other product candidates, including the ongoing clinical development of AT-752 for the treatment of dengue, resuming our Phase 1/2a clinical trial of AT-787 for the treatment of HCV, which has been delayed due to the COVID-19 pandemic, and the preclinical development of our other product candidates, including AT-899 and other product candidates for the treatment of RSV;</w:t>
      </w:r>
    </w:p>
    <w:p>
      <w:pPr>
        <w:spacing w:after="0" w:line="96"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discover and develop additional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and marketing approvals for product candidates that successfully complete clinical trials, if any;</w:t>
      </w:r>
    </w:p>
    <w:p>
      <w:pPr>
        <w:spacing w:after="0" w:line="117" w:lineRule="exact"/>
        <w:rPr>
          <w:rFonts w:ascii="Arial" w:cs="Arial" w:eastAsia="Arial" w:hAnsi="Arial"/>
          <w:sz w:val="18"/>
          <w:szCs w:val="18"/>
          <w:color w:val="auto"/>
        </w:rPr>
      </w:pPr>
    </w:p>
    <w:p>
      <w:pPr>
        <w:ind w:left="280" w:right="20" w:hanging="272"/>
        <w:spacing w:after="0" w:line="246"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manufacturing and supply chain capacity sufficient to provide commercial quantities of any product candidates for which we may obtain marketing approval, if any;</w:t>
      </w:r>
    </w:p>
    <w:p>
      <w:pPr>
        <w:spacing w:after="0" w:line="88" w:lineRule="exact"/>
        <w:rPr>
          <w:rFonts w:ascii="Arial" w:cs="Arial" w:eastAsia="Arial" w:hAnsi="Arial"/>
          <w:sz w:val="18"/>
          <w:szCs w:val="18"/>
          <w:color w:val="auto"/>
        </w:rPr>
      </w:pPr>
    </w:p>
    <w:p>
      <w:pPr>
        <w:ind w:left="280" w:right="180" w:hanging="272"/>
        <w:spacing w:after="0" w:line="274" w:lineRule="auto"/>
        <w:tabs>
          <w:tab w:leader="none" w:pos="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establish a sales, marketing, internal systems and distribution infrastructure to commercialize any products for which we may obtain regulatory approval, if any, in geographies in which we plan to commercialize our products ourselves or with co-promotion collaborators;</w:t>
      </w:r>
    </w:p>
    <w:p>
      <w:pPr>
        <w:spacing w:after="0" w:line="66" w:lineRule="exact"/>
        <w:rPr>
          <w:rFonts w:ascii="Arial" w:cs="Arial" w:eastAsia="Arial" w:hAnsi="Arial"/>
          <w:sz w:val="17"/>
          <w:szCs w:val="17"/>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17" w:lineRule="exact"/>
        <w:rPr>
          <w:rFonts w:ascii="Arial" w:cs="Arial" w:eastAsia="Arial" w:hAnsi="Arial"/>
          <w:sz w:val="18"/>
          <w:szCs w:val="18"/>
          <w:color w:val="auto"/>
        </w:rPr>
      </w:pPr>
    </w:p>
    <w:p>
      <w:pPr>
        <w:ind w:left="280" w:right="20" w:hanging="272"/>
        <w:spacing w:after="0" w:line="246"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technical, regulatory, operational, financial, commercial and support personnel, to execute our business plan and support our product development and potential future commercialization efforts;</w:t>
      </w:r>
    </w:p>
    <w:p>
      <w:pPr>
        <w:spacing w:after="0" w:line="88" w:lineRule="exact"/>
        <w:rPr>
          <w:rFonts w:ascii="Arial" w:cs="Arial" w:eastAsia="Arial" w:hAnsi="Arial"/>
          <w:sz w:val="18"/>
          <w:szCs w:val="18"/>
          <w:color w:val="auto"/>
        </w:rPr>
      </w:pPr>
    </w:p>
    <w:p>
      <w:pPr>
        <w:ind w:left="280" w:hanging="272"/>
        <w:spacing w:after="0" w:line="246"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extensively utilize external vendors for support with respect to research, development, manufacturing, commercialization, regulatory, pharmacovigilance and other functions;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in-license commercial products, additional product candidates and technologies;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future in-license agreements;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as a public company.</w:t>
      </w:r>
    </w:p>
    <w:p>
      <w:pPr>
        <w:spacing w:after="0" w:line="11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Furthermore, our ability to successfully develop, commercialize and license any products and generate product revenue is subject to substantial additional risks and uncertainties. Each of our product candidates will require additional preclinical and/or clinical development, regulatory approval in not less than one jurisdiction, the securing of manufacturing supply, capacity, distribution channels and expertise, the use of external vendors, the building of a commercial organization, substantial investment and significant marketing efforts before we generate any revenue from product sales. As a result, we expect to continue to incur operating expenses and use cash for operating activities for the foreseeable future. These operating expenses and use of cash have had, and will continue to have, an adverse effect on our working capital. Additionally, we may incur operating losses in future periods.</w:t>
      </w:r>
    </w:p>
    <w:p>
      <w:pPr>
        <w:spacing w:after="0" w:line="9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amount of future expenses or losses and our ability to maintain profitability are uncertain. We have no products that have generated any commercial revenue, do not expect to generate revenues from the commercial sale of products in the foreseeable future until we have successfully developed one or more product candidates, and might never generate revenues from the sale of products. Our ability to generate product revenue and maintain profitability will depend on, among other things, successful completion of the clinical development of our product candidates; obtaining necessary regulatory approvals from the FDA and foreign regulatory authorities; establishing manufacturing and sales capabilities; market acceptance of our products, if approved, and establishing marketing infrastructure to commercialize our product candidates for which we obtain approval; and raising sufficient funds to finance our activities. We might not succeed at any of these undertakings. If we are unsuccessful at some or all of these undertakings, our business, prospects, and results of operations may be materially adversely affected.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3" w:name="page34"/>
    <w:bookmarkEnd w:id="33"/>
    <w:p>
      <w:pPr>
        <w:jc w:val="both"/>
        <w:ind w:right="200"/>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83"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Our operations have incurred substantial expenses since inception. We expect to continue to incur substantial expenses to continue the clinical development of AT-527, AT-752 and AT-787, for future clinical trials for our other product candidates and to continue to identify new product candidates.</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will continue to need additional capital to fund future clinical trials and preclinical development, which we may raise through equity offerings, debt financings, marketing and distribution arrangements and other collaborations, strategic alliances and licensing arrangements or other sources. Additional sources of financing might not be available on favorable terms, if at all. If we do not succeed in raising additional funds on acceptable terms, we might be unable to initiate or complete planned clinical trials or seek regulatory approvals of any of our product candidates from the FDA, or any foreign regulatory authorities, and could be forced to discontinue product development. In addition, attempting to secure additional financing may divert the time and attention of our management from day-to-day activities and harm our product candidate development efforts.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Based on our current operating plan, we believe that our cash and cash equivalents as of June 30, 2021, will be sufficient to fund our operating expenses and capital expenditure requirements through at least 2023. This estimate is based on assumptions that may prove to be wrong, and we could use our available capital resources sooner than we currently expect. We will require significant additional funds in order to launch and commercialize our current and any future product candidates to the extent that such launch and commercialization are not the responsibility of a collaborator.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 we develop.</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04"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our preclinical studies and clinical trials;</w:t>
      </w:r>
    </w:p>
    <w:p>
      <w:pPr>
        <w:spacing w:after="0" w:line="117" w:lineRule="exact"/>
        <w:rPr>
          <w:rFonts w:ascii="Arial" w:cs="Arial" w:eastAsia="Arial" w:hAnsi="Arial"/>
          <w:sz w:val="18"/>
          <w:szCs w:val="18"/>
          <w:color w:val="auto"/>
        </w:rPr>
      </w:pPr>
    </w:p>
    <w:p>
      <w:pPr>
        <w:ind w:left="280" w:right="120" w:hanging="272"/>
        <w:spacing w:after="0" w:line="246"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our current and future product candidates in regions where we choose to commercialize any products;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future product candidates and potential additional indications that we may pursue and their development requirements;</w:t>
      </w:r>
    </w:p>
    <w:p>
      <w:pPr>
        <w:spacing w:after="0" w:line="117" w:lineRule="exact"/>
        <w:rPr>
          <w:rFonts w:ascii="Arial" w:cs="Arial" w:eastAsia="Arial" w:hAnsi="Arial"/>
          <w:sz w:val="18"/>
          <w:szCs w:val="18"/>
          <w:color w:val="auto"/>
        </w:rPr>
      </w:pPr>
    </w:p>
    <w:p>
      <w:pPr>
        <w:ind w:left="280" w:right="200" w:hanging="272"/>
        <w:spacing w:after="0" w:line="246"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stability, scale, yield and cost of manufacturing our product candidates for clinical trials, in preparation for regulatory approval and in preparation for commercialization;</w:t>
      </w:r>
    </w:p>
    <w:p>
      <w:pPr>
        <w:spacing w:after="0" w:line="88" w:lineRule="exact"/>
        <w:rPr>
          <w:rFonts w:ascii="Arial" w:cs="Arial" w:eastAsia="Arial" w:hAnsi="Arial"/>
          <w:sz w:val="18"/>
          <w:szCs w:val="18"/>
          <w:color w:val="auto"/>
        </w:rPr>
      </w:pPr>
    </w:p>
    <w:p>
      <w:pPr>
        <w:ind w:left="280" w:right="440" w:hanging="272"/>
        <w:spacing w:after="0" w:line="274" w:lineRule="auto"/>
        <w:tabs>
          <w:tab w:leader="none" w:pos="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approved product candidate to the extent such costs are not the responsibility of any collaborators, including the costs and timing of establishing product sales, marketing, distribution and manufacturing capabilities;</w:t>
      </w:r>
    </w:p>
    <w:p>
      <w:pPr>
        <w:spacing w:after="0" w:line="66" w:lineRule="exact"/>
        <w:rPr>
          <w:rFonts w:ascii="Arial" w:cs="Arial" w:eastAsia="Arial" w:hAnsi="Arial"/>
          <w:sz w:val="17"/>
          <w:szCs w:val="17"/>
          <w:color w:val="auto"/>
        </w:rPr>
      </w:pPr>
    </w:p>
    <w:p>
      <w:pPr>
        <w:ind w:left="280" w:right="540" w:hanging="272"/>
        <w:spacing w:after="0" w:line="246"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should any of our product candidates receive marketing approval;</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changes in pharmaceutical pricing and reimbursement infrastructure;</w:t>
      </w:r>
    </w:p>
    <w:p>
      <w:pPr>
        <w:spacing w:after="0" w:line="117" w:lineRule="exact"/>
        <w:rPr>
          <w:rFonts w:ascii="Arial" w:cs="Arial" w:eastAsia="Arial" w:hAnsi="Arial"/>
          <w:sz w:val="18"/>
          <w:szCs w:val="18"/>
          <w:color w:val="auto"/>
        </w:rPr>
      </w:pPr>
    </w:p>
    <w:p>
      <w:pPr>
        <w:ind w:left="280" w:right="180" w:hanging="272"/>
        <w:spacing w:after="0" w:line="246"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receipt of regulatory approval and revenue, if any, received from commercial sales for any approved indications for any of our product candidates;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compete with other therapies in the indications we target;</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other products, product candidates or technologies;</w:t>
      </w:r>
    </w:p>
    <w:p>
      <w:pPr>
        <w:spacing w:after="0" w:line="117" w:lineRule="exact"/>
        <w:rPr>
          <w:rFonts w:ascii="Arial" w:cs="Arial" w:eastAsia="Arial" w:hAnsi="Arial"/>
          <w:sz w:val="18"/>
          <w:szCs w:val="18"/>
          <w:color w:val="auto"/>
        </w:rPr>
      </w:pPr>
    </w:p>
    <w:p>
      <w:pPr>
        <w:ind w:left="280" w:right="640" w:hanging="272"/>
        <w:spacing w:after="0" w:line="246"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88" w:lineRule="exact"/>
        <w:rPr>
          <w:rFonts w:ascii="Arial" w:cs="Arial" w:eastAsia="Arial" w:hAnsi="Arial"/>
          <w:sz w:val="18"/>
          <w:szCs w:val="18"/>
          <w:color w:val="auto"/>
        </w:rPr>
      </w:pPr>
    </w:p>
    <w:p>
      <w:pPr>
        <w:ind w:left="280" w:right="120" w:hanging="272"/>
        <w:spacing w:after="0" w:line="246"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 and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7"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We cannot be certain that additional funding will be available on acceptable terms, or at all. If we are unable to raise additional capital in sufficient amounts, on terms acceptable to us, or on a timely basis, we may have to significantly delay, scale back or discontinue the development or commercialization of our product candidates or other research and development initiatives.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have not generated any revenue from product sales and may not be able to maintain profitability.</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ability to maintain profitability depends upon our ability to generate revenue from product sales. Prior to the execution of the Roche License Agreement, we had not generated any revenue and do not expect to generate product revenue unless or until we successfully complete clinical development and obtain regulatory approval of, and then successfully commercialize, at least one of our product candidates. Our product candidates are in varying stages of development which may necessitate additional preclinical studies in some cases and in all cases will require additional clinical development as well as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95" w:lineRule="exact"/>
        <w:rPr>
          <w:sz w:val="20"/>
          <w:szCs w:val="20"/>
          <w:color w:val="auto"/>
        </w:rPr>
      </w:pPr>
    </w:p>
    <w:p>
      <w:pPr>
        <w:ind w:left="280" w:right="2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initiation and completion of our clinical trials of AT-527, AT-752 and AT-787, our preclinical studies and our future clinical trials, which may be significantly slower or more costly than we currently anticipate and will depend substantially upon the performance of third-party contractors;</w:t>
      </w:r>
    </w:p>
    <w:p>
      <w:pPr>
        <w:spacing w:after="0" w:line="94" w:lineRule="exact"/>
        <w:rPr>
          <w:rFonts w:ascii="Arial" w:cs="Arial" w:eastAsia="Arial" w:hAnsi="Arial"/>
          <w:sz w:val="18"/>
          <w:szCs w:val="18"/>
          <w:color w:val="auto"/>
        </w:rPr>
      </w:pPr>
    </w:p>
    <w:p>
      <w:pPr>
        <w:ind w:left="280" w:right="840" w:hanging="272"/>
        <w:spacing w:after="0" w:line="246"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complete additional investigational new drug application (“IND”), enabling studies and successfully submit INDs or comparable applications to allow us to initiate clinical trials for our product candidates;</w:t>
      </w:r>
    </w:p>
    <w:p>
      <w:pPr>
        <w:spacing w:after="0" w:line="88" w:lineRule="exact"/>
        <w:rPr>
          <w:rFonts w:ascii="Arial" w:cs="Arial" w:eastAsia="Arial" w:hAnsi="Arial"/>
          <w:sz w:val="18"/>
          <w:szCs w:val="18"/>
          <w:color w:val="auto"/>
        </w:rPr>
      </w:pPr>
    </w:p>
    <w:p>
      <w:pPr>
        <w:ind w:left="280" w:right="260" w:hanging="272"/>
        <w:spacing w:after="0" w:line="246"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88" w:lineRule="exact"/>
        <w:rPr>
          <w:rFonts w:ascii="Arial" w:cs="Arial" w:eastAsia="Arial" w:hAnsi="Arial"/>
          <w:sz w:val="18"/>
          <w:szCs w:val="18"/>
          <w:color w:val="auto"/>
        </w:rPr>
      </w:pPr>
    </w:p>
    <w:p>
      <w:pPr>
        <w:ind w:left="280" w:right="420" w:hanging="272"/>
        <w:spacing w:after="0" w:line="246"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or similar foreign regulatory authorities the safety and efficacy of our product candidates or any future product candidates;</w:t>
      </w:r>
    </w:p>
    <w:p>
      <w:pPr>
        <w:spacing w:after="0" w:line="88" w:lineRule="exact"/>
        <w:rPr>
          <w:rFonts w:ascii="Arial" w:cs="Arial" w:eastAsia="Arial" w:hAnsi="Arial"/>
          <w:sz w:val="18"/>
          <w:szCs w:val="18"/>
          <w:color w:val="auto"/>
        </w:rPr>
      </w:pPr>
    </w:p>
    <w:p>
      <w:pPr>
        <w:ind w:left="280" w:right="300" w:hanging="272"/>
        <w:spacing w:after="0" w:line="246"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or similar foreign regulatory authorities;</w:t>
      </w:r>
    </w:p>
    <w:p>
      <w:pPr>
        <w:spacing w:after="0" w:line="117" w:lineRule="exact"/>
        <w:rPr>
          <w:rFonts w:ascii="Arial" w:cs="Arial" w:eastAsia="Arial" w:hAnsi="Arial"/>
          <w:sz w:val="18"/>
          <w:szCs w:val="18"/>
          <w:color w:val="auto"/>
        </w:rPr>
      </w:pPr>
    </w:p>
    <w:p>
      <w:pPr>
        <w:ind w:left="280" w:right="800" w:hanging="272"/>
        <w:spacing w:after="0" w:line="246"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as potential antiviral therapies;</w:t>
      </w:r>
    </w:p>
    <w:p>
      <w:pPr>
        <w:spacing w:after="0" w:line="88" w:lineRule="exact"/>
        <w:rPr>
          <w:rFonts w:ascii="Arial" w:cs="Arial" w:eastAsia="Arial" w:hAnsi="Arial"/>
          <w:sz w:val="18"/>
          <w:szCs w:val="18"/>
          <w:color w:val="auto"/>
        </w:rPr>
      </w:pPr>
    </w:p>
    <w:p>
      <w:pPr>
        <w:ind w:left="280" w:right="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(“cGMP”);</w:t>
      </w:r>
    </w:p>
    <w:p>
      <w:pPr>
        <w:spacing w:after="0" w:line="94" w:lineRule="exact"/>
        <w:rPr>
          <w:rFonts w:ascii="Arial" w:cs="Arial" w:eastAsia="Arial" w:hAnsi="Arial"/>
          <w:sz w:val="18"/>
          <w:szCs w:val="18"/>
          <w:color w:val="auto"/>
        </w:rPr>
      </w:pPr>
    </w:p>
    <w:p>
      <w:pPr>
        <w:ind w:left="280" w:right="16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licensed for marketing, reimbursement, sale and distribution in such countries and territories, whether alone or in collaboration with others; and</w:t>
      </w:r>
    </w:p>
    <w:p>
      <w:pPr>
        <w:spacing w:after="0" w:line="94" w:lineRule="exact"/>
        <w:rPr>
          <w:rFonts w:ascii="Arial" w:cs="Arial" w:eastAsia="Arial" w:hAnsi="Arial"/>
          <w:sz w:val="18"/>
          <w:szCs w:val="18"/>
          <w:color w:val="auto"/>
        </w:rPr>
      </w:pPr>
    </w:p>
    <w:p>
      <w:pPr>
        <w:ind w:left="280" w:right="300" w:hanging="272"/>
        <w:spacing w:after="0" w:line="246"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maintain, protect and enforce intellectual property rights in and to our product candidates or any future product candidates.</w:t>
      </w:r>
    </w:p>
    <w:p>
      <w:pPr>
        <w:spacing w:after="0" w:line="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Many of the factors listed above are beyond our control, and could cause us to experience significant delays or prevent us from obtaining regulatory approvals or commercialize our product candidates. Even if we are able to commercialize our product candidates, we may not be able to maintain profitability after generating product sales. If we are unable to generate sufficient revenue through the sale of our product candidates or any future product candidates, we may be unable to continue operations without continued funding.</w:t>
      </w:r>
    </w:p>
    <w:p>
      <w:pPr>
        <w:spacing w:after="0" w:line="7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to offset future taxable income may be subject to certain limitations.</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of December 31, 2020, we had U.S. federal net operating loss carryforwards (“NOLs”), of $53.2 million, which may be available to offset future taxable income, if any, of which $27.5 million begin to expire in 2033 and of which $25.7 million do not expire but are limited in their usage (for taxable years beginning after December 31, 2020) to an annual deduction equal to 80% of annual taxable income. In addition, as of December 31, 2020, we had state NOLs of $52.5 million, which may be available to offset future taxable income, if any, and begin to expire in 2033. As of December 31, 2020, we also had federal and state research and development credit carryforwards of $1.6 million and $0.3 million, respectively, which begin to expire in 2033. In general, under Sections 382 and 383 of the Internal Revenue Code of 1986, as amended (the “Code”), a corporation that undergoes an “ownership change,” generally defined as a greater than 50% change by value in its equity</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35" w:name="page36"/>
    <w:bookmarkEnd w:id="35"/>
    <w:p>
      <w:pPr>
        <w:spacing w:after="0" w:line="237" w:lineRule="auto"/>
        <w:rPr>
          <w:sz w:val="20"/>
          <w:szCs w:val="20"/>
          <w:color w:val="auto"/>
        </w:rPr>
      </w:pPr>
      <w:r>
        <w:rPr>
          <w:rFonts w:ascii="Arial" w:cs="Arial" w:eastAsia="Arial" w:hAnsi="Arial"/>
          <w:sz w:val="18"/>
          <w:szCs w:val="18"/>
          <w:color w:val="auto"/>
        </w:rPr>
        <w:t>ownership over a three-year period, is subject to limitations on its ability to utilize its pre-change NOLs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In addition, future changes in our stock ownership, some of which might be beyond our control, could result in an ownership change under Sections 382 and 383 of the Code. For these reasons, we may not be able to utilize a material portion of the NOLs or research and development credit carryforwards even if we attain profitability. The Company expects to utilize NOLs of approximately $53.0 million during the year ended December 31, 2021.</w:t>
      </w:r>
    </w:p>
    <w:p>
      <w:pPr>
        <w:spacing w:after="0" w:line="73"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color w:val="auto"/>
        </w:rPr>
        <w:t>Risks Related to the Discovery, Development, Preclinical and Clinical Testing, Manufacturing and Regulatory Approval of Our Product Candidates</w:t>
      </w:r>
    </w:p>
    <w:p>
      <w:pPr>
        <w:spacing w:after="0" w:line="4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Our business is highly dependent on the success of our most advanced product candidates, particularly AT-527, each of which will require significant additional clinical testing before we can seek regulatory approval and potentially launch commercial sales. If these product candidates fail in clinical development, do not receive regulatory approval or are not successfully commercialized, or are significantly delayed in doing so, our business will be harmed.</w:t>
      </w:r>
    </w:p>
    <w:p>
      <w:pPr>
        <w:spacing w:after="0" w:line="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 substantial portion of our business and future success depends on our ability to develop, obtain regulatory approval for and successfully commercialize our most advanced product candidates, AT-527 for the treatment of COVID-19, AT-752 for the treatment of dengue fever and AT-787 for the treatment of HCV. We currently have no products that are approved for commercial sale and have not completed the development of any of our product candidates, and we may never be able to develop marketable products. In addition to our development of AT-527 for the treatment of COVID-19, for which we expect to expend resources in the near term, we expect that a substantial portion of our efforts and expenditures over the next few years will be devoted to our most advanced product candidates, which will require additional clinical development, management of clinical, medical affairs and manufacturing activities, obtaining regulatory approvals in multiple jurisdictions, securing of manufacturing supply, building of a commercial organization, substantial investment and significant marketing efforts before we can generate any revenues from any commercial sales from any product candidate, if approved. We cannot be certain that any of our product candidates will be successful in clinical trials, receive regulatory approval or be successfully commercialized even if we receive regulatory approval. Further, our development of any product candidate may be delayed, which may affect our ability to successfully commercialize such product. For example, enrollment in our Phase 1/2a trial of AT-787 for the treatment of HCV has been delayed due to the COVID-19 pandemic. Additionally, if our competitors develop products to treat COVID-19, dengue, HCV, RSV, or any other diseases which our current or future product candidates are being developed to treat, before we are able to successfully develop a product candidate, or if our competitors develop any products that are superior to our product candidates, our potential market share could become smaller or non-existent. Even if we receive approval to market these product candidates from the FDA or other regulatory bodies, we cannot be certain that our product candidates will be as or more effective than other commercially available alternatives, successfully commercialized or widely accepted in the marketplace. Nor can we be certain that, if approved, the safety and efficacy profile of our product candidates will be consistent with the results observed in clinical trials. If we are not successful in the clinical development of our most advanced product candidates, the required regulatory approvals for these product candidates are not obtained, there are significant delays in the development or approval of these product candidates, or any approved products are not commercially successful, our business, financial condition and results of operations may be materially harmed.</w:t>
      </w:r>
    </w:p>
    <w:p>
      <w:pPr>
        <w:spacing w:after="0" w:line="8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w:t>
      </w:r>
    </w:p>
    <w:p>
      <w:pPr>
        <w:spacing w:after="0" w:line="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Additionally, regulatory authorities may grant emergency use authorizations permitting distribution and sale of products prior to full approval and later withdraw such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6" w:name="page37"/>
    <w:bookmarkEnd w:id="36"/>
    <w:p>
      <w:pPr>
        <w:spacing w:after="0" w:line="246" w:lineRule="auto"/>
        <w:rPr>
          <w:sz w:val="20"/>
          <w:szCs w:val="20"/>
          <w:color w:val="auto"/>
        </w:rPr>
      </w:pPr>
      <w:r>
        <w:rPr>
          <w:rFonts w:ascii="Arial" w:cs="Arial" w:eastAsia="Arial" w:hAnsi="Arial"/>
          <w:sz w:val="18"/>
          <w:szCs w:val="18"/>
          <w:color w:val="auto"/>
        </w:rPr>
        <w:t xml:space="preserve">authorizations. For example, in April 2021 the FDA revoked the emergency use authorization that had been granted in December 2020 to Eli Lily for bamlanivimab as a single agent for the treatment of </w:t>
      </w:r>
      <w:r>
        <w:rPr>
          <w:rFonts w:ascii="Arial" w:cs="Arial" w:eastAsia="Arial" w:hAnsi="Arial"/>
          <w:sz w:val="18"/>
          <w:szCs w:val="18"/>
          <w:color w:val="333333"/>
        </w:rPr>
        <w:t>mild to moderate COVID-19 in adult and certain pediatric patients.</w:t>
      </w:r>
    </w:p>
    <w:p>
      <w:pPr>
        <w:spacing w:after="0" w:line="8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Although we believe that our ongoing and planned Phase 2 and Phase 3 clinical trials of AT-527 in patients with mild or moderate COVID-19, if successful, may enable us to submit an NDA seeking approval of AT-527 for the treatment of mild or moderate COVID-19, there is no guarantee that the FDA will agree with any strategy we may propose. We have not submitted an NDA for, or obtained regulatory approval of, any product candidate. We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 Applications for our product candidates could fail to receive regulatory approval for many reasons, including but not limited to the following:</w:t>
      </w:r>
    </w:p>
    <w:p>
      <w:pPr>
        <w:spacing w:after="0" w:line="6" w:lineRule="exact"/>
        <w:rPr>
          <w:sz w:val="20"/>
          <w:szCs w:val="20"/>
          <w:color w:val="auto"/>
        </w:rPr>
      </w:pPr>
    </w:p>
    <w:p>
      <w:pPr>
        <w:ind w:left="400" w:right="320" w:hanging="392"/>
        <w:spacing w:after="0" w:line="246" w:lineRule="auto"/>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implementation or interpretation of results of our clinical trials;</w:t>
      </w:r>
    </w:p>
    <w:p>
      <w:pPr>
        <w:spacing w:after="0" w:line="88" w:lineRule="exact"/>
        <w:rPr>
          <w:rFonts w:ascii="Arial" w:cs="Arial" w:eastAsia="Arial" w:hAnsi="Arial"/>
          <w:sz w:val="18"/>
          <w:szCs w:val="18"/>
          <w:color w:val="auto"/>
        </w:rPr>
      </w:pPr>
    </w:p>
    <w:p>
      <w:pPr>
        <w:jc w:val="both"/>
        <w:ind w:left="280" w:right="76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94" w:lineRule="exact"/>
        <w:rPr>
          <w:rFonts w:ascii="Arial" w:cs="Arial" w:eastAsia="Arial" w:hAnsi="Arial"/>
          <w:sz w:val="18"/>
          <w:szCs w:val="18"/>
          <w:color w:val="auto"/>
        </w:rPr>
      </w:pPr>
    </w:p>
    <w:p>
      <w:pPr>
        <w:ind w:left="280" w:right="540" w:hanging="272"/>
        <w:spacing w:after="0" w:line="246"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88" w:lineRule="exact"/>
        <w:rPr>
          <w:rFonts w:ascii="Arial" w:cs="Arial" w:eastAsia="Arial" w:hAnsi="Arial"/>
          <w:sz w:val="18"/>
          <w:szCs w:val="18"/>
          <w:color w:val="auto"/>
        </w:rPr>
      </w:pPr>
    </w:p>
    <w:p>
      <w:pPr>
        <w:ind w:left="280" w:right="280" w:hanging="272"/>
        <w:spacing w:after="0" w:line="246"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foreign regulatory authorities that a product candidate’s clinical and other benefits outweigh its safety risks;</w:t>
      </w:r>
    </w:p>
    <w:p>
      <w:pPr>
        <w:spacing w:after="0" w:line="88" w:lineRule="exact"/>
        <w:rPr>
          <w:rFonts w:ascii="Arial" w:cs="Arial" w:eastAsia="Arial" w:hAnsi="Arial"/>
          <w:sz w:val="18"/>
          <w:szCs w:val="18"/>
          <w:color w:val="auto"/>
        </w:rPr>
      </w:pPr>
    </w:p>
    <w:p>
      <w:pPr>
        <w:ind w:left="280" w:right="680" w:hanging="272"/>
        <w:spacing w:after="0" w:line="246"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88" w:lineRule="exact"/>
        <w:rPr>
          <w:rFonts w:ascii="Arial" w:cs="Arial" w:eastAsia="Arial" w:hAnsi="Arial"/>
          <w:sz w:val="18"/>
          <w:szCs w:val="18"/>
          <w:color w:val="auto"/>
        </w:rPr>
      </w:pPr>
    </w:p>
    <w:p>
      <w:pPr>
        <w:ind w:left="280" w:right="1140" w:hanging="272"/>
        <w:spacing w:after="0" w:line="246"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88" w:lineRule="exact"/>
        <w:rPr>
          <w:rFonts w:ascii="Arial" w:cs="Arial" w:eastAsia="Arial" w:hAnsi="Arial"/>
          <w:sz w:val="18"/>
          <w:szCs w:val="18"/>
          <w:color w:val="auto"/>
        </w:rPr>
      </w:pPr>
    </w:p>
    <w:p>
      <w:pPr>
        <w:ind w:left="280" w:right="720" w:hanging="272"/>
        <w:spacing w:after="0" w:line="246"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or our collaborators’ clinical data insufficient for approval.</w:t>
      </w:r>
    </w:p>
    <w:p>
      <w:pPr>
        <w:spacing w:after="0" w:line="8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seriously harm our business. In addition, even if we or our collaborators were to obtain approval, regulatory authorities may approve any of our product candidates for fewer or more limited indications than we request, may impose significant limitations in the form of narrow indications, warnings, or a Risk Evaluation and Mitigation Strategy (“REMS”).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7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Clinical development is lengthy and uncertain. We may encounter substantial delays and costs in our clinical trials, or may not be able to conduct or complete our clinical trials on the timelines we expect, if at all.</w:t>
      </w:r>
    </w:p>
    <w:p>
      <w:pPr>
        <w:spacing w:after="0" w:line="6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time-consuming and subject to uncertainty. A failure of one or more clinical trials can occur at any stage of the process, and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To date, we have not completed any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7" w:name="page38"/>
    <w:bookmarkEnd w:id="37"/>
    <w:p>
      <w:pPr>
        <w:spacing w:after="0" w:line="237" w:lineRule="auto"/>
        <w:rPr>
          <w:sz w:val="20"/>
          <w:szCs w:val="20"/>
          <w:color w:val="auto"/>
        </w:rPr>
      </w:pPr>
      <w:r>
        <w:rPr>
          <w:rFonts w:ascii="Arial" w:cs="Arial" w:eastAsia="Arial" w:hAnsi="Arial"/>
          <w:sz w:val="18"/>
          <w:szCs w:val="18"/>
          <w:color w:val="auto"/>
        </w:rPr>
        <w:t>late-stage or pivotal clinical trials for any of our product candidates. We cannot guarantee that any of our planned or ongoing clinical trials will be initiated or conducted as planned or completed on schedule, if at all. We also cannot be sure that submission of any future IND or similar application will result in the FDA or other regulatory authority, as applicable, allowing future clinical trials to begin in a timely manner, if at all. Moreover, even if these trials begin, issues may arise that could cause regulatory authorities to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97"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generate sufficient preclinical, toxicology, or other in vivo or in vitro data to support the initiation or continuation of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study design or implementation of the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failure in obtaining regulatory authorization to commence a trial;</w:t>
      </w:r>
    </w:p>
    <w:p>
      <w:pPr>
        <w:spacing w:after="0" w:line="117" w:lineRule="exact"/>
        <w:rPr>
          <w:rFonts w:ascii="Arial" w:cs="Arial" w:eastAsia="Arial" w:hAnsi="Arial"/>
          <w:sz w:val="18"/>
          <w:szCs w:val="18"/>
          <w:color w:val="auto"/>
        </w:rPr>
      </w:pPr>
    </w:p>
    <w:p>
      <w:pPr>
        <w:ind w:left="280" w:right="340" w:hanging="272"/>
        <w:spacing w:after="0" w:line="246"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CROs and clinical trial sites;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(“IRB”) or ethics committee, approval at each clinical trial site;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w:t>
      </w:r>
    </w:p>
    <w:p>
      <w:pPr>
        <w:spacing w:after="0" w:line="117" w:lineRule="exact"/>
        <w:rPr>
          <w:rFonts w:ascii="Arial" w:cs="Arial" w:eastAsia="Arial" w:hAnsi="Arial"/>
          <w:sz w:val="18"/>
          <w:szCs w:val="18"/>
          <w:color w:val="auto"/>
        </w:rPr>
      </w:pPr>
    </w:p>
    <w:p>
      <w:pPr>
        <w:ind w:left="280" w:right="120" w:hanging="272"/>
        <w:spacing w:after="0" w:line="246"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88" w:lineRule="exact"/>
        <w:rPr>
          <w:rFonts w:ascii="Arial" w:cs="Arial" w:eastAsia="Arial" w:hAnsi="Arial"/>
          <w:sz w:val="18"/>
          <w:szCs w:val="18"/>
          <w:color w:val="auto"/>
        </w:rPr>
      </w:pPr>
    </w:p>
    <w:p>
      <w:pPr>
        <w:ind w:left="280" w:right="660" w:hanging="272"/>
        <w:spacing w:after="0" w:line="246"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88" w:lineRule="exact"/>
        <w:rPr>
          <w:rFonts w:ascii="Arial" w:cs="Arial" w:eastAsia="Arial" w:hAnsi="Arial"/>
          <w:sz w:val="18"/>
          <w:szCs w:val="18"/>
          <w:color w:val="auto"/>
        </w:rPr>
      </w:pPr>
    </w:p>
    <w:p>
      <w:pPr>
        <w:jc w:val="both"/>
        <w:ind w:left="280" w:right="4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authorities for a number of reasons, including after review of an IND or amendment or equivalent foreign application or amendment; as a result of a new safety finding that presents unreasonable risk to clinical trial participants; or a negative finding from an inspection of our clinical trial operations or study sites;</w:t>
      </w:r>
    </w:p>
    <w:p>
      <w:pPr>
        <w:spacing w:after="0" w:line="94" w:lineRule="exact"/>
        <w:rPr>
          <w:rFonts w:ascii="Arial" w:cs="Arial" w:eastAsia="Arial" w:hAnsi="Arial"/>
          <w:sz w:val="18"/>
          <w:szCs w:val="18"/>
          <w:color w:val="auto"/>
        </w:rPr>
      </w:pPr>
    </w:p>
    <w:p>
      <w:pPr>
        <w:jc w:val="both"/>
        <w:ind w:left="280" w:righ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94" w:lineRule="exact"/>
        <w:rPr>
          <w:rFonts w:ascii="Arial" w:cs="Arial" w:eastAsia="Arial" w:hAnsi="Arial"/>
          <w:sz w:val="18"/>
          <w:szCs w:val="18"/>
          <w:color w:val="auto"/>
        </w:rPr>
      </w:pPr>
    </w:p>
    <w:p>
      <w:pPr>
        <w:ind w:left="280" w:right="180" w:hanging="272"/>
        <w:spacing w:after="0" w:line="246"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recruiting, screening and enrolling patients and delays caused by patients withdrawing from clinical trials or failing to return for post-treatment follow-up, including due to the COVID-19 pandemic;</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280" w:right="300" w:hanging="272"/>
        <w:spacing w:after="0" w:line="246"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 failure to perform in accordance with the FDA’s or any other regulatory authority’s good clinical practice requirements (“GCPs”), or applicable regulatory guidelines in other countries;</w:t>
      </w:r>
    </w:p>
    <w:p>
      <w:pPr>
        <w:spacing w:after="0" w:line="88" w:lineRule="exact"/>
        <w:rPr>
          <w:rFonts w:ascii="Arial" w:cs="Arial" w:eastAsia="Arial" w:hAnsi="Arial"/>
          <w:sz w:val="18"/>
          <w:szCs w:val="18"/>
          <w:color w:val="auto"/>
        </w:rPr>
      </w:pPr>
    </w:p>
    <w:p>
      <w:pPr>
        <w:ind w:left="280" w:right="220" w:hanging="272"/>
        <w:spacing w:after="0" w:line="246"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 of the same class of agents conducted by other companies;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the clinical trial protocols;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38" w:name="page39"/>
    <w:bookmarkEnd w:id="38"/>
    <w:p>
      <w:pPr>
        <w:ind w:left="280" w:hanging="272"/>
        <w:spacing w:after="0" w:line="246" w:lineRule="auto"/>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88" w:lineRule="exact"/>
        <w:rPr>
          <w:rFonts w:ascii="Arial" w:cs="Arial" w:eastAsia="Arial" w:hAnsi="Arial"/>
          <w:sz w:val="18"/>
          <w:szCs w:val="18"/>
          <w:color w:val="auto"/>
        </w:rPr>
      </w:pPr>
    </w:p>
    <w:p>
      <w:pPr>
        <w:ind w:left="280" w:right="340" w:hanging="272"/>
        <w:spacing w:after="0" w:line="246" w:lineRule="auto"/>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CMO and delays or failure by our CMOs or us to make any necessary changes to such manufacturing process; and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117"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difficulties or delays in initiating, enrolling, conducting or completing our planned and ongoing clinical trials. For example, due to the COVID-19 pandemic, our Phase 1/2a clinical trial of AT-787 for the treatment of HCV was paused until our clinical sites are able to re-open and we elect to resume enrollment, which has not yet occurred.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any approved products have patent protection and may allow our competitors to bring products to market before we do, which could impair our ability to successfully commercialize our product candidates and may seriously harm our business.</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(“DSMB”), for such trial, or by the FDA or any other regulatory authority, or if the IRBs or ethics committees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 conducting clinical trials in foreign countries, as we are doing for our COVID-19 and dengue product candidates, and as we expect to resume for our HCV product candidate,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9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clinical trials that occur as a result could shorten any period during which we may have the exclusive right to commercialize our product candidates and our competitors may be able to bring products to market before we do, which could significantly reduce the commercial viability of our product candidates. Any of these occurrences may harm our business, financial condition and prospects significantly.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9" w:name="page40"/>
    <w:bookmarkEnd w:id="39"/>
    <w:p>
      <w:pPr>
        <w:jc w:val="both"/>
        <w:ind w:right="440"/>
        <w:spacing w:after="0" w:line="253" w:lineRule="auto"/>
        <w:rPr>
          <w:sz w:val="20"/>
          <w:szCs w:val="20"/>
          <w:color w:val="auto"/>
        </w:rPr>
      </w:pPr>
      <w:r>
        <w:rPr>
          <w:rFonts w:ascii="Arial" w:cs="Arial" w:eastAsia="Arial" w:hAnsi="Arial"/>
          <w:sz w:val="18"/>
          <w:szCs w:val="18"/>
          <w:b w:val="1"/>
          <w:bCs w:val="1"/>
          <w:i w:val="1"/>
          <w:iCs w:val="1"/>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Adverse events or other undesirable side effects caused by our product candidates could cause us, our collaborators, any DSMB for a trial, or regulatory authorities to interrupt, delay or halt clinical trials and could result in a more restrictive label or the delay or denial of regulatory approval by the FDA or other comparable foreign regulatory authorities.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any serious adverse events occur, clinical trials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or require us to cease selling any product candidates or products for any or all targeted indications. If we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99" w:lineRule="exact"/>
        <w:rPr>
          <w:sz w:val="20"/>
          <w:szCs w:val="20"/>
          <w:color w:val="auto"/>
        </w:rPr>
      </w:pPr>
    </w:p>
    <w:p>
      <w:pPr>
        <w:ind w:left="280" w:right="780" w:hanging="272"/>
        <w:spacing w:after="0" w:line="246"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or distribution;</w:t>
      </w:r>
    </w:p>
    <w:p>
      <w:pPr>
        <w:spacing w:after="0" w:line="88" w:lineRule="exact"/>
        <w:rPr>
          <w:rFonts w:ascii="Arial" w:cs="Arial" w:eastAsia="Arial" w:hAnsi="Arial"/>
          <w:sz w:val="18"/>
          <w:szCs w:val="18"/>
          <w:color w:val="auto"/>
        </w:rPr>
      </w:pPr>
    </w:p>
    <w:p>
      <w:pPr>
        <w:ind w:left="280" w:right="300" w:hanging="272"/>
        <w:spacing w:after="0" w:line="274" w:lineRule="auto"/>
        <w:tabs>
          <w:tab w:leader="none" w:pos="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66" w:lineRule="exact"/>
        <w:rPr>
          <w:rFonts w:ascii="Arial" w:cs="Arial" w:eastAsia="Arial" w:hAnsi="Arial"/>
          <w:sz w:val="17"/>
          <w:szCs w:val="17"/>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7" w:lineRule="exact"/>
        <w:rPr>
          <w:rFonts w:ascii="Arial" w:cs="Arial" w:eastAsia="Arial" w:hAnsi="Arial"/>
          <w:sz w:val="18"/>
          <w:szCs w:val="18"/>
          <w:color w:val="auto"/>
        </w:rPr>
      </w:pPr>
    </w:p>
    <w:p>
      <w:pPr>
        <w:ind w:left="280" w:right="320" w:hanging="272"/>
        <w:spacing w:after="0" w:line="246"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create a REMS which could include a medication guide outlining the risks of such side effects for distribution to patients;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future product candidates in combination with other therapies, which exposes us to additional risks.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develop future product candidates in combination with other product candidates or existing therapies. Even if any product candidate we develop was to receive marketing approval or be commercialized for use in combination with other existing therapies, we would continue to be subject to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in antiviral treatments, and we would be subject to similar risks if we develop any of our product candidates for use in combination with other drugs or for indications other than currently anticipated. This could result in our own products being removed from the market or being less successful commercially.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We may also evaluate our product candidates in combination with one or more other therapies that have not yet been approved for marketing by the FDA or similar foreign regulatory authorities. We will not be able to market and sell the product candidates we develop in combination with any such unapproved therapies that do not ultimately obtain marketing approval.</w:t>
      </w:r>
    </w:p>
    <w:p>
      <w:pPr>
        <w:spacing w:after="0" w:line="9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If the FDA or similar foreign regulatory authorities do not approve these other drugs or revoke their approval of, or if safety, efficacy, manufacturing, or supply issues arise with, the drugs we choose to evaluate in combination with our product candidates, we may be unable to obtain approval of or market the product candidates we develop.</w:t>
      </w:r>
    </w:p>
    <w:p>
      <w:pPr>
        <w:spacing w:after="0" w:line="7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6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95"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the target disease population;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280" w:right="340" w:hanging="272"/>
        <w:spacing w:after="0" w:line="246"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trial completion; and</w:t>
      </w:r>
    </w:p>
    <w:p>
      <w:pPr>
        <w:spacing w:after="0" w:line="117" w:lineRule="exact"/>
        <w:rPr>
          <w:rFonts w:ascii="Arial" w:cs="Arial" w:eastAsia="Arial" w:hAnsi="Arial"/>
          <w:sz w:val="18"/>
          <w:szCs w:val="18"/>
          <w:color w:val="auto"/>
        </w:rPr>
      </w:pPr>
    </w:p>
    <w:p>
      <w:pPr>
        <w:ind w:left="280" w:right="460" w:hanging="272"/>
        <w:spacing w:after="0" w:line="246"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outside of our control, such as the COVID-19 pandemic which has, among other things, created substantial burdens on healthcare providers who may be required to prioritize immediate critical patient care over clinical research.</w:t>
      </w:r>
    </w:p>
    <w:p>
      <w:pPr>
        <w:spacing w:after="0" w:line="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For example, due to the COVID-19 pandemic, our Phase 1/2a trial of AT-787 for the treatment of HCV was paused until our clinical sites are able to re-open and we elect to resume enrollment, which has not yet occurred. In addition, our clinical trials will compete with other clinical trials for product candidates that are in the same therapeutic areas as our product candidates or similar areas,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w:t>
      </w:r>
    </w:p>
    <w:p>
      <w:pPr>
        <w:spacing w:after="0" w:line="9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Delays in patient enrollment may result in increased costs or may affect the timing or outcome of our ongoing and planned clinical trials, which could prevent completion or commencement of these trials and adversely affect our ability to advance the development of our product candidates.</w:t>
      </w:r>
    </w:p>
    <w:p>
      <w:pPr>
        <w:spacing w:after="0" w:line="7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We currently conduct clinical trials, and may in the future choose to conduct additional clinical trials, of our product candidates in sites outside the United States, and the FDA may not accept data from trials conducted in foreign locations.</w:t>
      </w:r>
    </w:p>
    <w:p>
      <w:pPr>
        <w:spacing w:after="0" w:line="6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currently conduct, and may in the future choose to conduct, clinical trials outside the United States for our product candidates. Although the FDA may accept data from clinical trials conducted outside the United States, acceptance of this data is subject to certain conditions imposed by the FDA. For example, the clinical trial must be conducted in accordance with GCP, and the FDA must also be able to validate the data from the study through an on-site inspection if necessary. In general, the patient population for any clinical trials conducted outside of the United States must be representative of the population for which we intend to seek approval for the product in the United States. In addition, while these clinical trials are subject to the applicable local laws, the FDA acceptance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1" w:name="page42"/>
    <w:bookmarkEnd w:id="41"/>
    <w:p>
      <w:pPr>
        <w:ind w:right="160"/>
        <w:spacing w:after="0" w:line="238" w:lineRule="auto"/>
        <w:rPr>
          <w:sz w:val="20"/>
          <w:szCs w:val="20"/>
          <w:color w:val="auto"/>
        </w:rPr>
      </w:pPr>
      <w:r>
        <w:rPr>
          <w:rFonts w:ascii="Arial" w:cs="Arial" w:eastAsia="Arial" w:hAnsi="Arial"/>
          <w:sz w:val="18"/>
          <w:szCs w:val="18"/>
          <w:color w:val="auto"/>
        </w:rPr>
        <w:t>of the data will be dependent upon its determination that the trials also complied with all applicable U.S. laws and regulations. There can be no assurance the FDA will accept data from trials conducted outside of the United States. If the FDA does not accept the data from our clinical trials of our product candidates, it would likely result in the need for additional trials, which would be costly and time-consuming and delay or permanently halt our development of our product candidates.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there are risks inherent in conducting clinical trials in multiple jurisdictions, inside and outside of the United States, such as:</w:t>
      </w:r>
    </w:p>
    <w:p>
      <w:pPr>
        <w:spacing w:after="0" w:line="104" w:lineRule="exact"/>
        <w:rPr>
          <w:sz w:val="20"/>
          <w:szCs w:val="20"/>
          <w:color w:val="auto"/>
        </w:rPr>
      </w:pPr>
    </w:p>
    <w:p>
      <w:pPr>
        <w:ind w:left="280" w:right="200" w:hanging="272"/>
        <w:spacing w:after="0" w:line="246"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ability to conduct our clinical trials;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280" w:right="320" w:hanging="272"/>
        <w:spacing w:after="0" w:line="246"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w:t>
      </w:r>
    </w:p>
    <w:p>
      <w:pPr>
        <w:spacing w:after="0" w:line="234" w:lineRule="auto"/>
        <w:rPr>
          <w:sz w:val="20"/>
          <w:szCs w:val="20"/>
          <w:color w:val="auto"/>
        </w:rPr>
      </w:pPr>
      <w:r>
        <w:rPr>
          <w:rFonts w:ascii="Arial" w:cs="Arial" w:eastAsia="Arial" w:hAnsi="Arial"/>
          <w:sz w:val="18"/>
          <w:szCs w:val="18"/>
          <w:color w:val="auto"/>
        </w:rPr>
        <w:t>preliminary analysis of then-available data, and the results and related findings and conclusions are subject to change following a more</w:t>
      </w:r>
    </w:p>
    <w:p>
      <w:pPr>
        <w:spacing w:after="0" w:line="235" w:lineRule="auto"/>
        <w:rPr>
          <w:sz w:val="20"/>
          <w:szCs w:val="20"/>
          <w:color w:val="auto"/>
        </w:rPr>
      </w:pPr>
      <w:r>
        <w:rPr>
          <w:rFonts w:ascii="Arial" w:cs="Arial" w:eastAsia="Arial" w:hAnsi="Arial"/>
          <w:sz w:val="18"/>
          <w:szCs w:val="18"/>
          <w:color w:val="auto"/>
        </w:rPr>
        <w:t>comprehensive review of the data related to the particular study or trial. We also make assumptions, estimations, calculations and</w:t>
      </w:r>
    </w:p>
    <w:p>
      <w:pPr>
        <w:spacing w:after="0" w:line="235" w:lineRule="auto"/>
        <w:rPr>
          <w:sz w:val="20"/>
          <w:szCs w:val="20"/>
          <w:color w:val="auto"/>
        </w:rPr>
      </w:pPr>
      <w:r>
        <w:rPr>
          <w:rFonts w:ascii="Arial" w:cs="Arial" w:eastAsia="Arial" w:hAnsi="Arial"/>
          <w:sz w:val="18"/>
          <w:szCs w:val="18"/>
          <w:color w:val="auto"/>
        </w:rPr>
        <w:t>conclusions as part of our analyses of data, and we may not have received or had the opportunity to fully and carefully evaluate all</w:t>
      </w:r>
    </w:p>
    <w:p>
      <w:pPr>
        <w:spacing w:after="0" w:line="235" w:lineRule="auto"/>
        <w:rPr>
          <w:sz w:val="20"/>
          <w:szCs w:val="20"/>
          <w:color w:val="auto"/>
        </w:rPr>
      </w:pPr>
      <w:r>
        <w:rPr>
          <w:rFonts w:ascii="Arial" w:cs="Arial" w:eastAsia="Arial" w:hAnsi="Arial"/>
          <w:sz w:val="18"/>
          <w:szCs w:val="18"/>
          <w:color w:val="auto"/>
        </w:rPr>
        <w:t>data. Consequently, the top-line or preliminary data that we report may differ from final results reported from the same studies, or different</w:t>
      </w:r>
    </w:p>
    <w:p>
      <w:pPr>
        <w:spacing w:after="0" w:line="235" w:lineRule="auto"/>
        <w:rPr>
          <w:sz w:val="20"/>
          <w:szCs w:val="20"/>
          <w:color w:val="auto"/>
        </w:rPr>
      </w:pPr>
      <w:r>
        <w:rPr>
          <w:rFonts w:ascii="Arial" w:cs="Arial" w:eastAsia="Arial" w:hAnsi="Arial"/>
          <w:sz w:val="18"/>
          <w:szCs w:val="18"/>
          <w:color w:val="auto"/>
        </w:rPr>
        <w:t>conclusions or considerations may qualify such preliminary or topline data, once additional data have been received and fully evaluated. Top-</w:t>
      </w:r>
    </w:p>
    <w:p>
      <w:pPr>
        <w:spacing w:after="0" w:line="234" w:lineRule="auto"/>
        <w:rPr>
          <w:sz w:val="20"/>
          <w:szCs w:val="20"/>
          <w:color w:val="auto"/>
        </w:rPr>
      </w:pPr>
      <w:r>
        <w:rPr>
          <w:rFonts w:ascii="Arial" w:cs="Arial" w:eastAsia="Arial" w:hAnsi="Arial"/>
          <w:sz w:val="18"/>
          <w:szCs w:val="18"/>
          <w:color w:val="auto"/>
        </w:rPr>
        <w:t>line data also remain subject to audit and verification procedures that may result in the final results being materially different from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preliminary or topline data we previously published. As a result, top-line data should be viewed with caution until the final data are available.</w:t>
      </w:r>
    </w:p>
    <w:p>
      <w:pPr>
        <w:spacing w:after="0" w:line="10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From time to time, as we did in June 2021 with regard to our Phase 2 trial of AT-527 in hospitalized patients, we may also disclose interim data from our preclinical studies and clinical trials. Interim data from clinical trials that we may subsequently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results could significantly harm our business prospects. Further, disclosure of interim data by us or by our competitors could result in volatility in the price of our common stock.</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successfully develop additional product candidates.</w:t>
      </w:r>
    </w:p>
    <w:p>
      <w:pPr>
        <w:spacing w:after="0" w:line="12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Part of our strategy involves identifying novel product candidates. The process by which we identify novel product candidates may fail to yield product candidates for clinical development for a number of reasons, including those discussed in these risk factors and also:</w:t>
      </w:r>
    </w:p>
    <w:p>
      <w:pPr>
        <w:spacing w:after="0" w:line="89"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potential product candidates obsolete or less attractive;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2" w:name="page43"/>
    <w:bookmarkEnd w:id="42"/>
    <w:p>
      <w:pPr>
        <w:ind w:left="280" w:right="240" w:hanging="272"/>
        <w:spacing w:after="0" w:line="246"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 candidates we develop may nevertheless be covered by third-parties’ patent or other intellectual property or exclusive rights;</w:t>
      </w:r>
    </w:p>
    <w:p>
      <w:pPr>
        <w:spacing w:after="0" w:line="88" w:lineRule="exact"/>
        <w:rPr>
          <w:rFonts w:ascii="Arial" w:cs="Arial" w:eastAsia="Arial" w:hAnsi="Arial"/>
          <w:sz w:val="18"/>
          <w:szCs w:val="18"/>
          <w:color w:val="auto"/>
        </w:rPr>
      </w:pPr>
    </w:p>
    <w:p>
      <w:pPr>
        <w:ind w:left="280" w:right="200" w:hanging="272"/>
        <w:spacing w:after="0" w:line="246"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toxicities or other characteristics that indicate that they are unlikely to be products that will receive marketing approval or achieve market acceptance, if approved;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 symptoms;</w:t>
      </w:r>
    </w:p>
    <w:p>
      <w:pPr>
        <w:spacing w:after="0" w:line="117" w:lineRule="exact"/>
        <w:rPr>
          <w:rFonts w:ascii="Arial" w:cs="Arial" w:eastAsia="Arial" w:hAnsi="Arial"/>
          <w:sz w:val="18"/>
          <w:szCs w:val="18"/>
          <w:color w:val="auto"/>
        </w:rPr>
      </w:pPr>
    </w:p>
    <w:p>
      <w:pPr>
        <w:ind w:left="280" w:right="640" w:hanging="272"/>
        <w:spacing w:after="0" w:line="246"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for a potential product candidate may change so that the continued development of that product candidate is no longer reasonable;</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in commercial quantities at an acceptable cost, or at all; or</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regulatory pathway for a potential product candidate is highly complex and difficult to navigate successfully or economically.</w:t>
      </w:r>
    </w:p>
    <w:p>
      <w:pPr>
        <w:spacing w:after="0" w:line="11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If we are unable to identify and successfully commercialize additional suitable product candidates, this would adversely impact our business strategy and our financial position.</w:t>
      </w:r>
    </w:p>
    <w:p>
      <w:pPr>
        <w:spacing w:after="0" w:line="6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may focus on potential product candidates that may prove to be unsuccessful and we may have to forego opportunities to develop other product candidates that may prove to be more successful.</w:t>
      </w:r>
    </w:p>
    <w:p>
      <w:pPr>
        <w:spacing w:after="0" w:line="6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may choose to focus our efforts and resources on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Furthermore, we have limited financial and personnel resources and are placing significant focus on the development of our lead product candidates, particularly AT-527, and as such,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future product candidate, we may relinquish valuable rights to those future product candidates through collaboration, licensing or other royalty arrangements in cases in which it would have been more advantageous for us to retain sole development and commercialization rights to such future product candidates.</w:t>
      </w:r>
    </w:p>
    <w:p>
      <w:pPr>
        <w:spacing w:after="0" w:line="78"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seek a Breakthrough Therapy designation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clinical development. Drugs designated as Breakthrough Therapies by the FDA may also be eligible for priority review, if the relevant criteria are met.</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review procedures and does not assure ultimate approval by the FDA. In addition, even if one or more of our product candidates qualify as breakthrough therapies, the FDA may later decide that the product no longer meets the conditions for qualification or decide that the time period for FDA review or approval will not be shortened.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3" w:name="page44"/>
    <w:bookmarkEnd w:id="43"/>
    <w:p>
      <w:pPr>
        <w:ind w:right="20"/>
        <w:spacing w:after="0" w:line="244" w:lineRule="auto"/>
        <w:rPr>
          <w:sz w:val="20"/>
          <w:szCs w:val="20"/>
          <w:color w:val="auto"/>
        </w:rPr>
      </w:pPr>
      <w:r>
        <w:rPr>
          <w:rFonts w:ascii="Arial" w:cs="Arial" w:eastAsia="Arial" w:hAnsi="Arial"/>
          <w:sz w:val="18"/>
          <w:szCs w:val="18"/>
          <w:b w:val="1"/>
          <w:bCs w:val="1"/>
          <w:i w:val="1"/>
          <w:iCs w:val="1"/>
          <w:color w:val="auto"/>
        </w:rPr>
        <w:t>We may attempt to secure FDA approval of certain product candidates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developing certain product candidates for the treatment of serious and life-threatening conditions, including AT-527 for the treatment of COVID-19, and therefore may decide to seek approval of such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the sponsor fails to conduct such studies in a timely manner, or if such post-approval studies fail to verify the drug’s predicted clinical benefit, the FDA may withdraw its approval of the drug on an expedited basis.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we decide to submit an NDA seeking accelerated approval or receive an expedited regulatory designation for our product candidates, there can be no assurance that such submission or application will be accepted or that any expedited development, review or approval will be granted on a timely basis, or at all. Failure to obtain accelerated approval or any other form of expedited development, review or approval for a product candidate would result in a longer time period to commercialization of such product candidate, if any, and could increase the cost of development of such product candidate, which could harm our competitive position in the marketplace.</w:t>
      </w:r>
    </w:p>
    <w:p>
      <w:pPr>
        <w:spacing w:after="0" w:line="72"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w:t>
      </w:r>
    </w:p>
    <w:p>
      <w:pPr>
        <w:spacing w:after="0" w:line="8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Any product candidates we develop may not be effective, may be only moderately effective, or may prove to have undesirable or unintended side effects, toxicities or other characteristics that may preclude our obtaining marketing approval or prevent or limit commercial use. Failure to obtain marketing approval for a product candidate will prevent us from commercializing the product candidate in a given jurisdiction. Our development programs are early-stage and we have not received approval to market any product candidates from regulatory authorities in any jurisdiction. It is possible that none of the product candidates we are developing or that we may seek to develop in the future will ever obtain regulatory approval. We have no experience in filing and supporting the applications necessary to gain marketing approvals and expect to rely on third-party CROs, suppliers, vendors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numerous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ind w:right="120"/>
        <w:spacing w:after="0" w:line="237" w:lineRule="auto"/>
        <w:rPr>
          <w:sz w:val="20"/>
          <w:szCs w:val="20"/>
          <w:color w:val="auto"/>
        </w:rPr>
      </w:pPr>
      <w:r>
        <w:rPr>
          <w:rFonts w:ascii="Arial" w:cs="Arial" w:eastAsia="Arial" w:hAnsi="Arial"/>
          <w:sz w:val="18"/>
          <w:szCs w:val="18"/>
          <w:color w:val="auto"/>
        </w:rPr>
        <w:t>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97"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If we experience delays in obtaining approval or if we fail to obtain approval of any product candidates we may develop, the commercial prospects for those product candidates may be harmed, and our ability to generate product revenue will be materially impaired.</w:t>
      </w:r>
    </w:p>
    <w:p>
      <w:pPr>
        <w:spacing w:after="0" w:line="4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time-consuming. Regulatory requirements can vary widely from country to country and could delay or prevent the introduction of our products in those countries. Satisfying these and other regulatory requirements is costly, time-consuming,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7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6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antiviral products are well established in the medical community for the treatment of HCV, and doctors may continue to rely on these therapies.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w:t>
      </w:r>
    </w:p>
    <w:p>
      <w:pPr>
        <w:spacing w:after="0" w:line="97"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280" w:hanging="272"/>
        <w:spacing w:after="0" w:line="246"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9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45" w:name="page46"/>
    <w:bookmarkEnd w:id="45"/>
    <w:p>
      <w:pPr>
        <w:ind w:right="60"/>
        <w:spacing w:after="0" w:line="271" w:lineRule="auto"/>
        <w:rPr>
          <w:sz w:val="20"/>
          <w:szCs w:val="20"/>
          <w:color w:val="auto"/>
        </w:rPr>
      </w:pPr>
      <w:r>
        <w:rPr>
          <w:rFonts w:ascii="Arial" w:cs="Arial" w:eastAsia="Arial" w:hAnsi="Arial"/>
          <w:sz w:val="18"/>
          <w:szCs w:val="18"/>
          <w:b w:val="1"/>
          <w:bCs w:val="1"/>
          <w:i w:val="1"/>
          <w:iCs w:val="1"/>
          <w:color w:val="auto"/>
        </w:rPr>
        <w:t>otherwise prevent new or modified products from being developed, approved or commercialized in a timely manner or at all, which could negatively impact our business.</w:t>
      </w:r>
    </w:p>
    <w:p>
      <w:pPr>
        <w:spacing w:after="0" w:line="6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ability of the FDA to review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be appropriate.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84"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spacing w:after="0" w:line="68"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Though we have insurance coverage for clinical trial product liability, we do not carry insurance for all categories of risk that our business may encounter. Some of the policies we currently maintain include general liability, property, auto, workers’ compensation, umbrella, and directors’ and officers’ insurance.</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of our product candidates,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stock price to decline and, if judgments exceed our insurance coverage, could adversely affect our results of operations and business, including preventing or limiting the development and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9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Operating as a public company has and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ind w:right="460"/>
        <w:spacing w:after="0" w:line="246" w:lineRule="auto"/>
        <w:rPr>
          <w:sz w:val="20"/>
          <w:szCs w:val="20"/>
          <w:color w:val="auto"/>
        </w:rPr>
      </w:pPr>
      <w:r>
        <w:rPr>
          <w:rFonts w:ascii="Arial" w:cs="Arial" w:eastAsia="Arial" w:hAnsi="Arial"/>
          <w:sz w:val="18"/>
          <w:szCs w:val="18"/>
          <w:color w:val="auto"/>
        </w:rPr>
        <w:t>coverage. Any significant uninsured liability may require us to pay substantial amounts, which would adversely affect our cash and cash equivalents position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deficiencies or intrusions.</w:t>
      </w:r>
    </w:p>
    <w:p>
      <w:pPr>
        <w:spacing w:after="0" w:line="12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Our computer systems, as well as those of our CROs and other contractors and consultants, are vulnerable to failure or damage from computer viruses and other malware, unauthorized access or other cybersecurity attacks, natural disasters (including hurricanes), terrorism, war, fire and telecommunication or electrical failures. In the ordinary course of our business, we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The risk of a security breach or disruption, particularly through cyber-attacks or cyber intrusion, including by computer hackers, foreign governments, and cyber terrorists, has generally increased as the number, level of persistence, intensity and sophistication of attempted attacks and intrusions from around the world have increased. As a result of the COVID-19 pandemic, we may also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nor may we be able to implement preventive measures effective against all such security threats.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Because of this, we may also experience security breaches that may remain undetected for an extended period. We cannot assure you that our data protection efforts and our investment in information technology will prevent significant breakdowns, data leakages or breaches in our systems or those of our CROs and other contractors and consultants.</w:t>
      </w:r>
    </w:p>
    <w:p>
      <w:pPr>
        <w:spacing w:after="0" w:line="1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such an event were to occur and cause interruptions in our operations, it could result in a material disruption of our product candidate development programs. For example, the loss of preclinical studies or clinical trial data from completed, ongoing or planned studies or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our product candidates could be delayed. Although, to our knowledge, we have not experienced any such material security breach to date, any such breach could compromise our networks and the information stored there could be accessed, publicly disclosed, lost or stolen.</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75" w:lineRule="exact"/>
        <w:rPr>
          <w:sz w:val="20"/>
          <w:szCs w:val="20"/>
          <w:color w:val="auto"/>
        </w:rPr>
      </w:pPr>
    </w:p>
    <w:p>
      <w:pPr>
        <w:ind w:right="5180"/>
        <w:spacing w:after="0" w:line="372" w:lineRule="auto"/>
        <w:rPr>
          <w:sz w:val="20"/>
          <w:szCs w:val="20"/>
          <w:color w:val="auto"/>
        </w:rPr>
      </w:pPr>
      <w:r>
        <w:rPr>
          <w:rFonts w:ascii="Arial" w:cs="Arial" w:eastAsia="Arial" w:hAnsi="Arial"/>
          <w:sz w:val="18"/>
          <w:szCs w:val="18"/>
          <w:b w:val="1"/>
          <w:bCs w:val="1"/>
          <w:color w:val="auto"/>
        </w:rPr>
        <w:t xml:space="preserve">Risks Related to Healthcare Laws and Other Legal Compliance Matters </w:t>
      </w:r>
      <w:r>
        <w:rPr>
          <w:rFonts w:ascii="Arial" w:cs="Arial" w:eastAsia="Arial" w:hAnsi="Arial"/>
          <w:sz w:val="18"/>
          <w:szCs w:val="18"/>
          <w:b w:val="1"/>
          <w:bCs w:val="1"/>
          <w:i w:val="1"/>
          <w:iCs w:val="1"/>
          <w:color w:val="auto"/>
        </w:rPr>
        <w:t>We will be subject to extensive and costly government regulation.</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product candidates will be subject to extensive and rigorous domestic government regulation, including regulation by the FDA, the Centers for Medicare &amp; Medicaid Services (“CMS”), other divisions of the U.S. Department of Health and Human Services, the U.S. Department of Justice, state and local governments, and their respective equivalents outside of the United States. The FDA regulates the research, development, preclinical and clinical testing, manufacture, safety, effectiveness, record-keeping, reporting, labeling, packaging, storage, approval, advertising, promotion, sale, distribution, import and export of pharmaceutical products. If our products are marketed abroad, they will also be subject to extensive regulation by foreign governments, whether or not they have obtained FDA approval for a given product and its uses. Such foreign regulation may be equally or more demanding than corresponding United States regulation.</w:t>
      </w:r>
    </w:p>
    <w:p>
      <w:pPr>
        <w:spacing w:after="0" w:line="9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products. The regulatory review and approval process, which includes preclinical testing and clinical trials of each product candidate, is lengthy, expensive and uncertain. We must obtain and maintain regulatory authorization to conduct preclinical studies and clinical trials. We must obtain regulatory approval for each product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7" w:name="page48"/>
    <w:bookmarkEnd w:id="47"/>
    <w:p>
      <w:pPr>
        <w:ind w:right="40"/>
        <w:spacing w:after="0" w:line="238" w:lineRule="auto"/>
        <w:rPr>
          <w:sz w:val="20"/>
          <w:szCs w:val="20"/>
          <w:color w:val="auto"/>
        </w:rPr>
      </w:pPr>
      <w:r>
        <w:rPr>
          <w:rFonts w:ascii="Arial" w:cs="Arial" w:eastAsia="Arial" w:hAnsi="Arial"/>
          <w:sz w:val="18"/>
          <w:szCs w:val="18"/>
          <w:color w:val="auto"/>
        </w:rPr>
        <w:t>we intend to market, and the manufacturing facilities used for the products must be inspected and meet legal requirements. Securing regulatory approval requires the submission of extensive preclinical and clinical data and other supporting information for each proposed therapeutic indication in order to establish the product’s safety and efficacy, potency and purity, for each intended use. The development and approval process takes many years, requires substantial resources, and may never lead to the approval of a product.</w:t>
      </w:r>
    </w:p>
    <w:p>
      <w:pPr>
        <w:spacing w:after="0" w:line="9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 obtained, any approvals may be withdrawn, including, for example, if there is a later discovery of previously unknown problems with the product, such as a previously unknown safety issue.</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we, our consultants, CMOs,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w:t>
      </w:r>
    </w:p>
    <w:p>
      <w:pPr>
        <w:spacing w:after="0" w:line="7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and policies may increase the difficulty and cost for us to obtain marketing approval of and commercialize our product candidates and could adversely affect our business.</w:t>
      </w:r>
    </w:p>
    <w:p>
      <w:pPr>
        <w:spacing w:after="0" w:line="6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 the United States, the EU and other jurisdictions, there have been, and we expect there will continue to be, a number of legislative and regulatory changes and proposed changes to the healthcare system that could prevent or delay marketing approval of our products in development, restrict or regulate post-approval activities involving any product candidates for which we obtain marketing approval, impact pricing and reimbursement and impact our ability to sell any such products profitably. In particular, there have been and continue to be a number of initiatives at the U.S. federal and state levels that seek to reduce healthcare costs and improve the quality of healthcare. In addition, new regulations and interpretations of existing healthcare statutes and regulations are frequently adopted.</w:t>
      </w:r>
    </w:p>
    <w:p>
      <w:pPr>
        <w:spacing w:after="0" w:line="9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March 2010, the Patient Protection and Affordable Care Act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95" w:lineRule="exact"/>
        <w:rPr>
          <w:sz w:val="20"/>
          <w:szCs w:val="20"/>
          <w:color w:val="auto"/>
        </w:rPr>
      </w:pPr>
    </w:p>
    <w:p>
      <w:pPr>
        <w:ind w:left="280" w:right="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94" w:lineRule="exact"/>
        <w:rPr>
          <w:rFonts w:ascii="Arial" w:cs="Arial" w:eastAsia="Arial" w:hAnsi="Arial"/>
          <w:sz w:val="18"/>
          <w:szCs w:val="18"/>
          <w:color w:val="auto"/>
        </w:rPr>
      </w:pPr>
    </w:p>
    <w:p>
      <w:pPr>
        <w:jc w:val="both"/>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94" w:lineRule="exact"/>
        <w:rPr>
          <w:rFonts w:ascii="Arial" w:cs="Arial" w:eastAsia="Arial" w:hAnsi="Arial"/>
          <w:sz w:val="18"/>
          <w:szCs w:val="18"/>
          <w:color w:val="auto"/>
        </w:rPr>
      </w:pPr>
    </w:p>
    <w:p>
      <w:pPr>
        <w:ind w:left="280" w:right="40" w:hanging="272"/>
        <w:spacing w:after="0" w:line="246"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88" w:lineRule="exact"/>
        <w:rPr>
          <w:rFonts w:ascii="Arial" w:cs="Arial" w:eastAsia="Arial" w:hAnsi="Arial"/>
          <w:sz w:val="18"/>
          <w:szCs w:val="18"/>
          <w:color w:val="auto"/>
        </w:rPr>
      </w:pPr>
    </w:p>
    <w:p>
      <w:pPr>
        <w:ind w:left="280" w:right="60" w:hanging="272"/>
        <w:spacing w:after="0" w:line="246"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88" w:lineRule="exact"/>
        <w:rPr>
          <w:rFonts w:ascii="Arial" w:cs="Arial" w:eastAsia="Arial" w:hAnsi="Arial"/>
          <w:sz w:val="18"/>
          <w:szCs w:val="18"/>
          <w:color w:val="auto"/>
        </w:rPr>
      </w:pPr>
    </w:p>
    <w:p>
      <w:pPr>
        <w:ind w:left="280" w:right="140" w:hanging="272"/>
        <w:spacing w:after="0" w:line="246"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88" w:lineRule="exact"/>
        <w:rPr>
          <w:rFonts w:ascii="Arial" w:cs="Arial" w:eastAsia="Arial" w:hAnsi="Arial"/>
          <w:sz w:val="18"/>
          <w:szCs w:val="18"/>
          <w:color w:val="auto"/>
        </w:rPr>
      </w:pPr>
    </w:p>
    <w:p>
      <w:pPr>
        <w:ind w:left="280" w:right="32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94" w:lineRule="exact"/>
        <w:rPr>
          <w:rFonts w:ascii="Arial" w:cs="Arial" w:eastAsia="Arial" w:hAnsi="Arial"/>
          <w:sz w:val="18"/>
          <w:szCs w:val="18"/>
          <w:color w:val="auto"/>
        </w:rPr>
      </w:pPr>
    </w:p>
    <w:p>
      <w:pPr>
        <w:ind w:left="280" w:right="380" w:hanging="272"/>
        <w:spacing w:after="0" w:line="246"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48" w:name="page49"/>
    <w:bookmarkEnd w:id="48"/>
    <w:p>
      <w:pPr>
        <w:ind w:left="280" w:right="460" w:hanging="272"/>
        <w:spacing w:after="0" w:line="245" w:lineRule="auto"/>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establishment of the Center for Medicare and Medicaid Innovation at CMS to test innovative payment and service delivery models to lower Medicare and Medicaid spending, potentially including prescription drug spending.</w:t>
      </w:r>
    </w:p>
    <w:p>
      <w:pPr>
        <w:spacing w:after="0" w:line="9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Since its enactment, there have been judicial, Congressional and executive challenges to certain aspects of the ACA, and we expect there will be additional challenges and amendments to the ACA in the future. By way of example, in 2017, the Tax Cuts and Jobs Act (“the Tax Act”) was signed into law, which included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the U.S. District Court for the Northern District of Texas ruled that the ACA is unconstitutional in its entirety because the penalty imposed by the individual mandate, which was deemed an integral part of the ACA, was reduced to $0 and effectively nullified by Congress as part of the Tax Act. Additionally, on December 18, 2019, the U.S. Court of Appeals for the Fifth Circuit ruled that the individual mandate was unconstitutional and remanded the case back to the District Court to determine whether the remaining provisions of the ACA are invalid as well. The U.S. Supreme Court held that Texas and other plaintiff states do not have standing to challenge the constitutionality of the Affordable Care Act’s individual mandate. On June 14, 2018, the U.S. Court of Appeals for the Federal Circuit ruled that the federal government was not required to pay more than $12 billion in ACA risk corridor payments to third-party payors who argued that these payments were owed to them. This was appealed to the Supreme Court, who reversed the Federal Circuit’s decision on April 27, 2020, and ruled that the government must make risk corridor payments. It is unclear how other efforts to challenge, repeal or replace the ACA will impact the ACA or our business.</w:t>
      </w:r>
    </w:p>
    <w:p>
      <w:pPr>
        <w:spacing w:after="0" w:line="10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included aggregate reductions of Medicare payments to providers of 2% per fiscal year, effective April 1, 2013 which, due to subsequent legislative amendments, will stay in effect through 2030, with the exception of a temporary suspension from May 1, 2020 through December 31, 2021, unless additional congressional action is taken. In addition,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the orphan drug tax credit was reduced as part of a broader tax reform. These new laws or any other similar laws introduced in the future may result in additional reductions in Medicare and other healthcare funding, which could negatively affect our customers and accordingly, our financial operations.</w:t>
      </w:r>
    </w:p>
    <w:p>
      <w:pPr>
        <w:spacing w:after="0" w:line="99"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outcomes-based reimbursement.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0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jc w:val="both"/>
        <w:ind w:right="280"/>
        <w:spacing w:after="0"/>
        <w:rPr>
          <w:sz w:val="20"/>
          <w:szCs w:val="20"/>
          <w:color w:val="auto"/>
        </w:rPr>
      </w:pPr>
      <w:r>
        <w:rPr>
          <w:rFonts w:ascii="Arial" w:cs="Arial" w:eastAsia="Arial" w:hAnsi="Arial"/>
          <w:sz w:val="18"/>
          <w:szCs w:val="18"/>
          <w:color w:val="auto"/>
        </w:rPr>
        <w:t>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markets outside of the United States and the EU, reimbursement and healthcare payment systems vary significantly by country, and many countries have instituted price ceilings on specific products and therapies.</w:t>
      </w:r>
    </w:p>
    <w:p>
      <w:pPr>
        <w:spacing w:after="0" w:line="89"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addition, in the United States, 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8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7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 and post-marketing requirements.</w:t>
      </w:r>
    </w:p>
    <w:p>
      <w:pPr>
        <w:spacing w:after="0" w:line="6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 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production and quality control.</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81"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of our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11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50" w:name="page51"/>
    <w:bookmarkEnd w:id="50"/>
    <w:p>
      <w:pPr>
        <w:ind w:right="160"/>
        <w:spacing w:after="0" w:line="246" w:lineRule="auto"/>
        <w:rPr>
          <w:sz w:val="20"/>
          <w:szCs w:val="20"/>
          <w:color w:val="auto"/>
        </w:rPr>
      </w:pPr>
      <w:r>
        <w:rPr>
          <w:rFonts w:ascii="Arial" w:cs="Arial" w:eastAsia="Arial" w:hAnsi="Arial"/>
          <w:sz w:val="18"/>
          <w:szCs w:val="18"/>
          <w:color w:val="auto"/>
        </w:rPr>
        <w:t>requirements may adversely affect our ability to commercialize and generate revenue from our products. If regulatory sanctions are applied or if regulatory approval is withdrawn, our business will be seriously harmed.</w:t>
      </w:r>
    </w:p>
    <w:p>
      <w:pPr>
        <w:spacing w:after="0" w:line="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97" w:lineRule="exact"/>
        <w:rPr>
          <w:sz w:val="20"/>
          <w:szCs w:val="20"/>
          <w:color w:val="auto"/>
        </w:rPr>
      </w:pPr>
    </w:p>
    <w:p>
      <w:pPr>
        <w:ind w:left="280" w:right="40" w:hanging="272"/>
        <w:spacing w:after="0" w:line="237"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federal Anti-Kickback Statute, which makes it illegal for any person to knowingly and willfully solicit, offer, receive, pay or provide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ind w:left="280" w:hanging="272"/>
        <w:spacing w:after="0" w:line="235"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federal civil and criminal false claims laws, including the civil False Claims Act (the “FCA”), which prohibit individuals or entities from, among other things, knowingly presenting, or causing to be presented, to the U.S. federal government, claims for payment or approval that are false, fictitious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FCA even when they do not submit claims directly to government payors if they are deemed to “cause” the submission of false or fraudulent claims. The government may deem manufacturers to have “caused” the submission of false or fraudulent claims by, for example, providing inaccurate billing or coding information to customers or promoting a product off-label. Companies that submit claims directly to payors may also be liable under the FCA for the direct submission of such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51" w:name="page52"/>
    <w:bookmarkEnd w:id="51"/>
    <w:p>
      <w:pPr>
        <w:ind w:left="280" w:right="140" w:hanging="272"/>
        <w:spacing w:after="0" w:line="238"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96" w:lineRule="exact"/>
        <w:rPr>
          <w:rFonts w:ascii="Arial" w:cs="Arial" w:eastAsia="Arial" w:hAnsi="Arial"/>
          <w:sz w:val="18"/>
          <w:szCs w:val="18"/>
          <w:color w:val="auto"/>
        </w:rPr>
      </w:pPr>
    </w:p>
    <w:p>
      <w:pPr>
        <w:ind w:left="280" w:right="20" w:hanging="272"/>
        <w:spacing w:after="0" w:line="236"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(“HIPAA”), and its implementing regulations,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U.S. federal Anti-Kickback Statute, a person or entity does not need to have actual knowledge of the statute or specific intent to violate it in order to have committed a violation;</w:t>
      </w:r>
    </w:p>
    <w:p>
      <w:pPr>
        <w:spacing w:after="0" w:line="99" w:lineRule="exact"/>
        <w:rPr>
          <w:rFonts w:ascii="Arial" w:cs="Arial" w:eastAsia="Arial" w:hAnsi="Arial"/>
          <w:sz w:val="18"/>
          <w:szCs w:val="18"/>
          <w:color w:val="auto"/>
        </w:rPr>
      </w:pPr>
    </w:p>
    <w:p>
      <w:pPr>
        <w:ind w:left="280" w:right="260" w:hanging="272"/>
        <w:spacing w:after="0" w:line="246"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88" w:lineRule="exact"/>
        <w:rPr>
          <w:rFonts w:ascii="Arial" w:cs="Arial" w:eastAsia="Arial" w:hAnsi="Arial"/>
          <w:sz w:val="18"/>
          <w:szCs w:val="18"/>
          <w:color w:val="auto"/>
        </w:rPr>
      </w:pPr>
    </w:p>
    <w:p>
      <w:pPr>
        <w:ind w:left="280" w:hanging="272"/>
        <w:spacing w:after="0" w:line="238"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other healthcare providers starting in 2022, and teaching hospitals, as well as ownership and investment interests held by the physicians described above and their immediate family members;</w:t>
      </w:r>
    </w:p>
    <w:p>
      <w:pPr>
        <w:spacing w:after="0" w:line="94" w:lineRule="exact"/>
        <w:rPr>
          <w:rFonts w:ascii="Arial" w:cs="Arial" w:eastAsia="Arial" w:hAnsi="Arial"/>
          <w:sz w:val="18"/>
          <w:szCs w:val="18"/>
          <w:color w:val="auto"/>
        </w:rPr>
      </w:pPr>
    </w:p>
    <w:p>
      <w:pPr>
        <w:ind w:left="280" w:right="80" w:hanging="272"/>
        <w:spacing w:after="0" w:line="246"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reported prices may be used in the calculation of reimbursement and/or discounts on approved products;</w:t>
      </w:r>
    </w:p>
    <w:p>
      <w:pPr>
        <w:spacing w:after="0" w:line="88" w:lineRule="exact"/>
        <w:rPr>
          <w:rFonts w:ascii="Arial" w:cs="Arial" w:eastAsia="Arial" w:hAnsi="Arial"/>
          <w:sz w:val="18"/>
          <w:szCs w:val="18"/>
          <w:color w:val="auto"/>
        </w:rPr>
      </w:pPr>
    </w:p>
    <w:p>
      <w:pPr>
        <w:ind w:left="280" w:right="80" w:hanging="272"/>
        <w:spacing w:after="0" w:line="246"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88" w:lineRule="exact"/>
        <w:rPr>
          <w:rFonts w:ascii="Arial" w:cs="Arial" w:eastAsia="Arial" w:hAnsi="Arial"/>
          <w:sz w:val="18"/>
          <w:szCs w:val="18"/>
          <w:color w:val="auto"/>
        </w:rPr>
      </w:pPr>
    </w:p>
    <w:p>
      <w:pPr>
        <w:ind w:left="280" w:right="60" w:hanging="272"/>
        <w:spacing w:after="0" w:line="236"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that require the registration of pharmaceutical sales representatives; and</w:t>
      </w:r>
    </w:p>
    <w:p>
      <w:pPr>
        <w:spacing w:after="0" w:line="99" w:lineRule="exact"/>
        <w:rPr>
          <w:rFonts w:ascii="Arial" w:cs="Arial" w:eastAsia="Arial" w:hAnsi="Arial"/>
          <w:sz w:val="18"/>
          <w:szCs w:val="18"/>
          <w:color w:val="auto"/>
        </w:rPr>
      </w:pPr>
    </w:p>
    <w:p>
      <w:pPr>
        <w:ind w:left="280" w:right="200" w:hanging="272"/>
        <w:spacing w:after="0" w:line="246"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8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ind w:right="40"/>
        <w:spacing w:after="0"/>
        <w:rPr>
          <w:sz w:val="20"/>
          <w:szCs w:val="20"/>
          <w:color w:val="auto"/>
        </w:rPr>
      </w:pPr>
      <w:r>
        <w:rPr>
          <w:rFonts w:ascii="Arial" w:cs="Arial" w:eastAsia="Arial" w:hAnsi="Arial"/>
          <w:sz w:val="18"/>
          <w:szCs w:val="18"/>
          <w:color w:val="auto"/>
        </w:rPr>
        <w:t>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7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subject to diverse laws and regulations relating to data privacy and security, including, in the United States, HIPAA, and, in the EU, Regulation 2016/679, known as the General Data Protection Regulation (the “GDPR”). New privacy rules are being enacted in the United States and globally, and existing ones are being updated and strengthened. For example, on June 28, 2018, California enacted the California Consumer Privacy Act (the “CCPA”), which took effect on January 1, 2020. The CCPA creates individual privacy rights for California consumers, increases the privacy and security obligations of entities handling certain personal information, requires new disclosures to California individuals and affording such individuals new abilities to opt out of certain sales of personal information, and provides for civil penalties for violations as well as a private right of action for data breaches that is expected to increase data breach litigation.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95"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privacy laws in the EU have been significantly reformed in recent years. On May 25, 2018, the GDPR entered into force and became directly applicable in all EU member states. The GDPR and related implementing laws in individual EU Member States govern the collection and use of personal health data and other personal data in the EU including the personal data processed by companies outside the EU in connection with the offering of goods or services to individuals in the EU or the monitoring of their behavior (including in the context of clinical trials). The GDPR rules are also applicable in the European Economic Area (“EEA”), which consists of the 27 EU Member States plus Norway, Liechtenstein and Iceland.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collecting and processing personal data, requires the appointment of data protection officers when sensitive personal data, such as health data, is processed on a large scale,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The GDPR provides that EU member states may establish their own laws and regulations limiting the processing of personal data, including genetic, biometric or health data, which could limit our ability to use and share personal data or could cause our costs to increase.</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This and other recent developments are likely to require us to review</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3" w:name="page54"/>
    <w:bookmarkEnd w:id="53"/>
    <w:p>
      <w:pPr>
        <w:spacing w:after="0" w:line="237" w:lineRule="auto"/>
        <w:rPr>
          <w:sz w:val="20"/>
          <w:szCs w:val="20"/>
          <w:color w:val="auto"/>
        </w:rPr>
      </w:pPr>
      <w:r>
        <w:rPr>
          <w:rFonts w:ascii="Arial" w:cs="Arial" w:eastAsia="Arial" w:hAnsi="Arial"/>
          <w:sz w:val="18"/>
          <w:szCs w:val="18"/>
          <w:color w:val="auto"/>
        </w:rPr>
        <w:t>and amend the legal mechanisms by which we make and/ or receive personal data transfers to and in the United States.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from January 1, 2021, we are subject to the GDPR and also the United Kingdom (“U.K.”) GDPR (“U.K. GDPR”), which, together with the amended U.K. Data Protection Act 2018, retains the GDPR in U.K. national law.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In addition, we may be the subject of litigation and/or adverse publicity, which could adversely affect pour business, results of operations and financial condition.</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cannot assure you that our CROs or other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Most healthcare providers in the US, including research institutions from which we obtain patient health information, are subject to privacy and security regulations promulgated under HIPAA, as amended by the Health Information Technology for Economic and Clinical Health Act.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Even when HIPAA does not apply, according to the Federal Trade Commission (the “FTC”), failing to take appropriate steps to keep consumers’ personal information secure constitutes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9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we may maintain sensitive personally identifiable information, including health information, that we receive throughout the clinical trial process, in the course of our research collaborations. As such, we may be subject to state laws, requiring notification of affected individuals and state regulators in the event of a breach of personal information, which is a broader class of information than the health information protected by HIPAA. Our clinical trial programs outside the United States may implicate international data protection laws, including the U.K. GDPR, GDPR and legislation of the EU member states implementing it.</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Our activities outside the United States impose additional compliance requirements and generate additional risks of enforcement for noncompliance. Failure by our CROs and other third-party contractors to comply with the strict rules on the transfer of personal data outside of the EU into the United States may result in the imposition of criminal and administrative sanctions on such collaborators, which could adversely affect our business. Furthermore, certain health privacy laws, data breach notification laws, consumer protection laws and genetic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54" w:name="page55"/>
    <w:bookmarkEnd w:id="54"/>
    <w:p>
      <w:pPr>
        <w:ind w:right="360"/>
        <w:spacing w:after="0" w:line="246" w:lineRule="auto"/>
        <w:rPr>
          <w:sz w:val="20"/>
          <w:szCs w:val="20"/>
          <w:color w:val="auto"/>
        </w:rPr>
      </w:pPr>
      <w:r>
        <w:rPr>
          <w:rFonts w:ascii="Arial" w:cs="Arial" w:eastAsia="Arial" w:hAnsi="Arial"/>
          <w:sz w:val="18"/>
          <w:szCs w:val="18"/>
          <w:color w:val="auto"/>
        </w:rPr>
        <w:t>testing laws may apply directly to our operations and/or those of our collaborators and may impose restrictions on our collection, use and dissemination of individuals’ health information.</w:t>
      </w:r>
    </w:p>
    <w:p>
      <w:pPr>
        <w:spacing w:after="0" w:line="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If we or third-party CMOs, CROs or other contractors or consultants fail to comply with applicable federal, state or local regulatory privacy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spacing w:after="0" w:line="7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6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employees are increasingly utilizing social media tools as a means of communication both internally and externally.</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applicable laws and regulations, our policies and other legal or contractual requirements, which may give rise to regulatory enforcement action,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 or may reduce the size of our markets.</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industry has been characterized by extensive research and development efforts, rapid developments in technologies, intense competition and a strong emphasis on proprietary products. We expect our product candidates to face intense and increasing competition as new products enter the relevant markets and advanced technologies become available. We face potential competition from many different sources, including pharmaceutical, biotechnology and specialty pharmaceutical companies. Academic research institutions, governmental agencies and public and private institutions are also potential sources of competitive products and technologies. Our competitors may have or may develop superior technologies or approaches, which may provide them with competitive advantages. Many of these competitors may also have compounds already approved or in development in the therapeutic categories that we are targeting with our product candidates. In addition, many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5" w:name="page56"/>
    <w:bookmarkEnd w:id="55"/>
    <w:p>
      <w:pPr>
        <w:ind w:right="60"/>
        <w:spacing w:after="0" w:line="246" w:lineRule="auto"/>
        <w:rPr>
          <w:sz w:val="20"/>
          <w:szCs w:val="20"/>
          <w:color w:val="auto"/>
        </w:rPr>
      </w:pPr>
      <w:r>
        <w:rPr>
          <w:rFonts w:ascii="Arial" w:cs="Arial" w:eastAsia="Arial" w:hAnsi="Arial"/>
          <w:sz w:val="18"/>
          <w:szCs w:val="18"/>
          <w:color w:val="auto"/>
        </w:rPr>
        <w:t>these competitors, either alone or together with their collaborative partners, may operate larger research and development programs or have substantially greater financial resources than we do, as well as greater experience in:</w:t>
      </w:r>
    </w:p>
    <w:p>
      <w:pPr>
        <w:spacing w:after="0" w:line="89"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NDA approval by the FDA;</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comparable foreign regulatory approvals of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launching, marketing and selling products.</w:t>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these competitors access the marketplace before we do with safer, more effective, or less expensive therapeutics, our product candidates, if approved for commercialization, may not be profitable to sell or worthwhile to continue to develop. Technology in the pharmaceutical industry has undergone rapid and significant change, and we expect that it will continue to do so. Any compounds, products or processes that we develop may become obsolete or uneconomical before we recover any expenses incurred in connection with their development. The success of our product candidates will depend upon factors such as product efficacy, safety, reliability, availability, timing, scope of regulatory approval, acceptance and price, among other things. Other important factors to our success include speed in developing product candidates, completing clinical development and laboratory testing, obtaining regulatory approvals and manufacturing and selling commercial quantities of potential products.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Significant competition exists from approved treatments or treatments in development for the diseases that we are targeting. Many of the approved drugs are well-established therapies or products and are widely accepted by physicians, patients and third-party payors. There are pharmaceutical and biotechnology companies at various stages of development and approval of treatments for COVID-19 (or vaccines for SARS-CoV-2), HCV, dengue and RSV. There are several vaccines and drugs authorized for emergency use and one drug approved for the treatment of certain patients with COVID-19 requiring hospitalization, several drugs approved for the treatment of HCV, an approved vaccine for dengue and an approved drug for the treatment of RSV. Our product candidates are intended to compete directly or indirectly with existing products and products currently in development. Even if approved and commercialized, our product candidates may fail to achieve market acceptance with hospitals, physicians or patients. Hospitals, physicians or patients may conclude that our products are less safe or effective or otherwise less attractive than existing drugs. If our product candidates do not receive market acceptance for any reason, our revenue potential would be diminished, which would materially adversely affect our ability to become profitable.</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Many of our competitors have substantially greater capital resources, robust product candidate pipelines, established presence in the market and expertise in research and development, manufacturing, preclinical and clinical testing, obtaining regulatory approvals and reimbursement and marketing approved products than we do. As a result, our competitors may achieve product commercialization or patent or other intellectual property protection earlier than we can. Smaller or early-stage companies may also prove to be significant competitors, particularly through collaborative arrangements with large and established companies. These competitors also compete with us in recruiting and retaining qualified clinical, regulatory, scientific, sales, marketing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w:t>
      </w:r>
    </w:p>
    <w:p>
      <w:pPr>
        <w:spacing w:after="0" w:line="7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product revenue.</w:t>
      </w:r>
    </w:p>
    <w:p>
      <w:pPr>
        <w:spacing w:after="0" w:line="8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Our ability to successfully commercialize our product candidates will depend in part on the extent to which coverage and adequate reimbursement for these products and related treatments will be available from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6" w:name="page57"/>
    <w:bookmarkEnd w:id="56"/>
    <w:p>
      <w:pPr>
        <w:ind w:right="240"/>
        <w:spacing w:after="0" w:line="238" w:lineRule="auto"/>
        <w:rPr>
          <w:sz w:val="20"/>
          <w:szCs w:val="20"/>
          <w:color w:val="auto"/>
        </w:rPr>
      </w:pPr>
      <w:r>
        <w:rPr>
          <w:rFonts w:ascii="Arial" w:cs="Arial" w:eastAsia="Arial" w:hAnsi="Arial"/>
          <w:sz w:val="18"/>
          <w:szCs w:val="18"/>
          <w:color w:val="auto"/>
        </w:rPr>
        <w:t>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and biologics when an equivalent generic drug, biosimilar or a less expensive therapy is available. It is possible that a third-party payor may consider our product candidates as substitutable and only offer to reimburse patients for the less expensive product. For products administered under the supervision of a physician, obtaining coverage and adequate reimbursement may be particularly difficult because of the higher prices often associated with such drugs.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9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the United States, third-party payors, including private and governmental payors, such as the Medicare and Medicaid programs, play an important role in determining the extent to which new drugs and biologics will be covered and reimbursed. The Medicare program is increasingly used as a model for how private and other governmental payors develop their coverage and reimbursement policies for new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Some third-party payors may require pre-approval of coverage for new or innovative drug therapies before they will reimburse healthcare providers who use such therapies. Furthermore, rules and regulations regarding reimbursement change frequently, in some cases on short notice, and we believe that changes in these rules and regulations are likely. We cannot predict at this time what third-party payors will decide with respect to the coverage and reimbursement for our product candidates.</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the EU and other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75"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either on our own or in collaboration with third parties, we may not be successful in commercializing any of our product candidates, if approved, and we may not be able to generate any product revenue.</w:t>
      </w:r>
    </w:p>
    <w:p>
      <w:pPr>
        <w:spacing w:after="0" w:line="8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have limited personnel or infrastructure for the sales, marketing or distribution of products, and no experience as a company in commercializing a product candidate. The cost of building and maintaining such an organization may exceed the cost-effectiveness of doing so.</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7" w:name="page58"/>
    <w:bookmarkEnd w:id="57"/>
    <w:p>
      <w:pPr>
        <w:ind w:right="80"/>
        <w:spacing w:after="0" w:line="236" w:lineRule="auto"/>
        <w:rPr>
          <w:sz w:val="20"/>
          <w:szCs w:val="20"/>
          <w:color w:val="auto"/>
        </w:rPr>
      </w:pPr>
      <w:r>
        <w:rPr>
          <w:rFonts w:ascii="Arial" w:cs="Arial" w:eastAsia="Arial" w:hAnsi="Arial"/>
          <w:sz w:val="18"/>
          <w:szCs w:val="18"/>
          <w:color w:val="auto"/>
        </w:rPr>
        <w:t>We may build our own focused sales, distribution and marketing infrastructure to market our product candidates, if approved, in the United States and other markets around the world. There are significant expenses and risks involved with building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the commercialization of our product candidate, if approved. Additionally, if the commercial launch of our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104"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280" w:right="620" w:hanging="272"/>
        <w:spacing w:after="0" w:line="246"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future products;</w:t>
      </w:r>
    </w:p>
    <w:p>
      <w:pPr>
        <w:spacing w:after="0" w:line="88" w:lineRule="exact"/>
        <w:rPr>
          <w:rFonts w:ascii="Arial" w:cs="Arial" w:eastAsia="Arial" w:hAnsi="Arial"/>
          <w:sz w:val="18"/>
          <w:szCs w:val="18"/>
          <w:color w:val="auto"/>
        </w:rPr>
      </w:pPr>
    </w:p>
    <w:p>
      <w:pPr>
        <w:ind w:left="280" w:right="360" w:hanging="272"/>
        <w:spacing w:after="0" w:line="246"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equip medical and sales personnel with effective materials, including medical and sales literature to help them educate physicians and other healthcare providers regarding applicable diseases and our future products;</w:t>
      </w:r>
    </w:p>
    <w:p>
      <w:pPr>
        <w:spacing w:after="0" w:line="88" w:lineRule="exact"/>
        <w:rPr>
          <w:rFonts w:ascii="Arial" w:cs="Arial" w:eastAsia="Arial" w:hAnsi="Arial"/>
          <w:sz w:val="18"/>
          <w:szCs w:val="18"/>
          <w:color w:val="auto"/>
        </w:rPr>
      </w:pPr>
    </w:p>
    <w:p>
      <w:pPr>
        <w:ind w:left="280" w:right="740" w:hanging="272"/>
        <w:spacing w:after="0" w:line="246"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develop or obtain sufficient operational functions to support our commercial activities;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or decide not to do so for a particular country, we may pursue collaborative arrangements. If we pursue a collaborative arrangement, our sales will largely depend on the collaborator’s strategic interest in the product and such collaborator’s ability to successfully commercialize the product. For example, we have an option to request Roche co-promote with us AT-527 for the treatment of COVID-19 in the U.S. If we elect to exercise this option, we will be dependent in part on Roche’s efforts to successfully co-promote this product with us.</w:t>
      </w:r>
    </w:p>
    <w:p>
      <w:pPr>
        <w:spacing w:after="0" w:line="9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If we are unable to build our own sales force or access a collaborative relationship for the commercialization of any of our product candidates, we may be forced to delay the potential commercialization of our product candidates or reduce the scope of our sales or marketing activities for such product candidates. If we elect to increase our expenditures to fund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any of our product candidates or otherwise agree to terms unfavorable to us, any of which may have an adverse effect on our business, operating results and prospects.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our other product candidates and may not become profitable and may incur significant additional losses.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even if we do establish adequate sales, marketing and distribution capabilities, the progress of general industry trends with respect to pricing models, supply chains and delivery mechanisms, among other things, could deviate from our expectations. If these or other industry trends change in a manner which we do not anticipate or for which we are not prepared, we may not be successful in commercializing our product candidates or become profitable.</w:t>
      </w:r>
    </w:p>
    <w:p>
      <w:pPr>
        <w:spacing w:after="0" w:line="75"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6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For example, we will depend on Roche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8" w:name="page59"/>
    <w:bookmarkEnd w:id="58"/>
    <w:p>
      <w:pPr>
        <w:spacing w:after="0" w:line="236" w:lineRule="auto"/>
        <w:rPr>
          <w:sz w:val="20"/>
          <w:szCs w:val="20"/>
          <w:color w:val="auto"/>
        </w:rPr>
      </w:pPr>
      <w:r>
        <w:rPr>
          <w:rFonts w:ascii="Arial" w:cs="Arial" w:eastAsia="Arial" w:hAnsi="Arial"/>
          <w:sz w:val="18"/>
          <w:szCs w:val="18"/>
          <w:color w:val="auto"/>
        </w:rPr>
        <w:t>commercialize AT-527 for the treatment of COVID-19 in markets outside the U.S. We are evaluating the opportunities for the development and commercialization of our other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00"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if we are relying on third parties;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supply our product candidates on a timely and large-scale basis in local markets;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lead times for shipping which may necessitate local manufacture of our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language barriers for technical training and the need for language translations;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protection of patent and other intellectual property rights in some foreign countries;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1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If any of our product candidates is approved for commercialization, we may selectively partner with third parties to market it in certain jurisdictions outside the United States. We expect that we will be subject to additional risks related to international pharmaceutical operations, including:</w:t>
      </w:r>
    </w:p>
    <w:p>
      <w:pPr>
        <w:spacing w:after="0" w:line="95" w:lineRule="exact"/>
        <w:rPr>
          <w:sz w:val="20"/>
          <w:szCs w:val="20"/>
          <w:color w:val="auto"/>
        </w:rPr>
      </w:pPr>
    </w:p>
    <w:p>
      <w:pPr>
        <w:ind w:left="280" w:right="960" w:hanging="272"/>
        <w:spacing w:after="0" w:line="246"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 including requirements specific to biologics or cell therapy products;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protection for patent and other intellectual property rights;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7" w:lineRule="exact"/>
        <w:rPr>
          <w:rFonts w:ascii="Arial" w:cs="Arial" w:eastAsia="Arial" w:hAnsi="Arial"/>
          <w:sz w:val="18"/>
          <w:szCs w:val="18"/>
          <w:color w:val="auto"/>
        </w:rPr>
      </w:pPr>
    </w:p>
    <w:p>
      <w:pPr>
        <w:ind w:left="280" w:right="60" w:hanging="272"/>
        <w:spacing w:after="0" w:line="246"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have no prior experience in these areas. In addition, there are complex regulatory, tax, labor and other legal requirements imposed by both the EU and many of the individual member states in Europe with which we will need to comply. Many U.S.-based biotechnology companies have found the process of marketing their own products in Europe to be very challenging.</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Certain legal and political risks are also inherent in foreign operations. There is a risk that foreign governments may nationalize private enterprises in certain countries where we may operate. In certain countries or regions, terrorist activities and the response to such activities may threaten our operations more than in the United States.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9" w:name="page60"/>
    <w:bookmarkEnd w:id="59"/>
    <w:p>
      <w:pPr>
        <w:ind w:right="20"/>
        <w:spacing w:after="0" w:line="238" w:lineRule="auto"/>
        <w:rPr>
          <w:sz w:val="20"/>
          <w:szCs w:val="20"/>
          <w:color w:val="auto"/>
        </w:rPr>
      </w:pPr>
      <w:r>
        <w:rPr>
          <w:rFonts w:ascii="Arial" w:cs="Arial" w:eastAsia="Arial" w:hAnsi="Arial"/>
          <w:sz w:val="18"/>
          <w:szCs w:val="18"/>
          <w:color w:val="auto"/>
        </w:rPr>
        <w:t>Additionally, the need to identify financially and commercially strong partners for commercialization outside the United States who will comply with the high manufacturing and legal and regulatory compliance standards we require is a risk to our financial performance.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some countries, particularly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clinical trials that compare the cost-effectiveness of our product candidates to other available therapies. If reimbursement of our products is unavailable or limited in scope or amount, or if pricing is set at unsatisfactory levels, our business could be harmed, possibly materially.</w:t>
      </w:r>
    </w:p>
    <w:p>
      <w:pPr>
        <w:spacing w:after="0" w:line="72"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Potential product liability lawsuits against us could cause us to incur substantial liabilities and limit commercialization of any products that we may develop.</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In addition, regardless of merit or eventual outcome, product liability claims may result in:</w:t>
      </w:r>
    </w:p>
    <w:p>
      <w:pPr>
        <w:spacing w:after="0" w:line="97"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 of our business reputation and significant negative media attention;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participants from our clinical trials;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costs to defend the claims and related litigation;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commercialize a product candidate;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 product candidate, if approved for commercial sale;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our Dependence on Third Parties</w:t>
      </w:r>
    </w:p>
    <w:p>
      <w:pPr>
        <w:spacing w:after="0" w:line="10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b w:val="1"/>
          <w:bCs w:val="1"/>
          <w:i w:val="1"/>
          <w:iCs w:val="1"/>
          <w:color w:val="auto"/>
        </w:rPr>
        <w:t>We will rely on third parties for the manufacture of materials for our research programs, preclinical studies and clinical trials and we do not have long-term contracts with many of these parties. This reliance on third parties increases the risk that we will not have sufficient quantities of such materials, product candidates, or any therapies that we may develop and commercialize, or that such supply will not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be available to us at an acceptable cost, which could delay, prevent, or impair our development or commercialization efforts.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expect to rely on third parties for the manufacture of materials for our clinical trials and preclinical and clinical development. We expect to rely on third parties for commercial manufacture if any of our product candidates receive marketing approval, including Roche with respect to AT-527 for COVID-19. We do not have a long-term agreement with any of the third-party manufacturers we currently use to provide preclinical and clinical trial materials, and we purchase any required materials on a purchase order basis. Certain of these manufacturers are critical to our production and the loss of these manufacturers to one of our competitors or otherwise, or an inability to obtain quantities at an acceptable cost or quality, could delay, prevent or impair our ability to timely conduct preclinical studies or clinical trials, and would materially and adversely affect our development and commercialization efforts.</w:t>
      </w:r>
    </w:p>
    <w:p>
      <w:pPr>
        <w:spacing w:after="0" w:line="9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expect to continue to rely on third-party manufacturers for the commercial supply of any of our product candidates for which we obtain marketing approval, if any.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7" w:lineRule="exact"/>
        <w:rPr>
          <w:sz w:val="20"/>
          <w:szCs w:val="20"/>
          <w:color w:val="auto"/>
        </w:rPr>
      </w:pPr>
    </w:p>
    <w:p>
      <w:pPr>
        <w:ind w:left="280" w:right="42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94" w:lineRule="exact"/>
        <w:rPr>
          <w:rFonts w:ascii="Arial" w:cs="Arial" w:eastAsia="Arial" w:hAnsi="Arial"/>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280" w:right="360" w:hanging="272"/>
        <w:spacing w:after="0" w:line="246"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88" w:lineRule="exact"/>
        <w:rPr>
          <w:rFonts w:ascii="Arial" w:cs="Arial" w:eastAsia="Arial" w:hAnsi="Arial"/>
          <w:sz w:val="18"/>
          <w:szCs w:val="18"/>
          <w:color w:val="auto"/>
        </w:rPr>
      </w:pPr>
    </w:p>
    <w:p>
      <w:pPr>
        <w:ind w:left="280" w:right="180" w:hanging="272"/>
        <w:spacing w:after="0" w:line="246"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88" w:lineRule="exact"/>
        <w:rPr>
          <w:rFonts w:ascii="Arial" w:cs="Arial" w:eastAsia="Arial" w:hAnsi="Arial"/>
          <w:sz w:val="18"/>
          <w:szCs w:val="18"/>
          <w:color w:val="auto"/>
        </w:rPr>
      </w:pPr>
    </w:p>
    <w:p>
      <w:pPr>
        <w:ind w:left="280" w:right="300" w:hanging="272"/>
        <w:spacing w:after="0" w:line="246"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misappropriation or unauthorized disclosure of our intellectual property or other proprietary information, including our trade secrets and know-how.</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and similar regulatory requirements for manufacturing both active drug substances and finished drug products. Third -party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authorization for their manufacturing facilities. In addition, we do not have control over the ability of our contract manufacturers to maintain adequate quality control, quality assurance and qualified personnel. If the FDA or a comparable foreign regulatory authority does not authorize these facilities for the manufacture of our product candidates or if it withdraws any such authorization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1" w:name="page62"/>
    <w:bookmarkEnd w:id="61"/>
    <w:p>
      <w:pPr>
        <w:ind w:right="620"/>
        <w:spacing w:after="0" w:line="301" w:lineRule="auto"/>
        <w:rPr>
          <w:sz w:val="20"/>
          <w:szCs w:val="20"/>
          <w:color w:val="auto"/>
        </w:rPr>
      </w:pPr>
      <w:r>
        <w:rPr>
          <w:rFonts w:ascii="Arial" w:cs="Arial" w:eastAsia="Arial" w:hAnsi="Arial"/>
          <w:sz w:val="17"/>
          <w:szCs w:val="17"/>
          <w:b w:val="1"/>
          <w:bCs w:val="1"/>
          <w:i w:val="1"/>
          <w:iCs w:val="1"/>
          <w:color w:val="auto"/>
        </w:rPr>
        <w:t>Our third-party manufacturers may be unable to successfully scale up manufacturing of our product candidates in sufficient quality and quantity, which may impair the clinical advancement and commercialization of our product candidates.</w:t>
      </w:r>
    </w:p>
    <w:p>
      <w:pPr>
        <w:spacing w:after="0" w:line="4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order to conduct clinical trials of our product candidates and commercialize any approved product, our manufacturing partners need to manufacture them in large quantities. However, they may be unable to successfully increase the manufacturing capacity for any of our product candidates or products in a timely or cost-effective manner, or at all. In addition, quality issues may arise during scale-up activities, as discussed above. If we, or any manufacturing partners,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it is not certain that supplies could be resumed (whether in part or in whole) within a reasonable timeframe and at an acceptable cost, or at all.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We do not have multiple sources of supply for some of the components used in our product candidates, nor long-term supply contracts, and certain of our suppliers are critical to our production. If we were to lose a critical supplier, it could have a material adverse effect on our ability to complete the development of our product candidates. If we obtain regulatory approval for any of our product candidates, we would need to expand the supply of their components in order to commercialize them.</w:t>
      </w:r>
    </w:p>
    <w:p>
      <w:pPr>
        <w:spacing w:after="0" w:line="8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do not have multiple sources of supply for each of the components used in the manufacturing of AT-527, AT-752, AT-787 or any of our other product candidates. For commercial supply of AT-527 for the treatment of COVID-19, we are exclusively dependent on Roche. For our other products, we have a sole supplier located in China for our active pharmaceutical ingredients. For fill -finish work, we have a supplier located in Canada and a back-up supplier located in the United States. We do not have long-term supply agreements with any of our component suppliers. We may not be able to establish additional sources of supply for our product candidates, or may be unable to do so on acceptable terms. Manufacturing suppliers are subject to cGMP quality and regulatory requirements and similar regulatory requirements, covering manufacturing, testing, quality control and record keeping relating to our product candidates and subject to ongoing inspections by applicable regulatory authorities. Manufacturing suppliers are also subject to local, state and federal regulations and licensing requirements. Failure by any of our suppliers to comply with all applicable regulations and requirements may result in long delays and interruptions in supply.</w:t>
      </w:r>
    </w:p>
    <w:p>
      <w:pPr>
        <w:spacing w:after="0" w:line="9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number of suppliers of the components of our product candidates is limited. In the event it is necessary or desirable to acquire supplies from alternative suppliers, we might not be able to obtain them on commercially reasonable terms, if at all. It could also require significant time and expense to redesign our manufacturing processes to work with another company and redesign of processes can trigger the need for conducting additional studies such as comparability or bridging studies. Additionally, certain of our suppliers are critical to our production, and the loss of these suppliers to one of our competitors or otherwise would materially and adversely affect our development and commercialization efforts.</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part of any marketing approval, regulatory authorities conduct inspections that must be successful prior to the approval of the product. Failure of manufacturing suppliers to successfully complete these regulatory inspections will result in delays. If supply from the approved supplier is interrupted, there could be a significant disruption in commercial supply. An alternative vendor would need to be qualified through a NDA amendment or supplement, which could result in further delay. The FDA or other regulatory authorities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97"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If we are unable to obtain the supplies we need at a reasonable price or on a timely basis, it could have a material adverse effect on our ability to complete the development of our product candidates or, if we obtain regulatory approval for our product candidates, to commercialize them.</w:t>
      </w:r>
    </w:p>
    <w:p>
      <w:pPr>
        <w:spacing w:after="0" w:line="73"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Any failure by a third party to conduct the clinical trials according to GCPs and in a timely manner may delay or prevent our ability to seek or obtain regulatory approval for or commercialize our product candidates.</w:t>
      </w:r>
    </w:p>
    <w:p>
      <w:pPr>
        <w:spacing w:after="0" w:line="8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We are dependent on third parties to conduct critical aspects of our preclinical studies and clinical trials, including our ongoing Phase 1, Phase 2 and Phase 3 clinical trials for AT-527 for the treatment of COVID-19, our Phase 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2" w:name="page63"/>
    <w:bookmarkEnd w:id="62"/>
    <w:p>
      <w:pPr>
        <w:spacing w:after="0" w:line="235" w:lineRule="auto"/>
        <w:rPr>
          <w:sz w:val="20"/>
          <w:szCs w:val="20"/>
          <w:color w:val="auto"/>
        </w:rPr>
      </w:pPr>
      <w:r>
        <w:rPr>
          <w:rFonts w:ascii="Arial" w:cs="Arial" w:eastAsia="Arial" w:hAnsi="Arial"/>
          <w:sz w:val="18"/>
          <w:szCs w:val="18"/>
          <w:color w:val="auto"/>
        </w:rPr>
        <w:t>clinical trial of AT-752 for the treatment of dengue and our Phase 1/2a clinical trial of AT-787 for the treatment of HCV, and we expect to rely on third parties to conduct future clinical trials and preclinical studies for our product candidates including Roche with respect to the clinical development of AT-527.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or research activities complies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200" w:lineRule="exact"/>
        <w:rPr>
          <w:sz w:val="20"/>
          <w:szCs w:val="20"/>
          <w:color w:val="auto"/>
        </w:rPr>
      </w:pPr>
    </w:p>
    <w:p>
      <w:pPr>
        <w:spacing w:after="0" w:line="25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Any third parties conducting our clinical trials or preclinical studies are not and will not be our employees and, except for remedies available to us under our agreements with such third parties, we cannot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and cash equivalents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NDA we submit to the FDA. Any such delay or rejection could prevent us from commercializing our product candidates.</w:t>
      </w:r>
    </w:p>
    <w:p>
      <w:pPr>
        <w:spacing w:after="0" w:line="96"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and substantially all our clinical trial sites have an ability to terminate their respective agreements with us if it can be reasonably demonstrated that the safety of the subjects participating in our clinical trials warrants such termination.</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We may collaborate with third parties for the development and commercialization of our candidates. We may not succeed in establishing and maintaining collaborative relationships, which may significantly limit our ability to develop and commercialize our product candidates successfully, if at all.</w:t>
      </w:r>
    </w:p>
    <w:p>
      <w:pPr>
        <w:spacing w:after="0" w:line="8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October 2020 we entered into the Roche License Agreement under which we granted to Roche an exclusive license related to AT-527 for certain development rights and commercialization rights outside of the United States. Additionally, we agreed that Roche would be the exclusive global supplier of AT-527 commercial product, if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3" w:name="page64"/>
    <w:bookmarkEnd w:id="63"/>
    <w:p>
      <w:pPr>
        <w:spacing w:after="0" w:line="236" w:lineRule="auto"/>
        <w:rPr>
          <w:sz w:val="20"/>
          <w:szCs w:val="20"/>
          <w:color w:val="auto"/>
        </w:rPr>
      </w:pPr>
      <w:r>
        <w:rPr>
          <w:rFonts w:ascii="Arial" w:cs="Arial" w:eastAsia="Arial" w:hAnsi="Arial"/>
          <w:sz w:val="18"/>
          <w:szCs w:val="18"/>
          <w:color w:val="auto"/>
        </w:rPr>
        <w:t>approved. As part of the Roche License Agreement we agreed with Roche that we would not commercialize AT-752 outside the United States unless we entered into a separate agreement with Roche to do so. We may seek additional collaborative relationships for the development and commercialization of our product candidates. If we enter into any additional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product revenue from these arrangements with commercial entities will depend on our collaborators’ abilities to successfully perform the functions assigned to them in these arrangements. We cannot predict the success of any collaboration that we enter into. Collaborations involving our product candidates pose the following risks to us:</w:t>
      </w:r>
    </w:p>
    <w:p>
      <w:pPr>
        <w:spacing w:after="0" w:line="100"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280" w:right="540" w:hanging="272"/>
        <w:spacing w:after="0" w:line="238"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inappropriately or in such a way as to expose us to potential litigation or other intellectual property-related proceedings, including proceedings challenging the scope, ownership, validity and enforceability of our intellectual property;</w:t>
      </w:r>
    </w:p>
    <w:p>
      <w:pPr>
        <w:spacing w:after="0" w:line="96" w:lineRule="exact"/>
        <w:rPr>
          <w:rFonts w:ascii="Arial" w:cs="Arial" w:eastAsia="Arial" w:hAnsi="Arial"/>
          <w:sz w:val="18"/>
          <w:szCs w:val="18"/>
          <w:color w:val="auto"/>
        </w:rPr>
      </w:pPr>
    </w:p>
    <w:p>
      <w:pPr>
        <w:ind w:left="280" w:right="80" w:hanging="272"/>
        <w:spacing w:after="0" w:line="246"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rights covering our product candidates that result from our collaboration with them, and in such cases, we may not have the exclusive right to commercialize such intellectual property or such product candidates;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280" w:right="140" w:hanging="272"/>
        <w:spacing w:after="0" w:line="246"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88" w:lineRule="exact"/>
        <w:rPr>
          <w:rFonts w:ascii="Arial" w:cs="Arial" w:eastAsia="Arial" w:hAnsi="Arial"/>
          <w:sz w:val="18"/>
          <w:szCs w:val="18"/>
          <w:color w:val="auto"/>
        </w:rPr>
      </w:pPr>
    </w:p>
    <w:p>
      <w:pPr>
        <w:ind w:left="280" w:right="360" w:hanging="272"/>
        <w:spacing w:after="0" w:line="246"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88" w:lineRule="exact"/>
        <w:rPr>
          <w:rFonts w:ascii="Arial" w:cs="Arial" w:eastAsia="Arial" w:hAnsi="Arial"/>
          <w:sz w:val="18"/>
          <w:szCs w:val="18"/>
          <w:color w:val="auto"/>
        </w:rPr>
      </w:pPr>
    </w:p>
    <w:p>
      <w:pPr>
        <w:ind w:left="280" w:right="76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94" w:lineRule="exact"/>
        <w:rPr>
          <w:rFonts w:ascii="Arial" w:cs="Arial" w:eastAsia="Arial" w:hAnsi="Arial"/>
          <w:sz w:val="18"/>
          <w:szCs w:val="18"/>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4" w:lineRule="exact"/>
        <w:rPr>
          <w:rFonts w:ascii="Arial" w:cs="Arial" w:eastAsia="Arial" w:hAnsi="Arial"/>
          <w:sz w:val="18"/>
          <w:szCs w:val="18"/>
          <w:color w:val="auto"/>
        </w:rPr>
      </w:pPr>
    </w:p>
    <w:p>
      <w:pPr>
        <w:ind w:left="280" w:right="280" w:hanging="272"/>
        <w:spacing w:after="0" w:line="246"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88" w:lineRule="exact"/>
        <w:rPr>
          <w:rFonts w:ascii="Arial" w:cs="Arial" w:eastAsia="Arial" w:hAnsi="Arial"/>
          <w:sz w:val="18"/>
          <w:szCs w:val="18"/>
          <w:color w:val="auto"/>
        </w:rPr>
      </w:pPr>
    </w:p>
    <w:p>
      <w:pPr>
        <w:ind w:left="280" w:right="20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4" w:lineRule="exact"/>
        <w:rPr>
          <w:rFonts w:ascii="Arial" w:cs="Arial" w:eastAsia="Arial" w:hAnsi="Arial"/>
          <w:sz w:val="18"/>
          <w:szCs w:val="18"/>
          <w:color w:val="auto"/>
        </w:rPr>
      </w:pPr>
    </w:p>
    <w:p>
      <w:pPr>
        <w:ind w:left="280" w:right="720" w:hanging="272"/>
        <w:spacing w:after="0" w:line="246"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17" w:lineRule="exact"/>
        <w:rPr>
          <w:rFonts w:ascii="Arial" w:cs="Arial" w:eastAsia="Arial" w:hAnsi="Arial"/>
          <w:sz w:val="18"/>
          <w:szCs w:val="18"/>
          <w:color w:val="auto"/>
        </w:rPr>
      </w:pPr>
    </w:p>
    <w:p>
      <w:pPr>
        <w:ind w:left="280" w:right="60" w:hanging="272"/>
        <w:spacing w:after="0" w:line="246"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88" w:lineRule="exact"/>
        <w:rPr>
          <w:rFonts w:ascii="Arial" w:cs="Arial" w:eastAsia="Arial" w:hAnsi="Arial"/>
          <w:sz w:val="18"/>
          <w:szCs w:val="18"/>
          <w:color w:val="auto"/>
        </w:rPr>
      </w:pPr>
    </w:p>
    <w:p>
      <w:pPr>
        <w:ind w:left="280" w:right="200" w:hanging="272"/>
        <w:spacing w:after="0" w:line="246"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88" w:lineRule="exact"/>
        <w:rPr>
          <w:rFonts w:ascii="Arial" w:cs="Arial" w:eastAsia="Arial" w:hAnsi="Arial"/>
          <w:sz w:val="18"/>
          <w:szCs w:val="18"/>
          <w:color w:val="auto"/>
        </w:rPr>
      </w:pPr>
    </w:p>
    <w:p>
      <w:pPr>
        <w:ind w:left="280" w:hanging="272"/>
        <w:spacing w:after="0" w:line="274" w:lineRule="auto"/>
        <w:tabs>
          <w:tab w:leader="none" w:pos="2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devices, materials, know-how or intellectual property of the collaborator relating to our product candidates;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64" w:name="page65"/>
    <w:bookmarkEnd w:id="64"/>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6" w:lineRule="exact"/>
        <w:rPr>
          <w:rFonts w:ascii="Arial" w:cs="Arial" w:eastAsia="Arial" w:hAnsi="Arial"/>
          <w:sz w:val="18"/>
          <w:szCs w:val="18"/>
          <w:color w:val="auto"/>
        </w:rPr>
      </w:pPr>
    </w:p>
    <w:p>
      <w:pPr>
        <w:ind w:left="280" w:right="540" w:hanging="272"/>
        <w:spacing w:after="0" w:line="246" w:lineRule="auto"/>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88" w:lineRule="exact"/>
        <w:rPr>
          <w:rFonts w:ascii="Arial" w:cs="Arial" w:eastAsia="Arial" w:hAnsi="Arial"/>
          <w:sz w:val="18"/>
          <w:szCs w:val="18"/>
          <w:color w:val="auto"/>
        </w:rPr>
      </w:pPr>
    </w:p>
    <w:p>
      <w:pPr>
        <w:ind w:left="280" w:right="840" w:hanging="272"/>
        <w:spacing w:after="0" w:line="246" w:lineRule="auto"/>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may face significant competition in seeking appropriate collaborations.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seek, but are not able to establish, collaborations, we may have to alter our development and commercialization plans.</w:t>
      </w:r>
    </w:p>
    <w:p>
      <w:pPr>
        <w:spacing w:after="0" w:line="126"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capital. In addition to our collaboration with Roche, we may decide to collaborate with pharmaceutical and biotechnology companies for the development and potential commercialization of our other product candidates.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97"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ind w:right="40"/>
        <w:spacing w:after="0"/>
        <w:rPr>
          <w:sz w:val="20"/>
          <w:szCs w:val="20"/>
          <w:color w:val="auto"/>
        </w:rPr>
      </w:pPr>
      <w:r>
        <w:rPr>
          <w:rFonts w:ascii="Arial" w:cs="Arial" w:eastAsia="Arial" w:hAnsi="Arial"/>
          <w:sz w:val="18"/>
          <w:szCs w:val="18"/>
          <w:color w:val="auto"/>
        </w:rPr>
        <w:t>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product revenues.</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ordinary course of our business, we may enter into collaborations, licensing arrangements, joint ventures, strategic alliances, partnerships or other arrangements to develop new products and to pursue new markets. Proposing, negotiating and implementing collaborations, 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product revenues and could be terminated prior to developing any products.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current or future collaborators, they may act in their self-interest, which may be adverse to our best interest, and they may breach their obligations to us. In addition, we may have limited control over the amount and timing of resources that any current or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we enter into in-bound intellectual property license agreements, we may not be able to fully protect the licensed intellectual property rights or maintain those licenses. Future licensors could retain the right to prosecute, maintain, defend and enforce the intellectual property rights licensed to us, in which case we would depend on the ability and will of our licensors to do so. These licensors may determine not to pursue litigation against other companies or may pursue such litigation less aggressively than we would. If our licensors do not adequately protect or enforce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payment or other obligations on us, and future licensors may allege that we have breached our license agreement with them and accordingly seek to terminate our license. Any of the foregoing could adversely affect our competitive business position and have a material adverse effect on our business, financial condition, results of operations, and prospects.</w:t>
      </w:r>
    </w:p>
    <w:p>
      <w:pPr>
        <w:spacing w:after="0" w:line="7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Data provided by collaborators and others upon which we rely that have not been independently verified could turn out to be false, misleading or incomplete.</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rely on third-party vendors, such as CROs, scientists and collaborators to provide us with significant data and other information related to our programs, preclinical studies or clinical trials and our business. If such third parties provide inaccurate, misleading or incomplete data, our business, prospects and results of operations could be materially adversely affected.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6" w:name="page67"/>
    <w:bookmarkEnd w:id="66"/>
    <w:p>
      <w:pPr>
        <w:ind w:right="80"/>
        <w:spacing w:after="0" w:line="24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have a material adverse effect on our business.</w:t>
      </w:r>
    </w:p>
    <w:p>
      <w:pPr>
        <w:spacing w:after="0" w:line="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preclinical studies or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8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If our CMOs and CROs use hazardous and biological materials in a manner that causes injury or violates applicable law, we may be liable for damages.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CMOs and biological materials by our CROs. Our CMOs and CROs are subject to federal, state and local laws and regulations in the United States and in the countries in which they operate governing the use, manufacture, storage, handling and disposal of medical and hazardous materials. Although we believe that our manufacturers’ and CRO’s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Generally,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4"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i w:val="1"/>
          <w:iCs w:val="1"/>
          <w:color w:val="auto"/>
        </w:rPr>
        <w:t>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8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our intellectual property and prevent others from duplicating AT-511 (the free base of AT-527), AT-527, AT-281 (the free base of AT-752), AT-752, AT-777, and AT-787, or their use or manufacture, or any of our other pipeline product candidates and any future product candidates, and our success depends in large part on our ability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obtain and maintain patent protection in the United States and other countries with respect to such product candidates.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Although we enter into confidentiality agreements with parties who have access to confidential or patentable aspects of our research and development output, such as our employees, CROs, consultants, scientific advisors and other contractors,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and some remain so until issued. Therefore, we cannot be certain that we were the first to make the inventions claimed in our patents or pending patent applications, or that we were the first to file any patent application related to an invention or product candidate. Further, if we encounter delays in regulatory approvals, the period of time during which we could market a product candidate under patent protection could be reduced.</w:t>
      </w:r>
    </w:p>
    <w:p>
      <w:pPr>
        <w:spacing w:after="0" w:line="9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strength of patents in the pharmaceutical field involves complex legal, factual and scientific questions and can be uncertain. It is possible that we will fail to identify patentable aspects of our research and development output before it is too late to obtain patent protection. The patent applications that we own may fail to result in issued patents with claims that cover our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 inventorship, ownership, validity, enforceability or scope of such patents, which may result in such patents being narrowed or invalidated, or being held unenforceable. Our pending and future patent applications may not result in patents being issued which protect our technology or product candidates or which effectively prevent others from commercializing competitive technologies and product candidates. Additionally, any U.S. provisional patent application that we file is not eligible to become an issued patent until, among other things, we file a non-provisional patent application within 12 months of filing the related provisional patent application. If we do not timely file any non-provisional patent application, we may lose our priority date with respect to the provisional patent application and any patent protection on the inventions disclosed in the provisional patent application.</w:t>
      </w:r>
    </w:p>
    <w:p>
      <w:pPr>
        <w:spacing w:after="0" w:line="96" w:lineRule="exact"/>
        <w:rPr>
          <w:sz w:val="20"/>
          <w:szCs w:val="20"/>
          <w:color w:val="auto"/>
        </w:rPr>
      </w:pPr>
    </w:p>
    <w:p>
      <w:pPr>
        <w:jc w:val="both"/>
        <w:ind w:right="80"/>
        <w:spacing w:after="0" w:line="257" w:lineRule="auto"/>
        <w:rPr>
          <w:sz w:val="20"/>
          <w:szCs w:val="20"/>
          <w:color w:val="auto"/>
        </w:rPr>
      </w:pPr>
      <w:r>
        <w:rPr>
          <w:rFonts w:ascii="Arial" w:cs="Arial" w:eastAsia="Arial" w:hAnsi="Arial"/>
          <w:sz w:val="17"/>
          <w:szCs w:val="17"/>
          <w:color w:val="auto"/>
        </w:rPr>
        <w:t>Furthermore, even if they are unchallenged, our patents and patent applications may not adequately protect our intellectual property, provide exclusivity for our product candidates or prevent others from designing around our claims. In addition, no assurances can be given that third parties will not create similar or alternative products or methods that achieve similar results without infringing upon our patents. Any of these outcomes could impair our ability to prevent competition from third parties, which may have an adverse impact on our business.</w:t>
      </w:r>
    </w:p>
    <w:p>
      <w:pPr>
        <w:spacing w:after="0" w:line="8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the patent applications we hold with respect to our programs or product candidates fail to issue, if the breadth or strength of protection of our current or future issued patents is threatened, or if they fail to provide meaningful exclusivity for our product candidates, it could dissuade companies from collaborating with us to develop product candidates, or threaten our ability to commercialize our current or future product candidates. Several patent applications covering our product candidates have been filed recently by us. We cannot offer any assurances about which, if any, will result in issued patents, the breadth of any such patents or whether any issued patents will be found invalid or unenforceable or will be threatened by third parties. Any successful opposition to these patents or any other patents owned by us could deprive us of rights necessary for the successful commercialization of any product candidates that we may develop.</w:t>
      </w:r>
    </w:p>
    <w:p>
      <w:pPr>
        <w:spacing w:after="0" w:line="95"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Wide-ranging patent reform legislation in the United States, including the Leahy-Smith America Invents Act of 2011, (the “Leahy-Smith Act”), may increase the uncertainty of the strength or enforceability of our intellectual property and the cost to defend it. The Leahy-Smith Act includes a number of significant changes to U.S. patent law, including provisions that affect the way patent applications are prosecuted and also affect patent litigation. Under the Leahy-Smith Act, the United States transitioned from a “first-to-invent” to a “first-to-file” system for deciding which party should be granted a patent when two or more patent applications are filed by different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8" w:name="page69"/>
    <w:bookmarkEnd w:id="68"/>
    <w:p>
      <w:pPr>
        <w:ind w:right="200"/>
        <w:spacing w:after="0" w:line="237" w:lineRule="auto"/>
        <w:rPr>
          <w:sz w:val="20"/>
          <w:szCs w:val="20"/>
          <w:color w:val="auto"/>
        </w:rPr>
      </w:pPr>
      <w:r>
        <w:rPr>
          <w:rFonts w:ascii="Arial" w:cs="Arial" w:eastAsia="Arial" w:hAnsi="Arial"/>
          <w:sz w:val="18"/>
          <w:szCs w:val="18"/>
          <w:color w:val="auto"/>
        </w:rPr>
        <w:t>parties claiming the same invention. This will require us to be prompt going forward during the time from invention to filing of a patent application and to be diligent in filing patent applications, but circumstances could prevent us from promptly filing or prosecuting patent applications on our inventions. The Leahy-Smith Act also enlarged the scope of disclosures that qualify as prior art. Furthermore, if a third party filed a patent application before effectiveness of applicable provisions of the Leahy-Smith Act, on March 16, 2013, an interference proceeding in the United States can be initiated by a third party to determine if it was the first to invent any of the subject matter covered by the claims of our patent applications. We may also be subject to a third party preissuance submission of prior art to the U.S. Patent and Trademark Office, (the “USPTO”).</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Leahy-Smith Act created for the first time new procedures to challenge issued patents in the United States, including post-grant review, inter partes review and derivation proceedings, which are adversarial proceedings conducted at the USPTO, which some third parties have been using to cause the cancellation of selected or all claims of issued patents of competitors. For a patent with a priority date of March 16, 2013 or later, which all of our patent filings have, a petition for post-grant review can be filed by a third party in a nine-month window from issuance of the patent. A petition for inter partes review can be filed immediately following the issuance of a patent if the patent was filed prior to March 16, 2013. A petition for inter partes review can be filed after the nine-month period for filing a post-grant review petition has expired for a patent with a priority date of March 16, 2013 or later. Post-grant review proceedings can be brought on any ground of challenge, whereas inter partes review proceedings can only be brought to raise a challenge based on published prior art. These adversarial actions at the USPTO include review of patent claims without the presumption of validity afforded to U.S. patents in lawsuits in U.S. federal courts. The USPTO issued a final rule effective November 13, 2018 announcing that it will now use the same claim construction standard currently used in the U.S. federal courts to interpret patent claims in USPTO proceedings, which is the plain and ordinary meaning of words used. If any of our patents are challenged by a third party in such a USPTO proceeding, there is no guarantee that we will be successful in defending the patent, which would result in a loss of the challenged patent right to us, including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spacing w:after="0" w:line="10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As a result of all of the foregoing, the issuance, scope, validity, enforceability and commercial value of our patent rights are highly uncertain, which could have a material adverse effect on our business, financial condition, results of operations, and prospects.</w:t>
      </w:r>
    </w:p>
    <w:p>
      <w:pPr>
        <w:spacing w:after="0" w:line="6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may result in substantial costs or prevent or delay our development and commercialization efforts.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commercial success depends in part on our avoiding actual and allegations of infringement, misappropriation or other violation of the patents and other proprietary rights of third parties. There is a substantial amount of litigation, both within and outside the United States, involving patent and other intellectual property rights in the pharmaceutical industry, including patent infringement lawsuits, interferences, oppositions, re-examination, and post-grant and inter partes review proceedings before the USPTO and similar proceedings in foreign jurisdictions, such as oppositions before the European Patent Office, (the “EPO”). Numerous U.S. and foreign issued patents and pending patent applications, which are owned by third parties, exist in the fields in which we are pursuing development candidates. Many companies in intellectual property-dependent industries, including the pharmaceutical industry, have employed intellectual property litigation as a means to gain an advantage over their competitors. As the pharmaceutical industry expands and more patents are issued, and as we gain greater visibility and market exposure as a public company, the risk increases that our product candidates may be subject to claims of infringement of the patent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spacing w:after="0" w:line="9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composition of matter, drug delivery, methods of manufacture or methods for treatment related to the use or manufacture of our product candidates. We cannot guarantee that our technologies, products, compositions and their uses do not or will not infringe, misappropriate or otherwise violate third-party patent or other intellectual property rights.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Pending patent applications that have been published can,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9" w:name="page70"/>
    <w:bookmarkEnd w:id="69"/>
    <w:p>
      <w:pPr>
        <w:ind w:right="40"/>
        <w:spacing w:after="0" w:line="236" w:lineRule="auto"/>
        <w:rPr>
          <w:sz w:val="20"/>
          <w:szCs w:val="20"/>
          <w:color w:val="auto"/>
        </w:rPr>
      </w:pPr>
      <w:r>
        <w:rPr>
          <w:rFonts w:ascii="Arial" w:cs="Arial" w:eastAsia="Arial" w:hAnsi="Arial"/>
          <w:sz w:val="18"/>
          <w:szCs w:val="18"/>
          <w:color w:val="auto"/>
        </w:rPr>
        <w:t>subject to certain limitations, be later amended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In order to successfully challenge the validity of a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third-party patents were held by a court of competent jurisdiction to cover the composition of matter of any of our product candidates, the manufacturing process of any of our product candidates or the method of use for any of our product candidates, the holders of any such patents may be able to block our ability to commercialize such product candidate unless we obtained a license under the applicable patents, which may not be available at all or on commercially reasonable terms, or until such patents expire.</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the merit of such claims. We may not be aware of all intellectual property rights potentially relating to our technology and product candidates and their uses, or we may incorrectly conclude that third-party intellectual property is invalid or that our activities and product candidates do not infringe, misappropriate or otherwise violate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and/or harm our reputation and financial results. Defense of these claims, regardless of their merit, could involve substantial litigation expense and could be a substantial diversion of management and employee resources from our business.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In the event of a successful claim of infringement against us, we may have to pay substantial damages, including treble damages and attorneys’ fees for willful infringement, pay royalties, redesign our infringing products, in the case of claims concerning registered trademarks, rename our product candidates, or obtain one or more licenses from third parties, which may require substantial time and monetary expenditure, and which might be impossible or technically infeasible. Furthermore, we may not be able to obtain any required license on commercially reasonable terms or at all. Even if we were able to obtain a license, it could be non-exclusive, thereby giving our competitors and other third parties access to the same technologies licensed to us; alternatively or additionally it could include terms that impede or destroy our ability to compete successfully in the commercial marketplace. Any of the foregoing could have a material adverse effect on our business, financial condition, results of operations, and prospects.</w:t>
      </w:r>
    </w:p>
    <w:p>
      <w:pPr>
        <w:spacing w:after="0" w:line="7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A number of companies and universities file and obtain patents in the same area as our products, which are nucleotide prodrugs, and these patent filings could be asserted against us, which may affect our business, and if successful, could lead to expensive litigation, affect the profitability of our products and/or prohibit the sale of a product or its use.</w:t>
      </w:r>
    </w:p>
    <w:p>
      <w:pPr>
        <w:spacing w:after="0" w:line="8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product candidates are nucleotide prodrugs, or nucleotide phosphoramidates. A number of companies and universities have patent applications and issued patents in this general area, including for viral indications, such as, for example, Gilead Pharmasset, LLC.; Gilead Sciences, Inc.; Merck &amp; Co.; Bristol Myers Squibb; F. Hoffmann-La Roche; University of Cardiff; University College Cardiff Consultants; NuCana, plc; Alios Biopharma; Medivir; and others. If any of these companies or universities, or others, assert that a patent it holds is infringed by any of our product candidates or their use or manufacture, we may be drawn into expensive litigation, which may affect our business, take the time of and distract the attention of our employees, and if the litigation is successful, could affect the profitability of our products or prohibit their sale. On June 3, 2019, we received an anonymous Third Party Observation filed in connection with our international Patent Cooperation Treaty patent application for our second patent family, which covers the hemisulfate salt form of AT-511, or AT-527. The Observation generally challenges the patentability of the hemisulfate salt AT-527 over the free base AT-511. 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0" w:name="page71"/>
    <w:bookmarkEnd w:id="70"/>
    <w:p>
      <w:pPr>
        <w:spacing w:after="0" w:line="235" w:lineRule="auto"/>
        <w:rPr>
          <w:sz w:val="20"/>
          <w:szCs w:val="20"/>
          <w:color w:val="auto"/>
        </w:rPr>
      </w:pPr>
      <w:r>
        <w:rPr>
          <w:rFonts w:ascii="Arial" w:cs="Arial" w:eastAsia="Arial" w:hAnsi="Arial"/>
          <w:sz w:val="18"/>
          <w:szCs w:val="18"/>
          <w:color w:val="auto"/>
        </w:rPr>
        <w:t>August 1, 2019, we filed a response to the Observation describing that the AT-527 hemisulfate salt of AT-511 is not obvious in view of the AT-511 free base because AT-527 disproportionately concentrates in the liver over the heart, as shown in vivo in a dog model, which can provide an increased therapeutic effect to treat HCV, and decreased toxicity because hepatitis C is a disease of the liver. Further, while not raised in the response to the Observation, we have now also shown that AT-527 has a longer half-life and higher concentration in the lung than in the liver in vivo in monkeys, which is relevant to our COVID19 indication. On August 10, 2020, an anonymous party filed a Third Party Observation against our Patent Cooperation Treaty patent application covering a method to treat HCV patients with compensated or decompensated cirrhosis using our drug AT-527. The anonymous party asserted that it would have been obvious that the hemisulfate salt of AT-511 (AT-527) would be effective to treat HCV-infected cirrhotic patients. We filed a response to the Observation on October 2, 2020, wherein we disagreed for several reasons, including that the hemisulfate salt of AT-511 had not been publicly disclosed at the time of the filing of our method of treatment of cirrhosis application and further noted that it is not straightforward that a treatment for patients with compensated cirrhosis would also be effective for patients with decompensated cirrhosis. Our Patent Cooperation Treaty patent application provides human data that supports the efficacy of using AT-527 to treat cirrhotic HCV-infected patients. The Observations by anonymous third parties as well as our responses are placed in the file and available to be read and considered by any country examining our respective patent applications. In December 2019, the U.S. Patent Office issued a patent to us covering the composition of matter AT-527. However, other than the foregoing issued U.S. patent, there can be no assurance that the Observations will not adversely affect our ability to obtain issued patents from national-stage filings of such Patent Cooperation Treaty patent applications in any jurisdictions. We may not be aware of patent claims that are currently or may in the future be pending that affect our business by the competitors working in this area. Patent applications are typically published between six and eighteen months from filing, and the presentation of new claims in already pending applications can sometimes not be visible to the public, including to us, for a period of time, or if publicly available, not yet seen by us. We cannot provide any assurance that a third party practicing in the general area of our technology will not present a patent claim that covers one or more of our products or their methods of use or manufacture at any time, including before or during this registration period. If that does occur, we may have to take steps to try to invalidate such patent or application, and we may either choose not to or may not be successful in such attempt. A license to the patent or application may not be available on commercially reasonable terms or at all.</w:t>
      </w:r>
    </w:p>
    <w:p>
      <w:pPr>
        <w:spacing w:after="0" w:line="8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Our products are subject to The Drug Price Competition and Patent Term Restoration Act of 1984, as amended (also referred to as the Hatch-Waxman Act), in the United States, that can increase the risk of litigation with generic companies trying to sell our products, and may cause us to lose patent protection.</w:t>
      </w:r>
    </w:p>
    <w:p>
      <w:pPr>
        <w:spacing w:after="0" w:line="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Because our clinical candidates are pharmaceutical molecules reviewed by the Center for Drug Evaluation and Research of the FDA, after commercialization they will be subject in the United States to the patent litigation process of the Hatch-Waxman Act, as currently amended, which allows a generic company to submit an Abbreviated New Drug Application, (“ANDA”), to the FDA to obtain approval to sell our drug using bioequivalence data only. Under the Hatch-Waxman Act, we will have the opportunity to list our patents that cover our drug product or its method of use in the FDA’s compendium of “Approved Drug Products with Therapeutic Equivalence Evaluation,” sometimes referred to as the FDA’s Orange Book.</w:t>
      </w:r>
    </w:p>
    <w:p>
      <w:pPr>
        <w:spacing w:after="0" w:line="9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Currently, in the United States, the FDA may grant five years of exclusivity for new chemical entities, (“NCEs”), for which all of our products may qualify. An NCE is a drug that contains no active moiety that has been approved by the FDA in any other NDA. A generic company can submit an ANDA to the FDA four years after approval of our product. The submission of the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latter, we will have 45 days to bring a patent infringement lawsuit against the generic company. This will initiate a challenge to one or more of our Orange Book-listed patents based on arguments from the generic company that our listed patents are invalid, unenforceable or not infringed. Under the Hatch-Waxman Act, if a lawsuit is brought, the FDA is prevented from issuing a final approval on the generic drug until 30 months after the end of our data exclusivity period, or a final decision of a court holding that our asserted patent claims are invalid, unenforceable or not infringed. If we do not properly list our relevant patents in the Orange Book, do not timely file a lawsuit in response to a certification from a generic company under an ANDA, or if we do not prevail in the resulting patent litigation, we can lose our proprietary protection, and our product can rapidly become generic. Further, even if we do correctly list our relevant patents in the Orange Book, bring a lawsuit in a timely manner and prevail in that lawsuit, the generic litigation may be at a very significant cost to us of attorneys’ fees and employee time and distraction over a long period. Further, it is common for more than one generic company to try to sell an innovator drug at the same time, and so we may be faced with the cost and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71" w:name="page72"/>
    <w:bookmarkEnd w:id="71"/>
    <w:p>
      <w:pPr>
        <w:ind w:right="160"/>
        <w:spacing w:after="0"/>
        <w:rPr>
          <w:sz w:val="20"/>
          <w:szCs w:val="20"/>
          <w:color w:val="auto"/>
        </w:rPr>
      </w:pPr>
      <w:r>
        <w:rPr>
          <w:rFonts w:ascii="Arial" w:cs="Arial" w:eastAsia="Arial" w:hAnsi="Arial"/>
          <w:sz w:val="18"/>
          <w:szCs w:val="18"/>
          <w:color w:val="auto"/>
        </w:rPr>
        <w:t>distraction of multiple lawsuits. We may also determine it is necessary to settle the lawsuit in a manner that allows the generic company to enter our market prior to the expiration of our patent or otherwise in a manner that adversely affects the strength, validity or enforceability of our patent.</w:t>
      </w:r>
    </w:p>
    <w:p>
      <w:pPr>
        <w:spacing w:after="0" w:line="7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i w:val="1"/>
          <w:iCs w:val="1"/>
          <w:color w:val="auto"/>
        </w:rPr>
        <w:t>A number of pharmaceutical companies have been the subject of intense review by the FTC or a corresponding agency in another country based on how they have conducted or settled drug patent litigation, and certain reviews have led to an allegation of an antitrust violation, sometimes resulting in a fine or loss of rights. We cannot be sure that we would not also be subject to such a review or that the result of the review would be favorable to us, which could result in a fine or penalty.</w:t>
      </w:r>
    </w:p>
    <w:p>
      <w:pPr>
        <w:spacing w:after="0" w:line="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FTC has brought a number of lawsuits in federal court in the past few years to challenge Hatch-Waxman Act ANDA litigation settlements between innovator companies and generic companies as anti-competitive. As an example, the FTC has taken an aggressive position that anything of value is a payment, whether money is paid or not. Under its approach, if an innovator as part of a patent settlement agrees not to launch or delay launch of an authorized generic during the 180-day period granted to the first generic company to challenge an Orange Book-listed patent covering an innovator drug, or negotiates a delay in entry without payment, the FTC may consider it an unacceptable reverse payment. The pharmaceutical industry argues that such agreements are rational business decisions to dismiss risk and are immune from antitrust attack if the terms of the settlement are within the scope of the exclusionary potential of the patent. In 2013, the U.S. Supreme Court, in a five-to-three decision in FTC v. Actavis, Inc., rejected both the pharmaceutical industry’s and FTC’s arguments with regard to so-called reverse payments, and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to enter the market before the patent expires without the patentee’s paying the generic. Furthermore, whether a reverse payment is justified depends upon its size, its scale in relation to the patentee’s anticipated future litigation costs, its independence from other services for which it might represent payment, as was the case in Actavis, and the lack of any other convincing justification. The Court held that reverse payment settlements can potentially violate antitrust laws and are subject to the standard antitrust rule-of-reason analysis, with the burden of proving that an agreement is unlawful on the FTC, leaving to lower courts the structuring of such rule of reason analysis. If we are faced with drug patent litigation, including Hatch-Waxman Act litigation with a generic company, we could be faced with such an FTC challenge based on that activity, including how or whether we settle the case, and even if we strongly disagree with the FTC’s position, we could face a significant expense or penalty.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Given the amount of time required for the development, testing and regulatory review of new product candidates, patents protecting such candidates might expire before or shortly after such candidates are commercialized. For patents that are eligible for extension of patent term, we expect to seek extensions of patent terms in the United States and, if available, in other countries, however there can be no assurance that we will be granted any patent term extension we seek, or that any such patent term extension will provide us with any competitive advantage.</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Hatch-Waxman Act in the United States provides for the opportunity to seek a patent term extension on one selected patent for each of our products, and the length of that patent term extension, if at all, is subject to review and approval by the USPTO and the FDA.</w:t>
      </w:r>
    </w:p>
    <w:p>
      <w:pPr>
        <w:spacing w:after="0" w:line="8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the United States, the Hatch-Waxman Act permits one patent term extension of up to five years beyond the normal expiration of one patent per product, which if a method of treatment patent, is limited to the approved indication (or any additional indications approved during the period of extension).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2" w:name="page73"/>
    <w:bookmarkEnd w:id="72"/>
    <w:p>
      <w:pPr>
        <w:ind w:right="60"/>
        <w:spacing w:after="0" w:line="238" w:lineRule="auto"/>
        <w:rPr>
          <w:sz w:val="20"/>
          <w:szCs w:val="20"/>
          <w:color w:val="auto"/>
        </w:rPr>
      </w:pPr>
      <w:r>
        <w:rPr>
          <w:rFonts w:ascii="Arial" w:cs="Arial" w:eastAsia="Arial" w:hAnsi="Arial"/>
          <w:sz w:val="18"/>
          <w:szCs w:val="18"/>
          <w:color w:val="auto"/>
        </w:rPr>
        <w:t>authorities, including the FDA and the USPTO in the United States, and any equivalent regulatory authorities in other countries, may not agree with our assessment of whether such extensions are available,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product revenue.</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1997, as part of the Food &amp; Drug Administration Modernization Act, (the “FDAMA”), Congress enacted a law that provides incentives to drug manufacturers who conduct studies of drugs in children. The law, which provides six months of exclusivity in return for conducting pediatric studies, is referred to as the pediatric exclusivity provision. If clinical studies are carried out by us that comply with the FDAMA, we may receive an additional six-month term added to our regulatory data exclusivity period and our patent term extension period, if received, on our product. However, if we choose not to carry out pediatric studies that comply with the FDAMA, or are not accepted by the FDA for this purpose, we would not receive this additional six-month exclusivity extension to our data exclusivity or our patent term extension.</w:t>
      </w:r>
    </w:p>
    <w:p>
      <w:pPr>
        <w:spacing w:after="0" w:line="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Europe, supplementary protection certificates are available to extend a patent term up to five years to compensate for patent term lost during regulatory review, and can be extended for an additional six months if data from clinical trials is obtained in accordance with an agreed-upon pediatric investigation plan. Although all countries in Europe must provide supplementary protection certificates, there is no unified legislation among European countries and so supplementary protection certificates must be applied for and granted on a country-by-country basis. This can lead to a substantial cost to apply for and receive these certificates, which may vary among countries or not be provided at all.</w:t>
      </w:r>
    </w:p>
    <w:p>
      <w:pPr>
        <w:spacing w:after="0" w:line="75"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or fail to comply with our obligations under such agreements, our business could be harmed.</w:t>
      </w:r>
    </w:p>
    <w:p>
      <w:pPr>
        <w:spacing w:after="0" w:line="6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It may be necessary for us to use the patented or other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or otherwise controlling such intellectual property rights could seek either an injunction prohibiting our sales or an obligation on our part to pay royalties and/or other forms of compensation. Even if we are able to obtain a license, it may be non-exclusive, thereby giving our competitors and other third parties access to the same technologies licensed to us.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9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Additionally, if we fail to comply with our obligations under any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73" w:name="page74"/>
    <w:bookmarkEnd w:id="73"/>
    <w:p>
      <w:pPr>
        <w:ind w:right="400"/>
        <w:spacing w:after="0" w:line="271" w:lineRule="auto"/>
        <w:rPr>
          <w:sz w:val="20"/>
          <w:szCs w:val="20"/>
          <w:color w:val="auto"/>
        </w:rPr>
      </w:pPr>
      <w:r>
        <w:rPr>
          <w:rFonts w:ascii="Arial" w:cs="Arial" w:eastAsia="Arial" w:hAnsi="Arial"/>
          <w:sz w:val="18"/>
          <w:szCs w:val="18"/>
          <w:b w:val="1"/>
          <w:bCs w:val="1"/>
          <w:i w:val="1"/>
          <w:iCs w:val="1"/>
          <w:color w:val="auto"/>
        </w:rPr>
        <w:t>Although we are not currently involved in any relevant litigation, we may become involved in lawsuits to protect or enforce our patents or other intellectual property, which could be expensive, time-consuming and unsuccessful.</w:t>
      </w:r>
    </w:p>
    <w:p>
      <w:pPr>
        <w:spacing w:after="0" w:line="6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Competitors and other third parties may infringe, misappropriate or otherwise violate our or our future licensors’ patents, trademarks, copyrights or other intellectual property. As a result, we may need to file infringement, misappropriation or other intellectual property-related claims against third parties.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claims we assert against third parties could also provoke these parties to assert counterclaims against us alleging that we infringe, misappropriate or otherwise violate their intellectual property. In addition, in a patent infringement proceeding, such parties could counterclaim that the patents we have asserted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any such proceeding, a court may decide that a patent of ours, or a patent that we in-license, is not valid, is unenforceable and/or is not infringed, or may construe such patent’s claims narrowly or refuse to stop the other party from using the technology at issue on the grounds that our patents do not cover the technology in question. An adverse result in any litigation or defense proceedings could put one or more of our patents at risk of being invalidated, interpreted narrowly or held unenforceable in whole or in part, could put our patent applications at risk of not issuing, and could limit our ability to assert those patents against those parties or other competitors and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9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have a material adverse effect on our business, financial condition, results of operations, and prospects.</w:t>
      </w:r>
    </w:p>
    <w:p>
      <w:pPr>
        <w:spacing w:after="0" w:line="73"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USPTO, EPO and other patent agencies require compliance with a number of procedural, documentary, fee payment and other similar provisions during the patent application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 rely on our outside counsel to pay such fees due to non-U.S. patent agencies.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or other third parties might be able to enter the market with similar or identical products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or technology, which could have a material adverse effect on our business, financial condition, results of operations, and prospects.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Therefore, we may choose not to pursue or maintain protection for certain intellectual property in certain jurisdictions. The requirements for patentability may differ in certain countries, particularly in developing countries.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9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may not favor the enforcement of our patents and other intellectual property rights.</w:t>
      </w:r>
    </w:p>
    <w:p>
      <w:pPr>
        <w:spacing w:after="0" w:line="9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This could make it difficult for us to stop the infringement of our patents or the misappropriation or other violation of our other intellectual property rights. A number of foreign countries have stated that they are willing to issue compulsory licenses to patents held by innovator companies on approved drugs to allow the government or one or more third-party companies to sell the approved drug without the permission of the innovator patentee where the foreign government concludes it is in the public interest. India, for example, has used such a procedure to allow domestic companies to make and sell patented drugs without innovator approval. There is no guarantee that patents covering any of our drugs will not be subject to a compulsory license in a foreign country, or that we will have any influence over if or how such a compulsory license is granted. Further, Brazil allows its regulatory agency ANVISA to participate in deciding whether to grant a drug patent in Brazil, and patent grant decisions are made based on several factors, including whether the patent meets the requirements for a patent and whether such a patent is deemed in the country’s interest. In addition, several other countries have created laws that make it more difficult to enforce drug patents than patents on other kinds of technologies. Further, under the treaty on the Trade-Related Aspects of Intellectual Property (the “TRIPS”), as interpreted by the Doha Declaration, countries in which drugs are manufactured are required to allow exportation of the drug to a developing country that lacks adequate manufacturing capability. Therefore, our drug markets in the United States or foreign countries may be affected by the influence of current public policy on patent issuance, enforcement or involuntary licensing in the healthcare area.</w:t>
      </w:r>
    </w:p>
    <w:p>
      <w:pPr>
        <w:spacing w:after="0" w:line="10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in November 2015, members of the World Trade Organization (the “WTO”), which administers TRIPS, voted to extend the exemption against enforcing pharmaceutical drug patents in least developed countries until 2033. We currently have no patent applications filed in least developed countries, and our current intent is not to file in these countries in the future, at least in part due to this WTO pharmaceutical patent exemption.</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Furthermore, the WTO is currently considering a waiver of intellectual property rights for COVID-19 vaccines and the U.S. government recently took a stance in support of the waiver. The current proposal is for a temporary waiver of intellectual property rights that cover COVID-19 vaccines, however, the ultimate timing and scope of the waiver, if approved, is unknown. The scope and timing of such waiver will likely be subject to extensive negotiations given the complexity of the matter, which may result in prolonged uncertainty and therefore could adversely affect our business. If a waiver is approved and covers COVID-19 treatments, such as AT-527, our ability to successfully commercialize AT-527 and protect our related technology could be adversely affected.</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47" w:right="419" w:bottom="1440" w:gutter="0" w:footer="0" w:header="0"/>
        </w:sectPr>
      </w:pPr>
    </w:p>
    <w:bookmarkStart w:id="75" w:name="page76"/>
    <w:bookmarkEnd w:id="75"/>
    <w:p>
      <w:pPr>
        <w:jc w:val="both"/>
        <w:ind w:right="80"/>
        <w:spacing w:after="0" w:line="253" w:lineRule="auto"/>
        <w:rPr>
          <w:sz w:val="20"/>
          <w:szCs w:val="20"/>
          <w:color w:val="auto"/>
        </w:rPr>
      </w:pPr>
      <w:r>
        <w:rPr>
          <w:rFonts w:ascii="Arial" w:cs="Arial" w:eastAsia="Arial" w:hAnsi="Arial"/>
          <w:sz w:val="18"/>
          <w:szCs w:val="18"/>
          <w:b w:val="1"/>
          <w:bCs w:val="1"/>
          <w:i w:val="1"/>
          <w:iCs w:val="1"/>
          <w:color w:val="auto"/>
        </w:rPr>
        <w:t>We rely on our ability to stop others from competing by enforcing our patents, however some jurisdictions may require us to grant licenses to third parties. Such compulsory licenses could be extended to include some of our product candidates, which may limit our potential revenue opportunities.</w:t>
      </w:r>
    </w:p>
    <w:p>
      <w:pPr>
        <w:spacing w:after="0" w:line="8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Many foreign countries have compulsory licensing laws under which a patent owner must grant licenses to third parties, in certain circumstances. For example, compulsory licensing, or the threat of compulsory licensing, of life-saving products and expensive products is becoming increasingly popular in developing countries, either through direct legislation or international initiatives. Compulsory licenses could be extended to include some of our product candidates, if they receive marketing approval, which may limit our potential revenue opportunities. Consequently, we may not be able to prevent third parties from practicing our inventions in certain countries outside the United States and Europe. Competitors may also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where such patent rights exist,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some countries limit the enforceability of patents against government agencies or government contractors. In these countries, the patent owner may be limited to monetary relief and may be unable to enjoin infringement if a government is the infringer, which could materially diminish the value of the patent.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either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parties who have access to them, such as our employees, CROs,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Enforcing a claim that a party illegally disclosed or misappropriated a trade secret is difficult, expensive and time-consuming, and the outcome is unpredictable. In addition, some courts inside and outside the United States are less willing or unwilling to protect trade secrets. Misappropriation or unauthorized disclosure of our trade secrets or other confidential proprietary information could cause us to lose trade secret protection, impair our competitive position and have a material adverse effect on our business. Additionally, if the steps taken to maintain our trade secrets or other confidential proprietary information are deemed inadequate, we may have insufficient recourse against third parties for misappropriating the trade secret or other confidential proprietary information.</w:t>
      </w:r>
    </w:p>
    <w:p>
      <w:pPr>
        <w:spacing w:after="0" w:line="10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w:t>
      </w:r>
    </w:p>
    <w:p>
      <w:pPr>
        <w:spacing w:after="0" w:line="75"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that our employees have wrongfully used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6" w:name="page77"/>
    <w:bookmarkEnd w:id="76"/>
    <w:p>
      <w:pPr>
        <w:ind w:right="660"/>
        <w:spacing w:after="0" w:line="271" w:lineRule="auto"/>
        <w:rPr>
          <w:sz w:val="20"/>
          <w:szCs w:val="20"/>
          <w:color w:val="auto"/>
        </w:rPr>
      </w:pPr>
      <w:r>
        <w:rPr>
          <w:rFonts w:ascii="Arial" w:cs="Arial" w:eastAsia="Arial" w:hAnsi="Arial"/>
          <w:sz w:val="18"/>
          <w:szCs w:val="18"/>
          <w:b w:val="1"/>
          <w:bCs w:val="1"/>
          <w:i w:val="1"/>
          <w:iCs w:val="1"/>
          <w:color w:val="auto"/>
        </w:rPr>
        <w:t>disclosed alleged trade secrets of their former employers, or asserting ownership of what we regard as our own intellectual property.</w:t>
      </w:r>
    </w:p>
    <w:p>
      <w:pPr>
        <w:spacing w:after="0" w:line="6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employed, and may in the future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such individuals’ former employers or other third parties. Litigation may be necessary to defend against these claims. If we fail in defending any such claims, in addition to paying monetary damages, we may lose valuable intellectual property rights or personnel, or our ability to hire personnel, which, in any case of the foregoing, could adversely impact our business. Even if we are successful in defending against such claims, litigation could result in substantial costs and be a distraction to management and other employees.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Although it is our policy to require all of our employees and consultants to assign their inventions to us, to the extent that employees or consultants use intellectual property owned by others in their work for us, disputes may arise as to the rights in related or resulting know-how and inventions. We may also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Our proprietary rights may not adequately protect our technologies and product candidates, and intellectual property rights do not necessarily address all potential threats to our competitive advantage.</w:t>
      </w:r>
    </w:p>
    <w:p>
      <w:pPr>
        <w:spacing w:after="0" w:line="68" w:lineRule="exact"/>
        <w:rPr>
          <w:sz w:val="20"/>
          <w:szCs w:val="20"/>
          <w:color w:val="auto"/>
        </w:rPr>
      </w:pPr>
    </w:p>
    <w:p>
      <w:pPr>
        <w:jc w:val="both"/>
        <w:ind w:right="240"/>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89" w:lineRule="exact"/>
        <w:rPr>
          <w:sz w:val="20"/>
          <w:szCs w:val="20"/>
          <w:color w:val="auto"/>
        </w:rPr>
      </w:pPr>
    </w:p>
    <w:p>
      <w:pPr>
        <w:ind w:left="280" w:right="180" w:hanging="272"/>
        <w:spacing w:after="0" w:line="246"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products that are the same as or similar to our product candidates but that are not covered by the claims of our patents;</w:t>
      </w:r>
    </w:p>
    <w:p>
      <w:pPr>
        <w:spacing w:after="0" w:line="88" w:lineRule="exact"/>
        <w:rPr>
          <w:rFonts w:ascii="Arial" w:cs="Arial" w:eastAsia="Arial" w:hAnsi="Arial"/>
          <w:sz w:val="18"/>
          <w:szCs w:val="18"/>
          <w:color w:val="auto"/>
        </w:rPr>
      </w:pPr>
    </w:p>
    <w:p>
      <w:pPr>
        <w:ind w:left="280" w:right="10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including inventors or developers of our patented technologies who may become involved with competitors, may independently develop similar technologies that function as alternatives or replacements for any of our technologies without infringing, misappropriating or otherwise violating our intellectual property rights;</w:t>
      </w:r>
    </w:p>
    <w:p>
      <w:pPr>
        <w:spacing w:after="0" w:line="94"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might not have been the first to conceive and reduce to practice the inventions covered by our patents or patent applications;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280" w:hanging="272"/>
        <w:spacing w:after="0" w:line="246"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pending patent applications might not result in issued patents;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might be prior public disclosures that could invalidate our patents;</w:t>
      </w:r>
    </w:p>
    <w:p>
      <w:pPr>
        <w:spacing w:after="0" w:line="117" w:lineRule="exact"/>
        <w:rPr>
          <w:rFonts w:ascii="Arial" w:cs="Arial" w:eastAsia="Arial" w:hAnsi="Arial"/>
          <w:sz w:val="18"/>
          <w:szCs w:val="18"/>
          <w:color w:val="auto"/>
        </w:rPr>
      </w:pPr>
    </w:p>
    <w:p>
      <w:pPr>
        <w:ind w:left="280" w:right="720" w:hanging="272"/>
        <w:spacing w:after="0" w:line="246"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issued patents may not provide us with any commercially viable products or competitive advantage, or may be held invalid or unenforceable, as a result of legal challenges by our competitors or other third parties;</w:t>
      </w:r>
    </w:p>
    <w:p>
      <w:pPr>
        <w:spacing w:after="0" w:line="88" w:lineRule="exact"/>
        <w:rPr>
          <w:rFonts w:ascii="Arial" w:cs="Arial" w:eastAsia="Arial" w:hAnsi="Arial"/>
          <w:sz w:val="18"/>
          <w:szCs w:val="18"/>
          <w:color w:val="auto"/>
        </w:rPr>
      </w:pPr>
    </w:p>
    <w:p>
      <w:pPr>
        <w:ind w:left="280" w:right="260" w:hanging="272"/>
        <w:spacing w:after="0" w:line="246"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Supreme Court of the United States, other U.S. federal courts, Congress, the USPTO or similar foreign authorities may change the standards of patentability and any such changes could narrow or invalidate, or change the scope of, our patents;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patent terms may be inadequate to protect our competitive position on our product candidates for an adequate amount of time;</w:t>
      </w:r>
    </w:p>
    <w:p>
      <w:pPr>
        <w:spacing w:after="0" w:line="117" w:lineRule="exact"/>
        <w:rPr>
          <w:rFonts w:ascii="Arial" w:cs="Arial" w:eastAsia="Arial" w:hAnsi="Arial"/>
          <w:sz w:val="18"/>
          <w:szCs w:val="18"/>
          <w:color w:val="auto"/>
        </w:rPr>
      </w:pPr>
    </w:p>
    <w:p>
      <w:pPr>
        <w:ind w:left="280" w:right="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7" w:name="page78"/>
    <w:bookmarkEnd w:id="77"/>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ownership, validity or enforceability of our patents or patent applications may be challenged by third parties; and</w:t>
      </w:r>
    </w:p>
    <w:p>
      <w:pPr>
        <w:spacing w:after="0" w:line="116" w:lineRule="exact"/>
        <w:rPr>
          <w:rFonts w:ascii="Arial" w:cs="Arial" w:eastAsia="Arial" w:hAnsi="Arial"/>
          <w:sz w:val="18"/>
          <w:szCs w:val="18"/>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or pending or future applications of third parties, if issued, may have an adverse effect on our business.</w:t>
      </w:r>
    </w:p>
    <w:p>
      <w:pPr>
        <w:spacing w:after="0" w:line="11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0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will need to expand our organization, and we may experience difficulties in managing this growth, which could disrupt our operations.</w:t>
      </w:r>
    </w:p>
    <w:p>
      <w:pPr>
        <w:spacing w:after="0" w:line="6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expect to experience significant growth over time in the number of our employees and the scope of our operations, particularly in the areas of product candidate development, regulatory and clinical affairs and sales, marketing and distribution. To manage our growth activities,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As we expand our organization, we may have difficulty identifying, hiring and integrating new personnel. Future growth would impose significant additional responsibilities on our management, including:</w:t>
      </w:r>
    </w:p>
    <w:p>
      <w:pPr>
        <w:spacing w:after="0" w:line="95"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need to identify, recruit, maintain, motivate and integrate additional employees, consultants and contractors;</w:t>
      </w:r>
    </w:p>
    <w:p>
      <w:pPr>
        <w:spacing w:after="0" w:line="117" w:lineRule="exact"/>
        <w:rPr>
          <w:rFonts w:ascii="Arial" w:cs="Arial" w:eastAsia="Arial" w:hAnsi="Arial"/>
          <w:sz w:val="18"/>
          <w:szCs w:val="18"/>
          <w:color w:val="auto"/>
        </w:rPr>
      </w:pPr>
    </w:p>
    <w:p>
      <w:pPr>
        <w:ind w:left="280" w:right="400" w:hanging="272"/>
        <w:spacing w:after="0" w:line="246"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product revenues could be reduced, and we may not be able to implement our business strategy. Our future financial performance and our ability to commercialize our product candidates and compete effectively will depend, in part, on our ability to effectively manage any future growth.</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substantially all aspects of clinical trial conduct and execution,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high-quality personnel and consultants, the rate and success at which we can discover and develop product candidates and operate our business will be limited.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We only have a limited number of employees to manage and operate our business.</w:t>
      </w:r>
    </w:p>
    <w:p>
      <w:pPr>
        <w:spacing w:after="0" w:line="12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As of August 10, 2021, we had 49 full-time employees. Our focus on the development of AT-527 requires us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w:t>
      </w:r>
    </w:p>
    <w:p>
      <w:pPr>
        <w:spacing w:after="0" w:line="73"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directors, officers or other significant personnel or experience increases in our compensation costs, our business may materially suffer.</w:t>
      </w:r>
    </w:p>
    <w:p>
      <w:pPr>
        <w:spacing w:after="0" w:line="6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are highly dependent on our management and directors, including our Chief Executive Officer, Jean-Pierre Sommadossi, Ph.D., among others. Due to the specialized knowledge each of our officers and key employees possesses with respect to our product candidates and our operations, the loss of service of any of our officers or directors could delay or prevent the successful enrollment and completion of our clinical trials. We do not carry key person life insurance on any officers or directors. In general, the employment arrangements that we have with our executive officers do not prevent them from terminating their employment with us at any time.</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our future success and growth will depend in part on the continued service of our directors, employees and management personnel and our ability to identify, hire and retain additional personnel. If we lose one or more of our executive officers or key employees, our ability to implement our business strategy successfully could be seriously harmed. Furthermore, replacing executive officers and key employees may be difficult or costly and may take an extended period of time because of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effectively incentivize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develop and commercialize product candidates will be limited.</w:t>
      </w:r>
    </w:p>
    <w:p>
      <w:pPr>
        <w:spacing w:after="0" w:line="9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Many of our employees have become or will soon become vested in a substantial amount of our common stock or options to purchase our common stock.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spacing w:after="0" w:line="7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share price.</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and uncertainty about economic stability. For example, the COVID-19 pandemic has resulted in widespread unemployment, economic slowdown and extreme volatility in the capital markets. If the equity and credit markets deteriorate, including as a result of a resurgence of COVID-19, it may make any necessary debt or equity financing more difficult to obtain in a timely manner or on favorable terms, more costly or more dilutive. In addition, there is a risk that one or more of our CROs, suppliers, CMOs or other third-party providers may not survive an economic downturn. As a result, our business, results of operations and price of our common stock may be adversely affected.</w:t>
      </w:r>
    </w:p>
    <w:p>
      <w:pPr>
        <w:spacing w:after="0" w:line="7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 which could reduce our share price.</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Following a national referendum and enactment of legislation by the government of the U.K., the U.K. formally withdrew from the EU on January 31, 2020, commonly referred to as “Brexit” and, following the expiration of the Brexit transitional period on December 31, 2020, the U.K. now operates under a distinct regulatory regime and certain EU laws now only apply to the U.K. in respect of Northern Ireland (as laid out in the Protocol on Ireland and Northern Ireland, including but not limited to marketing authorizations). The Medicines and Healthcare products Regulatory Agency is now the U.K.’s standalone regulator. Although the U.K. and European Union have now reached an agreement on its future trading relationship (implemented in the EU-U.K. Trade and Cooperation Agreement from January 1, 2021 (“TCA”)), the agreement does not cover all regulatory areas regarding supply of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9" w:name="page80"/>
    <w:bookmarkEnd w:id="79"/>
    <w:p>
      <w:pPr>
        <w:ind w:right="100"/>
        <w:spacing w:after="0" w:line="246" w:lineRule="auto"/>
        <w:rPr>
          <w:sz w:val="20"/>
          <w:szCs w:val="20"/>
          <w:color w:val="auto"/>
        </w:rPr>
      </w:pPr>
      <w:r>
        <w:rPr>
          <w:rFonts w:ascii="Arial" w:cs="Arial" w:eastAsia="Arial" w:hAnsi="Arial"/>
          <w:sz w:val="18"/>
          <w:szCs w:val="18"/>
          <w:color w:val="auto"/>
        </w:rPr>
        <w:t>medicinal product, which will likely be subject to future bilateral discussions going forward and could further change the relationship between the U.K. and the EU in this regard.</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While agreement on the terms of the TCA has avoided a “no deal” Brexit scenario, and provides in principle for quota and tariff free trading of goods, it is nevertheless expected that the TCA will result in the creation of non-tariff barriers (such as increased shipping and regulatory costs and complexities) to the trade in goods between the UK and EU. Further, the TCA does not provide for the continued free movement of services between the UK and EU and also grants each of the U.K. and EU the ability, in certain circumstances, to unilaterally impose tariffs on one another. The TCA does provide for the mutual recognition of cGMP inspections of manufacturing facilities for medicinal products and cGMP documents issued. However, it is important to note that significant regulatory gaps still exist and the TCA does not contain wholesale mutual recognition of U.K. and EU pharmaceutical regulations and product standards between the parties, for example, in relation to batch testing and pharmacovigilance, which remain subject to further discussions.</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In particular, it could also lead to a period of considerable uncertainty in relation to the U.K. financial and banking markets, as well as on the regulatory process in the United Kingdom and in Europe. As a result of this uncertainty, global financial markets could experience significant volatility, which could adversely affect the market price of our common stock. Asset valuations, currency exchange rates, and credit ratings may also be subject to increased market volatility. Lack of clarity about future U.K. laws and regulations as the United Kingdom determines which European Union rules and regulations to replace or replicate after withdrawal, including financial laws and regulations, tax and free trade agreements, intellectual property rights, data protection laws, supply chain logistics, environmental, health, and safety laws and regulations, immigration laws, and employment laws, could decrease foreign direct investment in the United Kingdom, increase costs, depress economic activity, and restrict our access to capital. If the United Kingdom and the European Union are unable to negotiate acceptable withdrawal terms or if other EU Member States pursue withdrawal, barrier-free access between the United Kingdom and other EU Member States or among the European Economic Area overall could be diminished or eliminated.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Brexit and new regulatory regimes, we may also face new regulatory costs and challenges that could have an adverse effect on our operations. In addition, currency exchange rates between the pound sterling, the euro and the U.S. dollar have already been, and may continue to be, affected by Brexit.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shares of common stock and will be able to exert significant influence over matters subject to stockholder approval.</w:t>
      </w:r>
    </w:p>
    <w:p>
      <w:pPr>
        <w:spacing w:after="0" w:line="6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executive officers, directors, and 5% stockholders beneficially own a significant percentage of our common stock as of August 10, 2021. Therefore, these stockholders will have the ability to influence us through this ownership position. These stockholders may be able to determine matters requiring stockholders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shares of common stock that you may feel are in your best interest as one of our stockholders.</w:t>
      </w:r>
    </w:p>
    <w:p>
      <w:pPr>
        <w:spacing w:after="0" w:line="7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We have 82,776,937 outstanding shares of common stock as of August 10, 2021. Substantially all of these shares are eligible for sale. Additionally, former holders of our preferred stock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of the Securities Act of 1933, as amended, or until the rights terminate pursuant to the terms of the stockholders’ agreement between us and such holders. We also have registered all shares of common stock that we may issue under our equity compensation plans and these shares can be freely sold in the public market upon issuance, subject to volume limitations applicable to affiliates and the lock-up agreements.</w:t>
      </w:r>
    </w:p>
    <w:p>
      <w:pPr>
        <w:spacing w:after="0" w:line="77"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i w:val="1"/>
          <w:iCs w:val="1"/>
          <w:color w:val="auto"/>
        </w:rPr>
        <w:t>We are currently an “emerging growth company,” and the reduced disclosure requirements applicable to emerging growth companies may make our common stock less attractive to investors.</w:t>
      </w:r>
    </w:p>
    <w:p>
      <w:pPr>
        <w:spacing w:after="0" w:line="6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are an “emerging growth company,” as defined in the JOBS Act, and expect to remain an emerging growth company until December 31, 2021. For so long as we remain an emerging growth company, we are permitted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0" w:name="page81"/>
    <w:bookmarkEnd w:id="80"/>
    <w:p>
      <w:pPr>
        <w:ind w:right="300"/>
        <w:spacing w:after="0" w:line="246" w:lineRule="auto"/>
        <w:rPr>
          <w:sz w:val="20"/>
          <w:szCs w:val="20"/>
          <w:color w:val="auto"/>
        </w:rPr>
      </w:pPr>
      <w:r>
        <w:rPr>
          <w:rFonts w:ascii="Arial" w:cs="Arial" w:eastAsia="Arial" w:hAnsi="Arial"/>
          <w:sz w:val="18"/>
          <w:szCs w:val="18"/>
          <w:color w:val="auto"/>
        </w:rPr>
        <w:t>and intend to rely on exemptions from certain disclosure requirements that are applicable to other public companies that are not emerging growth companies. These exemptions include:</w:t>
      </w:r>
    </w:p>
    <w:p>
      <w:pPr>
        <w:spacing w:after="0" w:line="89"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280" w:right="380" w:hanging="272"/>
        <w:spacing w:after="0" w:line="246"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If some investors find our common stock less attractive as a result, there may be a less active trading market for our common stock and our stock price may be reduced or more volatile.</w:t>
      </w:r>
    </w:p>
    <w:p>
      <w:pPr>
        <w:spacing w:after="0" w:line="97"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We expect to become a large accelerated filer on December 31, 2021 at which time we will also lose our status as an emerging growth company. Following the loss of emerging growth company status, we expect to have increased legal, accounting and other expenses associated with being a public company, which may adversely impact our results of operations.</w:t>
      </w:r>
    </w:p>
    <w:p>
      <w:pPr>
        <w:spacing w:after="0" w:line="7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 even if our business is doing well.</w:t>
      </w:r>
    </w:p>
    <w:p>
      <w:pPr>
        <w:spacing w:after="0" w:line="6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currently have limited research coverage by securities and industry analysts. If any of the analysts who cover us or may cover us downgrades our common stock or issues an adverse or misleading opinion regarding us, our business model, our intellectual property or our stock performance, or if our target preclinical studies or clinical trials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7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8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may also limit the price that investors are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95" w:lineRule="exact"/>
        <w:rPr>
          <w:sz w:val="20"/>
          <w:szCs w:val="20"/>
          <w:color w:val="auto"/>
        </w:rPr>
      </w:pPr>
    </w:p>
    <w:p>
      <w:pPr>
        <w:ind w:left="280" w:hanging="272"/>
        <w:spacing w:after="0" w:line="246" w:lineRule="auto"/>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280" w:right="340" w:hanging="272"/>
        <w:spacing w:after="0" w:line="246" w:lineRule="auto"/>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88" w:lineRule="exact"/>
        <w:rPr>
          <w:rFonts w:ascii="Arial" w:cs="Arial" w:eastAsia="Arial" w:hAnsi="Arial"/>
          <w:sz w:val="18"/>
          <w:szCs w:val="18"/>
          <w:color w:val="auto"/>
        </w:rPr>
      </w:pPr>
    </w:p>
    <w:p>
      <w:pPr>
        <w:ind w:left="280" w:right="2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94"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1" w:name="page82"/>
    <w:bookmarkEnd w:id="81"/>
    <w:p>
      <w:pPr>
        <w:jc w:val="both"/>
        <w:ind w:left="280" w:right="500" w:hanging="272"/>
        <w:spacing w:after="0" w:line="274" w:lineRule="auto"/>
        <w:tabs>
          <w:tab w:leader="none" w:pos="2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66" w:lineRule="exact"/>
        <w:rPr>
          <w:rFonts w:ascii="Arial" w:cs="Arial" w:eastAsia="Arial" w:hAnsi="Arial"/>
          <w:sz w:val="17"/>
          <w:szCs w:val="17"/>
          <w:color w:val="auto"/>
        </w:rPr>
      </w:pPr>
    </w:p>
    <w:p>
      <w:pPr>
        <w:ind w:left="280" w:right="120" w:hanging="272"/>
        <w:spacing w:after="0" w:line="246"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88" w:lineRule="exact"/>
        <w:rPr>
          <w:rFonts w:ascii="Arial" w:cs="Arial" w:eastAsia="Arial" w:hAnsi="Arial"/>
          <w:sz w:val="18"/>
          <w:szCs w:val="18"/>
          <w:color w:val="auto"/>
        </w:rPr>
      </w:pPr>
    </w:p>
    <w:p>
      <w:pPr>
        <w:ind w:left="280" w:right="24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94" w:lineRule="exact"/>
        <w:rPr>
          <w:rFonts w:ascii="Arial" w:cs="Arial" w:eastAsia="Arial" w:hAnsi="Arial"/>
          <w:sz w:val="18"/>
          <w:szCs w:val="18"/>
          <w:color w:val="auto"/>
        </w:rPr>
      </w:pPr>
    </w:p>
    <w:p>
      <w:pPr>
        <w:ind w:left="280" w:right="14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spacing w:after="0" w:line="6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other than suits brought to enforce any liability or duty created by the Exchange Act or any other claim for which the federal courts have exclusive jurisdiction and any action that the Court of Chancery of the State of Delaware has dismissed for lack of subject matter jurisdiction, which may be brought in another state or federal court sitting in the State of Delaware. Our restated certificate of incorporation also specifies that unless we consent in writing to the selection of an alternate forum, the federal district courts of the United States shall be the exclusive forum for the resolution of any complaint asserting a cause of action arising under the Securities Act of 1933. Any person or entity purchasing or otherwise acquiring any interest in shares of our capital stock shall be deemed to have notice of and to have consented to the provisions of our restated certificate of incorporation described above.</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believe this provision benefits us by providing increased consistency in the application of Delaware law by chancellors particularly experienced in resolving corporate disputes or federal judges experienced in resolving Securities Act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additional dilution to our stockholders, restrict our operations, require us to relinquish rights to our technologies or product candidates, and could cause our share price to fall.</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Until such time, if ever, as we can generate substantial revenue from product sales, we may finance our cash needs through a combination of equity offerings, debt financings, marketing and distribution arrangements and other collaborations, strategic alliances and licensing arrangements. In addition, we may seek additional capital due to favorable market conditions or strategic considerations, even if we believe that we have sufficient funds for our current or future operating plans.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2" w:name="page83"/>
    <w:bookmarkEnd w:id="82"/>
    <w:p>
      <w:pPr>
        <w:spacing w:after="0" w:line="236"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operations, our ability to take specific actions, such as incurring additional debt, making capital expenditures, declaring dividends, redeeming our stock, making certain investments and engaging in certain merger, consolidation or asset sale transactions, among other restrictions. 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7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Weakening patent laws and enforcement by courts and other authorities in the United States and other jurisdictions may impact our ability to protect our patents.</w:t>
      </w:r>
    </w:p>
    <w:p>
      <w:pPr>
        <w:spacing w:after="0" w:line="6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and other bodies in other countries, the laws and regulations governing patents could change in unpredictable ways that would weaken our ability to obtain new patents or to enforce and defend our existing patents and patents that we might obtain in the future.</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EPO, or patent litigation and other proceedings in a foreign court. If so, uncertainties resulting from the initiation and continuation of such proceedings could have a material adverse effect on our ability to compete in the marketplace. The cost of foreign adversarial proceedings can also be substantial, and in many foreign jurisdictions, the losing party must pay the attorney fees of the winning party.</w:t>
      </w:r>
    </w:p>
    <w:p>
      <w:pPr>
        <w:spacing w:after="0" w:line="73"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and we may never realize the anticipated benefits of such acquisitions or partnerships.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and cash equivalents available for operations and other uses. We cannot predict the number, timing or size of future acquisitions or partnerships or the effect that any such transactions might have on our operating results.</w:t>
      </w:r>
    </w:p>
    <w:p>
      <w:pPr>
        <w:spacing w:after="0" w:line="7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or pandemics and our business continuity and disaster recovery plans may not adequately protect us from a serious disaster.</w:t>
      </w:r>
    </w:p>
    <w:p>
      <w:pPr>
        <w:spacing w:after="0" w:line="6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Natural disasters or pandemics, other than or in addition to COVID-19, could severely disrupt our operations and have a material adverse effect on our business, results of operations, financial condition and prospects. If 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83" w:name="page84"/>
    <w:bookmarkEnd w:id="83"/>
    <w:p>
      <w:pPr>
        <w:spacing w:after="0" w:line="237" w:lineRule="auto"/>
        <w:rPr>
          <w:sz w:val="20"/>
          <w:szCs w:val="20"/>
          <w:color w:val="auto"/>
        </w:rPr>
      </w:pPr>
      <w:r>
        <w:rPr>
          <w:rFonts w:ascii="Arial" w:cs="Arial" w:eastAsia="Arial" w:hAnsi="Arial"/>
          <w:sz w:val="18"/>
          <w:szCs w:val="18"/>
          <w:color w:val="auto"/>
        </w:rPr>
        <w:t>natural disaster, power outage, pandemic, such as the COVID-19 pandemic,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against us could be costly and time-consuming to defend and could result in additional liabilities.</w:t>
      </w:r>
    </w:p>
    <w:p>
      <w:pPr>
        <w:spacing w:after="0" w:line="126"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We may from time to time be subject to legal proceedings and claims that arise in the ordinary course of business or otherwise, such as claims brought by our customers or third parties in connection with commercial disputes and employment claims made by our current or former employees. Claims may also be asserted by or on behalf of a variety of other parties, including government agencies, patients or vendors of our customers, or stockholders.</w:t>
      </w:r>
    </w:p>
    <w:p>
      <w:pPr>
        <w:spacing w:after="0" w:line="9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and resulting in a reduction in the trading price of our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volatile and may fluctuate substantially.</w:t>
      </w:r>
    </w:p>
    <w:p>
      <w:pPr>
        <w:spacing w:after="0" w:line="126"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Our stock price has been and is likely to remain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a profit. The market price for our common stock may be influenced by many factors, including:</w:t>
      </w:r>
    </w:p>
    <w:p>
      <w:pPr>
        <w:spacing w:after="0" w:line="97"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expected changes in our growth rate relative to our competitors;</w:t>
      </w:r>
    </w:p>
    <w:p>
      <w:pPr>
        <w:spacing w:after="0" w:line="117" w:lineRule="exact"/>
        <w:rPr>
          <w:rFonts w:ascii="Arial" w:cs="Arial" w:eastAsia="Arial" w:hAnsi="Arial"/>
          <w:sz w:val="18"/>
          <w:szCs w:val="18"/>
          <w:color w:val="auto"/>
        </w:rPr>
      </w:pPr>
    </w:p>
    <w:p>
      <w:pPr>
        <w:ind w:left="280" w:right="20" w:hanging="272"/>
        <w:spacing w:after="0" w:line="246" w:lineRule="auto"/>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our ongoing, planned or any future preclinical studies, clinical trials or clinical development of our product candidates or those of our competitors;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related to our existing or any future collaborations;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concerning our manufacturers or our manufacturing plans;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 of third-party product candidates that may address our markets and make our product candidates less attractive;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280" w:right="160" w:hanging="272"/>
        <w:spacing w:after="0" w:line="246" w:lineRule="auto"/>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4" w:name="page85"/>
    <w:bookmarkEnd w:id="84"/>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cash and cash equivalents position;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280" w:right="140" w:hanging="272"/>
        <w:spacing w:after="0" w:line="246"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shares,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w:t>
      </w:r>
    </w:p>
    <w:p>
      <w:pPr>
        <w:spacing w:after="0" w:line="7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has been and will continue to be required to devote substantial time to new compliance initiatives and corporate governance practices.</w:t>
      </w:r>
    </w:p>
    <w:p>
      <w:pPr>
        <w:spacing w:after="0" w:line="8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before we became a public company in October 2020.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are devoting a substantial amount of time to these compliance initiatives. Moreover, these rules and regulations have and will continue to increase our legal and financial compliance costs and will make some activities more time-consuming and costly. For example, these rules and regulations have made it more difficult and more expensive for us to obtain director and officer liability insurance, which in turn could make it more difficult for us to attract and retain qualified members of our board of directors.</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regarding compliance matters and higher costs necessitated by ongoing revisions to disclosure and governance practices.</w:t>
      </w:r>
    </w:p>
    <w:p>
      <w:pPr>
        <w:spacing w:after="0" w:line="1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Section 404 of the Sarbanes-Oxley Act of 2002 (“Section 404”), in our second annual report due to be filed with the SEC after becoming a public company, we will be required to furnish a report by our management on our internal control over financial reporting. In addition, we will be required to include an attestation report on internal control over financial reporting issued by our independent registered public accounting firm in our Annual Report on Form 10-K for the year ending December 31, 2021. At such time, our independent registered public accounting firm may issue a report that is adverse in the event material weaknesses have been identified in our internal control over financial reporting. To achieve compliance with Section 404 within the prescribed period, we are engaged in a process to document and evaluate our internal control over financial reporting, which is both costly and challenging. In this regard, we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We may discover significant deficiencies or material weaknesses in our internal control over financial reporting,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it could result in an adverse reaction in the financial markets due to a loss of confidence in the reliability of our financial statements.</w:t>
      </w:r>
    </w:p>
    <w:p>
      <w:pPr>
        <w:spacing w:after="0" w:line="8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8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are not currently required to comply with the rules of the SEC implementing Section 404 and, therefore, we are not required to make a formal assessment of the effectiveness of our internal control over financial reporting for that purpose.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In addition, our independent registered public accounting firm will be required to attest to the effectiveness of our internal control over financial reporting pursuant to Section 404 in our Annual Report on Form 10-K for the year ending December 31, 2021. Our independent registered public accounting firm may issue a report that is adverse in the event material weaknesses have been identified in our internal control over financial reporting.</w:t>
      </w:r>
    </w:p>
    <w:p>
      <w:pPr>
        <w:spacing w:after="0" w:line="9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To comply with the requirements of being a public company, we have undertaken and will need to undertake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In addition,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As a result, the market price of our common stock could be materially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6" w:name="page87"/>
    <w:bookmarkEnd w:id="86"/>
    <w:p>
      <w:pPr>
        <w:ind w:right="40"/>
        <w:spacing w:after="0" w:line="246" w:lineRule="auto"/>
        <w:rPr>
          <w:sz w:val="20"/>
          <w:szCs w:val="20"/>
          <w:color w:val="auto"/>
        </w:rPr>
      </w:pPr>
      <w:r>
        <w:rPr>
          <w:rFonts w:ascii="Arial" w:cs="Arial" w:eastAsia="Arial" w:hAnsi="Arial"/>
          <w:sz w:val="18"/>
          <w:szCs w:val="18"/>
          <w:color w:val="auto"/>
        </w:rPr>
        <w:t>believe that any disclosure controls and procedures, no matter how well-conceived and operated, can provide only reasonable, not absolute, assurance that the objectives of the control system are met.</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is likely to be your sole source of gain.</w:t>
      </w:r>
    </w:p>
    <w:p>
      <w:pPr>
        <w:spacing w:after="0" w:line="6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As a result, capital appreciation, if any, of our common stock is likely to be your sole source of gain on an investment in our common stock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Purchases of Equity Securities by the Issuer or Affiliated Purchaser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November 3, 2020, we completed the initial public offering (“IPO”) of our common stock pursuant to which we issued and sold 14,375,000 shares of our common stock at a price to the public of $24.00 per share.</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All shares issued and sold in the initial public offering were registered under the Securities Act pursuant to a Registration Statement on Form S-1 (File No.333-249404), as amended (the “Registration Statement”), declared effective by the SEC on October 29,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received net proceeds of approximately $317.6 million after deducting underwriting discounts and commissions and offering expenses.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remaining net proceeds from our IPO have been invested primarily in money market accounts. There has been no material change in the expected use of the net proceeds from our initial public offering as described in our Prospectus filed pursuant to Rule 424(b)(4) under the Securities Act with the SEC on October 29,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42"/>
        </w:trPr>
        <w:tc>
          <w:tcPr>
            <w:tcW w:w="1080" w:type="dxa"/>
            <w:vAlign w:val="bottom"/>
          </w:tcPr>
          <w:p>
            <w:pPr>
              <w:spacing w:after="0" w:line="143" w:lineRule="exact"/>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5"/>
              <w:spacing w:after="0" w:line="143"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Furnished</w:t>
            </w:r>
          </w:p>
        </w:tc>
      </w:tr>
      <w:tr>
        <w:trPr>
          <w:trHeight w:val="17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14"/>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5"/>
                <w:szCs w:val="15"/>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5"/>
                <w:szCs w:val="15"/>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290"/>
        </w:trPr>
        <w:tc>
          <w:tcPr>
            <w:tcW w:w="1080" w:type="dxa"/>
            <w:vAlign w:val="bottom"/>
          </w:tcPr>
          <w:p>
            <w:pPr>
              <w:jc w:val="right"/>
              <w:ind w:right="6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rFonts w:ascii="Arial" w:cs="Arial" w:eastAsia="Arial" w:hAnsi="Arial"/>
                <w:sz w:val="18"/>
                <w:szCs w:val="18"/>
                <w:color w:val="0000EE"/>
                <w:w w:val="99"/>
              </w:rPr>
            </w:pPr>
            <w:hyperlink r:id="rId106">
              <w:r>
                <w:rPr>
                  <w:rFonts w:ascii="Arial" w:cs="Arial" w:eastAsia="Arial" w:hAnsi="Arial"/>
                  <w:sz w:val="18"/>
                  <w:szCs w:val="18"/>
                  <w:color w:val="0000EE"/>
                  <w:w w:val="99"/>
                </w:rPr>
                <w:t>Restated Certificate of Incorporation.</w:t>
              </w:r>
            </w:hyperlink>
          </w:p>
        </w:tc>
        <w:tc>
          <w:tcPr>
            <w:tcW w:w="1820" w:type="dxa"/>
            <w:vAlign w:val="bottom"/>
            <w:gridSpan w:val="12"/>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001-39661</w:t>
            </w:r>
          </w:p>
        </w:tc>
        <w:tc>
          <w:tcPr>
            <w:tcW w:w="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35"/>
              <w:spacing w:after="0"/>
              <w:rPr>
                <w:sz w:val="20"/>
                <w:szCs w:val="20"/>
                <w:color w:val="auto"/>
              </w:rPr>
            </w:pPr>
            <w:r>
              <w:rPr>
                <w:rFonts w:ascii="Arial" w:cs="Arial" w:eastAsia="Arial" w:hAnsi="Arial"/>
                <w:sz w:val="18"/>
                <w:szCs w:val="18"/>
                <w:color w:val="auto"/>
                <w:w w:val="99"/>
              </w:rPr>
              <w:t>11/5/2020</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3"/>
        </w:trPr>
        <w:tc>
          <w:tcPr>
            <w:tcW w:w="1080" w:type="dxa"/>
            <w:vAlign w:val="bottom"/>
          </w:tcPr>
          <w:p>
            <w:pPr>
              <w:jc w:val="right"/>
              <w:ind w:right="6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760" w:type="dxa"/>
            <w:vAlign w:val="bottom"/>
            <w:gridSpan w:val="19"/>
          </w:tcPr>
          <w:p>
            <w:pPr>
              <w:spacing w:after="0"/>
              <w:rPr>
                <w:rFonts w:ascii="Arial" w:cs="Arial" w:eastAsia="Arial" w:hAnsi="Arial"/>
                <w:sz w:val="18"/>
                <w:szCs w:val="18"/>
                <w:color w:val="0000EE"/>
              </w:rPr>
            </w:pPr>
            <w:hyperlink r:id="rId107">
              <w:r>
                <w:rPr>
                  <w:rFonts w:ascii="Arial" w:cs="Arial" w:eastAsia="Arial" w:hAnsi="Arial"/>
                  <w:sz w:val="18"/>
                  <w:szCs w:val="18"/>
                  <w:color w:val="0000EE"/>
                </w:rPr>
                <w:t>Amended and Restated Bylaws.</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001-39661</w:t>
            </w: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5"/>
              <w:spacing w:after="0"/>
              <w:rPr>
                <w:sz w:val="20"/>
                <w:szCs w:val="20"/>
                <w:color w:val="auto"/>
              </w:rPr>
            </w:pPr>
            <w:r>
              <w:rPr>
                <w:rFonts w:ascii="Arial" w:cs="Arial" w:eastAsia="Arial" w:hAnsi="Arial"/>
                <w:sz w:val="18"/>
                <w:szCs w:val="18"/>
                <w:color w:val="auto"/>
                <w:w w:val="99"/>
              </w:rPr>
              <w:t>11/5/2020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1080" w:type="dxa"/>
            <w:vAlign w:val="bottom"/>
          </w:tcPr>
          <w:p>
            <w:pPr>
              <w:jc w:val="right"/>
              <w:ind w:right="6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760" w:type="dxa"/>
            <w:vAlign w:val="bottom"/>
            <w:gridSpan w:val="19"/>
          </w:tcPr>
          <w:p>
            <w:pPr>
              <w:spacing w:after="0"/>
              <w:rPr>
                <w:rFonts w:ascii="Arial" w:cs="Arial" w:eastAsia="Arial" w:hAnsi="Arial"/>
                <w:sz w:val="18"/>
                <w:szCs w:val="18"/>
                <w:color w:val="0000EE"/>
              </w:rPr>
            </w:pPr>
            <w:hyperlink r:id="rId108">
              <w:r>
                <w:rPr>
                  <w:rFonts w:ascii="Arial" w:cs="Arial" w:eastAsia="Arial" w:hAnsi="Arial"/>
                  <w:sz w:val="18"/>
                  <w:szCs w:val="18"/>
                  <w:color w:val="0000EE"/>
                </w:rPr>
                <w:t>Specimen Stock Certificate evidencing the shares of</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333-249404</w:t>
            </w: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5"/>
              <w:spacing w:after="0"/>
              <w:rPr>
                <w:sz w:val="20"/>
                <w:szCs w:val="20"/>
                <w:color w:val="auto"/>
              </w:rPr>
            </w:pPr>
            <w:r>
              <w:rPr>
                <w:rFonts w:ascii="Arial" w:cs="Arial" w:eastAsia="Arial" w:hAnsi="Arial"/>
                <w:sz w:val="18"/>
                <w:szCs w:val="18"/>
                <w:color w:val="auto"/>
                <w:w w:val="99"/>
              </w:rPr>
              <w:t>10/9/2020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common stock</w:t>
              </w:r>
            </w:hyperlink>
          </w:p>
        </w:tc>
        <w:tc>
          <w:tcPr>
            <w:tcW w:w="600" w:type="dxa"/>
            <w:vAlign w:val="bottom"/>
            <w:gridSpan w:val="8"/>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5"/>
                <w:szCs w:val="15"/>
                <w:color w:val="auto"/>
              </w:rPr>
            </w:pPr>
          </w:p>
        </w:tc>
        <w:tc>
          <w:tcPr>
            <w:tcW w:w="412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109">
              <w:r>
                <w:rPr>
                  <w:rFonts w:ascii="Arial" w:cs="Arial" w:eastAsia="Arial" w:hAnsi="Arial"/>
                  <w:sz w:val="18"/>
                  <w:szCs w:val="18"/>
                  <w:color w:val="0000EE"/>
                  <w:w w:val="99"/>
                </w:rPr>
                <w:t>Consulting Agreement, dated May 18, 2021, by and</w:t>
              </w:r>
            </w:hyperlink>
          </w:p>
        </w:tc>
        <w:tc>
          <w:tcPr>
            <w:tcW w:w="640" w:type="dxa"/>
            <w:vAlign w:val="bottom"/>
            <w:gridSpan w:val="9"/>
          </w:tcPr>
          <w:p>
            <w:pPr>
              <w:spacing w:after="0"/>
              <w:rPr>
                <w:sz w:val="15"/>
                <w:szCs w:val="15"/>
                <w:color w:val="auto"/>
              </w:rPr>
            </w:pPr>
          </w:p>
        </w:tc>
        <w:tc>
          <w:tcPr>
            <w:tcW w:w="780" w:type="dxa"/>
            <w:vAlign w:val="bottom"/>
            <w:gridSpan w:val="2"/>
          </w:tcPr>
          <w:p>
            <w:pPr>
              <w:jc w:val="center"/>
              <w:ind w:right="100"/>
              <w:spacing w:after="0" w:line="182"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line="182" w:lineRule="exact"/>
              <w:rPr>
                <w:sz w:val="20"/>
                <w:szCs w:val="20"/>
                <w:color w:val="auto"/>
              </w:rPr>
            </w:pPr>
            <w:r>
              <w:rPr>
                <w:rFonts w:ascii="Arial" w:cs="Arial" w:eastAsia="Arial" w:hAnsi="Arial"/>
                <w:sz w:val="18"/>
                <w:szCs w:val="18"/>
                <w:color w:val="auto"/>
                <w:w w:val="99"/>
              </w:rPr>
              <w:t>001-39661</w:t>
            </w:r>
          </w:p>
        </w:tc>
        <w:tc>
          <w:tcPr>
            <w:tcW w:w="120" w:type="dxa"/>
            <w:vAlign w:val="bottom"/>
          </w:tcPr>
          <w:p>
            <w:pPr>
              <w:spacing w:after="0"/>
              <w:rPr>
                <w:sz w:val="15"/>
                <w:szCs w:val="15"/>
                <w:color w:val="auto"/>
              </w:rPr>
            </w:pPr>
          </w:p>
        </w:tc>
        <w:tc>
          <w:tcPr>
            <w:tcW w:w="740" w:type="dxa"/>
            <w:vAlign w:val="bottom"/>
          </w:tcPr>
          <w:p>
            <w:pPr>
              <w:jc w:val="center"/>
              <w:spacing w:after="0" w:line="182" w:lineRule="exact"/>
              <w:rPr>
                <w:sz w:val="20"/>
                <w:szCs w:val="20"/>
                <w:color w:val="auto"/>
              </w:rPr>
            </w:pPr>
            <w:r>
              <w:rPr>
                <w:rFonts w:ascii="Arial" w:cs="Arial" w:eastAsia="Arial" w:hAnsi="Arial"/>
                <w:sz w:val="18"/>
                <w:szCs w:val="18"/>
                <w:color w:val="auto"/>
                <w:w w:val="96"/>
              </w:rPr>
              <w:t>10.1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35"/>
              <w:spacing w:after="0" w:line="182" w:lineRule="exact"/>
              <w:rPr>
                <w:sz w:val="20"/>
                <w:szCs w:val="20"/>
                <w:color w:val="auto"/>
              </w:rPr>
            </w:pPr>
            <w:r>
              <w:rPr>
                <w:rFonts w:ascii="Arial" w:cs="Arial" w:eastAsia="Arial" w:hAnsi="Arial"/>
                <w:sz w:val="18"/>
                <w:szCs w:val="18"/>
                <w:color w:val="auto"/>
                <w:w w:val="99"/>
              </w:rPr>
              <w:t>5/20/2021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60" w:type="dxa"/>
            <w:vAlign w:val="bottom"/>
            <w:gridSpan w:val="19"/>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between the Company and Upstream Wellness and</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09">
              <w:r>
                <w:rPr>
                  <w:rFonts w:ascii="Arial" w:cs="Arial" w:eastAsia="Arial" w:hAnsi="Arial"/>
                  <w:sz w:val="18"/>
                  <w:szCs w:val="18"/>
                  <w:color w:val="0000EE"/>
                  <w:w w:val="98"/>
                </w:rPr>
                <w:t>Health LLC.</w:t>
              </w:r>
            </w:hyperlink>
          </w:p>
        </w:tc>
        <w:tc>
          <w:tcPr>
            <w:tcW w:w="3140" w:type="dxa"/>
            <w:vAlign w:val="bottom"/>
            <w:tcBorders>
              <w:top w:val="single" w:sz="8" w:color="0000EE"/>
            </w:tcBorders>
            <w:gridSpan w:val="7"/>
          </w:tcPr>
          <w:p>
            <w:pPr>
              <w:spacing w:after="0"/>
              <w:rPr>
                <w:sz w:val="15"/>
                <w:szCs w:val="15"/>
                <w:color w:val="auto"/>
              </w:rPr>
            </w:pPr>
          </w:p>
        </w:tc>
        <w:tc>
          <w:tcPr>
            <w:tcW w:w="660" w:type="dxa"/>
            <w:vAlign w:val="bottom"/>
            <w:gridSpan w:val="10"/>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15"/>
                <w:szCs w:val="15"/>
                <w:color w:val="auto"/>
              </w:rPr>
            </w:pPr>
          </w:p>
        </w:tc>
        <w:tc>
          <w:tcPr>
            <w:tcW w:w="44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r:id="rId110">
              <w:r>
                <w:rPr>
                  <w:rFonts w:ascii="Arial" w:cs="Arial" w:eastAsia="Arial" w:hAnsi="Arial"/>
                  <w:sz w:val="18"/>
                  <w:szCs w:val="18"/>
                  <w:color w:val="0000EE"/>
                  <w:w w:val="99"/>
                </w:rPr>
                <w:t>Sublease Agreement, dated as of July 19, 2021, by and</w:t>
              </w:r>
            </w:hyperlink>
          </w:p>
        </w:tc>
        <w:tc>
          <w:tcPr>
            <w:tcW w:w="320" w:type="dxa"/>
            <w:vAlign w:val="bottom"/>
            <w:gridSpan w:val="4"/>
          </w:tcPr>
          <w:p>
            <w:pPr>
              <w:spacing w:after="0"/>
              <w:rPr>
                <w:sz w:val="15"/>
                <w:szCs w:val="15"/>
                <w:color w:val="auto"/>
              </w:rPr>
            </w:pPr>
          </w:p>
        </w:tc>
        <w:tc>
          <w:tcPr>
            <w:tcW w:w="780" w:type="dxa"/>
            <w:vAlign w:val="bottom"/>
            <w:gridSpan w:val="2"/>
          </w:tcPr>
          <w:p>
            <w:pPr>
              <w:jc w:val="center"/>
              <w:ind w:right="100"/>
              <w:spacing w:after="0" w:line="182"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line="182" w:lineRule="exact"/>
              <w:rPr>
                <w:sz w:val="20"/>
                <w:szCs w:val="20"/>
                <w:color w:val="auto"/>
              </w:rPr>
            </w:pPr>
            <w:r>
              <w:rPr>
                <w:rFonts w:ascii="Arial" w:cs="Arial" w:eastAsia="Arial" w:hAnsi="Arial"/>
                <w:sz w:val="18"/>
                <w:szCs w:val="18"/>
                <w:color w:val="auto"/>
                <w:w w:val="99"/>
              </w:rPr>
              <w:t>001-39661</w:t>
            </w:r>
          </w:p>
        </w:tc>
        <w:tc>
          <w:tcPr>
            <w:tcW w:w="120" w:type="dxa"/>
            <w:vAlign w:val="bottom"/>
          </w:tcPr>
          <w:p>
            <w:pPr>
              <w:spacing w:after="0"/>
              <w:rPr>
                <w:sz w:val="15"/>
                <w:szCs w:val="15"/>
                <w:color w:val="auto"/>
              </w:rPr>
            </w:pPr>
          </w:p>
        </w:tc>
        <w:tc>
          <w:tcPr>
            <w:tcW w:w="740" w:type="dxa"/>
            <w:vAlign w:val="bottom"/>
          </w:tcPr>
          <w:p>
            <w:pPr>
              <w:jc w:val="center"/>
              <w:spacing w:after="0" w:line="182" w:lineRule="exact"/>
              <w:rPr>
                <w:sz w:val="20"/>
                <w:szCs w:val="20"/>
                <w:color w:val="auto"/>
              </w:rPr>
            </w:pPr>
            <w:r>
              <w:rPr>
                <w:rFonts w:ascii="Arial" w:cs="Arial" w:eastAsia="Arial" w:hAnsi="Arial"/>
                <w:sz w:val="18"/>
                <w:szCs w:val="18"/>
                <w:color w:val="auto"/>
                <w:w w:val="96"/>
              </w:rPr>
              <w:t>10.1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35"/>
              <w:spacing w:after="0" w:line="182" w:lineRule="exact"/>
              <w:rPr>
                <w:sz w:val="20"/>
                <w:szCs w:val="20"/>
                <w:color w:val="auto"/>
              </w:rPr>
            </w:pPr>
            <w:r>
              <w:rPr>
                <w:rFonts w:ascii="Arial" w:cs="Arial" w:eastAsia="Arial" w:hAnsi="Arial"/>
                <w:sz w:val="18"/>
                <w:szCs w:val="18"/>
                <w:color w:val="auto"/>
                <w:w w:val="99"/>
              </w:rPr>
              <w:t>7/23/2021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10">
              <w:r>
                <w:rPr>
                  <w:rFonts w:ascii="Arial" w:cs="Arial" w:eastAsia="Arial" w:hAnsi="Arial"/>
                  <w:sz w:val="18"/>
                  <w:szCs w:val="18"/>
                  <w:color w:val="0000EE"/>
                  <w:w w:val="99"/>
                </w:rPr>
                <w:t>between the Company and DataRobot, Inc.</w:t>
              </w:r>
            </w:hyperlink>
          </w:p>
        </w:tc>
        <w:tc>
          <w:tcPr>
            <w:tcW w:w="1300" w:type="dxa"/>
            <w:vAlign w:val="bottom"/>
            <w:gridSpan w:val="11"/>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15"/>
                <w:szCs w:val="15"/>
                <w:color w:val="auto"/>
              </w:rPr>
            </w:pPr>
          </w:p>
        </w:tc>
        <w:tc>
          <w:tcPr>
            <w:tcW w:w="464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90">
              <w:r>
                <w:rPr>
                  <w:rFonts w:ascii="Arial" w:cs="Arial" w:eastAsia="Arial" w:hAnsi="Arial"/>
                  <w:sz w:val="18"/>
                  <w:szCs w:val="18"/>
                  <w:color w:val="0000EE"/>
                  <w:w w:val="99"/>
                </w:rPr>
                <w:t>License Agreement, dated as of October 21, 2020, among</w:t>
              </w:r>
            </w:hyperlink>
          </w:p>
        </w:tc>
        <w:tc>
          <w:tcPr>
            <w:tcW w:w="120" w:type="dxa"/>
            <w:vAlign w:val="bottom"/>
            <w:gridSpan w:val="3"/>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84"/>
              </w:rPr>
              <w:t>*</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90">
              <w:r>
                <w:rPr>
                  <w:rFonts w:ascii="Arial" w:cs="Arial" w:eastAsia="Arial" w:hAnsi="Arial"/>
                  <w:sz w:val="18"/>
                  <w:szCs w:val="18"/>
                  <w:color w:val="0000EE"/>
                  <w:w w:val="99"/>
                </w:rPr>
                <w:t>the Registrant, F. Hoffmann-La Roche Ltd and Genentech,</w:t>
              </w:r>
            </w:hyperlink>
          </w:p>
        </w:tc>
        <w:tc>
          <w:tcPr>
            <w:tcW w:w="1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Inc.</w:t>
              </w:r>
            </w:hyperlink>
          </w:p>
        </w:tc>
        <w:tc>
          <w:tcPr>
            <w:tcW w:w="4460" w:type="dxa"/>
            <w:vAlign w:val="bottom"/>
            <w:gridSpan w:val="18"/>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31.1</w:t>
            </w:r>
          </w:p>
        </w:tc>
        <w:tc>
          <w:tcPr>
            <w:tcW w:w="100" w:type="dxa"/>
            <w:vAlign w:val="bottom"/>
          </w:tcPr>
          <w:p>
            <w:pPr>
              <w:spacing w:after="0"/>
              <w:rPr>
                <w:sz w:val="15"/>
                <w:szCs w:val="15"/>
                <w:color w:val="auto"/>
              </w:rPr>
            </w:pPr>
          </w:p>
        </w:tc>
        <w:tc>
          <w:tcPr>
            <w:tcW w:w="44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74">
              <w:r>
                <w:rPr>
                  <w:rFonts w:ascii="Arial" w:cs="Arial" w:eastAsia="Arial" w:hAnsi="Arial"/>
                  <w:sz w:val="18"/>
                  <w:szCs w:val="18"/>
                  <w:color w:val="0000EE"/>
                  <w:w w:val="99"/>
                </w:rPr>
                <w:t>Certification of Chief Executive Officer pursuant to Rule</w:t>
              </w:r>
            </w:hyperlink>
          </w:p>
        </w:tc>
        <w:tc>
          <w:tcPr>
            <w:tcW w:w="36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84"/>
              </w:rPr>
              <w:t>*</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60" w:type="dxa"/>
            <w:vAlign w:val="bottom"/>
            <w:gridSpan w:val="19"/>
          </w:tcPr>
          <w:p>
            <w:pPr>
              <w:spacing w:after="0" w:line="182" w:lineRule="exact"/>
              <w:rPr>
                <w:rFonts w:ascii="Arial" w:cs="Arial" w:eastAsia="Arial" w:hAnsi="Arial"/>
                <w:sz w:val="18"/>
                <w:szCs w:val="18"/>
                <w:color w:val="0000EE"/>
              </w:rPr>
            </w:pPr>
            <w:hyperlink w:anchor="page174">
              <w:r>
                <w:rPr>
                  <w:rFonts w:ascii="Arial" w:cs="Arial" w:eastAsia="Arial" w:hAnsi="Arial"/>
                  <w:sz w:val="18"/>
                  <w:szCs w:val="18"/>
                  <w:color w:val="0000EE"/>
                </w:rPr>
                <w:t>13a-14(a)/15d-14(a).</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31.2</w:t>
            </w:r>
          </w:p>
        </w:tc>
        <w:tc>
          <w:tcPr>
            <w:tcW w:w="100" w:type="dxa"/>
            <w:vAlign w:val="bottom"/>
          </w:tcPr>
          <w:p>
            <w:pPr>
              <w:spacing w:after="0"/>
              <w:rPr>
                <w:sz w:val="15"/>
                <w:szCs w:val="15"/>
                <w:color w:val="auto"/>
              </w:rPr>
            </w:pPr>
          </w:p>
        </w:tc>
        <w:tc>
          <w:tcPr>
            <w:tcW w:w="43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75">
              <w:r>
                <w:rPr>
                  <w:rFonts w:ascii="Arial" w:cs="Arial" w:eastAsia="Arial" w:hAnsi="Arial"/>
                  <w:sz w:val="18"/>
                  <w:szCs w:val="18"/>
                  <w:color w:val="0000EE"/>
                  <w:w w:val="99"/>
                </w:rPr>
                <w:t>Certification of Chief Financial Officer pursuant to Rule</w:t>
              </w:r>
            </w:hyperlink>
          </w:p>
        </w:tc>
        <w:tc>
          <w:tcPr>
            <w:tcW w:w="42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84"/>
              </w:rPr>
              <w:t>*</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60" w:type="dxa"/>
            <w:vAlign w:val="bottom"/>
            <w:gridSpan w:val="19"/>
          </w:tcPr>
          <w:p>
            <w:pPr>
              <w:spacing w:after="0" w:line="182" w:lineRule="exact"/>
              <w:rPr>
                <w:rFonts w:ascii="Arial" w:cs="Arial" w:eastAsia="Arial" w:hAnsi="Arial"/>
                <w:sz w:val="18"/>
                <w:szCs w:val="18"/>
                <w:color w:val="0000EE"/>
              </w:rPr>
            </w:pPr>
            <w:hyperlink w:anchor="page175">
              <w:r>
                <w:rPr>
                  <w:rFonts w:ascii="Arial" w:cs="Arial" w:eastAsia="Arial" w:hAnsi="Arial"/>
                  <w:sz w:val="18"/>
                  <w:szCs w:val="18"/>
                  <w:color w:val="0000EE"/>
                </w:rPr>
                <w:t>13a-14(a)/15d-14(a).</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15"/>
                <w:szCs w:val="15"/>
                <w:color w:val="auto"/>
              </w:rPr>
            </w:pPr>
          </w:p>
        </w:tc>
        <w:tc>
          <w:tcPr>
            <w:tcW w:w="4760" w:type="dxa"/>
            <w:vAlign w:val="bottom"/>
            <w:gridSpan w:val="19"/>
          </w:tcPr>
          <w:p>
            <w:pPr>
              <w:spacing w:after="0" w:line="182" w:lineRule="exact"/>
              <w:rPr>
                <w:rFonts w:ascii="Arial" w:cs="Arial" w:eastAsia="Arial" w:hAnsi="Arial"/>
                <w:sz w:val="18"/>
                <w:szCs w:val="18"/>
                <w:color w:val="0000EE"/>
              </w:rPr>
            </w:pPr>
            <w:hyperlink w:anchor="page176">
              <w:r>
                <w:rPr>
                  <w:rFonts w:ascii="Arial" w:cs="Arial" w:eastAsia="Arial" w:hAnsi="Arial"/>
                  <w:sz w:val="18"/>
                  <w:szCs w:val="18"/>
                  <w:color w:val="0000EE"/>
                </w:rPr>
                <w:t>Certification of Chief Executive Officer pursuant to 18</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76">
              <w:r>
                <w:rPr>
                  <w:rFonts w:ascii="Arial" w:cs="Arial" w:eastAsia="Arial" w:hAnsi="Arial"/>
                  <w:sz w:val="18"/>
                  <w:szCs w:val="18"/>
                  <w:color w:val="0000EE"/>
                </w:rPr>
                <w:t>U.S.C. Section 1350.</w:t>
              </w:r>
            </w:hyperlink>
          </w:p>
        </w:tc>
        <w:tc>
          <w:tcPr>
            <w:tcW w:w="540" w:type="dxa"/>
            <w:vAlign w:val="bottom"/>
            <w:gridSpan w:val="7"/>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080" w:type="dxa"/>
            <w:vAlign w:val="bottom"/>
          </w:tcPr>
          <w:p>
            <w:pPr>
              <w:jc w:val="right"/>
              <w:ind w:right="632"/>
              <w:spacing w:after="0" w:line="182" w:lineRule="exact"/>
              <w:rPr>
                <w:sz w:val="20"/>
                <w:szCs w:val="20"/>
                <w:color w:val="auto"/>
              </w:rPr>
            </w:pPr>
            <w:r>
              <w:rPr>
                <w:rFonts w:ascii="Arial" w:cs="Arial" w:eastAsia="Arial" w:hAnsi="Arial"/>
                <w:sz w:val="18"/>
                <w:szCs w:val="18"/>
                <w:color w:val="auto"/>
                <w:w w:val="96"/>
              </w:rPr>
              <w:t>32.2</w:t>
            </w:r>
          </w:p>
        </w:tc>
        <w:tc>
          <w:tcPr>
            <w:tcW w:w="100" w:type="dxa"/>
            <w:vAlign w:val="bottom"/>
          </w:tcPr>
          <w:p>
            <w:pPr>
              <w:spacing w:after="0"/>
              <w:rPr>
                <w:sz w:val="15"/>
                <w:szCs w:val="15"/>
                <w:color w:val="auto"/>
              </w:rPr>
            </w:pPr>
          </w:p>
        </w:tc>
        <w:tc>
          <w:tcPr>
            <w:tcW w:w="4760" w:type="dxa"/>
            <w:vAlign w:val="bottom"/>
            <w:gridSpan w:val="19"/>
          </w:tcPr>
          <w:p>
            <w:pPr>
              <w:spacing w:after="0" w:line="182" w:lineRule="exact"/>
              <w:rPr>
                <w:rFonts w:ascii="Arial" w:cs="Arial" w:eastAsia="Arial" w:hAnsi="Arial"/>
                <w:sz w:val="18"/>
                <w:szCs w:val="18"/>
                <w:color w:val="0000EE"/>
              </w:rPr>
            </w:pPr>
            <w:hyperlink w:anchor="page177">
              <w:r>
                <w:rPr>
                  <w:rFonts w:ascii="Arial" w:cs="Arial" w:eastAsia="Arial" w:hAnsi="Arial"/>
                  <w:sz w:val="18"/>
                  <w:szCs w:val="18"/>
                  <w:color w:val="0000EE"/>
                </w:rPr>
                <w:t>Certification of Chief Financial Officer pursuant to 18</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w:t>
            </w:r>
          </w:p>
        </w:tc>
      </w:tr>
      <w:tr>
        <w:trPr>
          <w:trHeight w:val="182"/>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77">
              <w:r>
                <w:rPr>
                  <w:rFonts w:ascii="Arial" w:cs="Arial" w:eastAsia="Arial" w:hAnsi="Arial"/>
                  <w:sz w:val="18"/>
                  <w:szCs w:val="18"/>
                  <w:color w:val="0000EE"/>
                </w:rPr>
                <w:t>U.S.C. Section 1350.</w:t>
              </w:r>
            </w:hyperlink>
          </w:p>
        </w:tc>
        <w:tc>
          <w:tcPr>
            <w:tcW w:w="600" w:type="dxa"/>
            <w:vAlign w:val="bottom"/>
            <w:gridSpan w:val="8"/>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308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9"/>
                <w:szCs w:val="19"/>
                <w:color w:val="auto"/>
              </w:rPr>
            </w:pPr>
          </w:p>
        </w:tc>
        <w:tc>
          <w:tcPr>
            <w:tcW w:w="4760" w:type="dxa"/>
            <w:vAlign w:val="bottom"/>
            <w:gridSpan w:val="19"/>
          </w:tcPr>
          <w:p>
            <w:pPr>
              <w:spacing w:after="0"/>
              <w:rPr>
                <w:sz w:val="20"/>
                <w:szCs w:val="20"/>
                <w:color w:val="auto"/>
              </w:rPr>
            </w:pPr>
            <w:r>
              <w:rPr>
                <w:rFonts w:ascii="Arial" w:cs="Arial" w:eastAsia="Arial" w:hAnsi="Arial"/>
                <w:sz w:val="18"/>
                <w:szCs w:val="18"/>
                <w:color w:val="auto"/>
              </w:rPr>
              <w:t>Inline XBRL Instance Document</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43"/>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1"/>
                <w:szCs w:val="21"/>
                <w:color w:val="auto"/>
              </w:rPr>
            </w:pPr>
          </w:p>
        </w:tc>
        <w:tc>
          <w:tcPr>
            <w:tcW w:w="476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9"/>
                <w:szCs w:val="19"/>
                <w:color w:val="auto"/>
              </w:rPr>
            </w:pPr>
          </w:p>
        </w:tc>
        <w:tc>
          <w:tcPr>
            <w:tcW w:w="476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gridSpan w:val="19"/>
          </w:tcPr>
          <w:p>
            <w:pPr>
              <w:spacing w:after="0" w:line="202" w:lineRule="exact"/>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08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7"/>
                <w:szCs w:val="17"/>
                <w:color w:val="auto"/>
              </w:rPr>
            </w:pPr>
          </w:p>
        </w:tc>
        <w:tc>
          <w:tcPr>
            <w:tcW w:w="4760" w:type="dxa"/>
            <w:vAlign w:val="bottom"/>
            <w:gridSpan w:val="19"/>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gridSpan w:val="19"/>
          </w:tcPr>
          <w:p>
            <w:pPr>
              <w:spacing w:after="0" w:line="202" w:lineRule="exact"/>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08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7"/>
                <w:szCs w:val="17"/>
                <w:color w:val="auto"/>
              </w:rPr>
            </w:pPr>
          </w:p>
        </w:tc>
        <w:tc>
          <w:tcPr>
            <w:tcW w:w="4760" w:type="dxa"/>
            <w:vAlign w:val="bottom"/>
            <w:gridSpan w:val="19"/>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gridSpan w:val="19"/>
          </w:tcPr>
          <w:p>
            <w:pPr>
              <w:spacing w:after="0" w:line="202" w:lineRule="exact"/>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08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100" w:type="dxa"/>
            <w:vAlign w:val="bottom"/>
          </w:tcPr>
          <w:p>
            <w:pPr>
              <w:spacing w:after="0"/>
              <w:rPr>
                <w:sz w:val="17"/>
                <w:szCs w:val="17"/>
                <w:color w:val="auto"/>
              </w:rPr>
            </w:pPr>
          </w:p>
        </w:tc>
        <w:tc>
          <w:tcPr>
            <w:tcW w:w="4760" w:type="dxa"/>
            <w:vAlign w:val="bottom"/>
            <w:gridSpan w:val="19"/>
          </w:tcPr>
          <w:p>
            <w:pPr>
              <w:spacing w:after="0" w:line="202" w:lineRule="exact"/>
              <w:rPr>
                <w:sz w:val="20"/>
                <w:szCs w:val="20"/>
                <w:color w:val="auto"/>
              </w:rPr>
            </w:pPr>
            <w:r>
              <w:rPr>
                <w:rFonts w:ascii="Arial" w:cs="Arial" w:eastAsia="Arial" w:hAnsi="Arial"/>
                <w:sz w:val="18"/>
                <w:szCs w:val="18"/>
                <w:color w:val="auto"/>
              </w:rPr>
              <w:t>Inline XBRL Taxonomy Extension Presentation Linkbase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03"/>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gridSpan w:val="19"/>
          </w:tcPr>
          <w:p>
            <w:pPr>
              <w:spacing w:after="0" w:line="202" w:lineRule="exact"/>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08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4760" w:type="dxa"/>
            <w:vAlign w:val="bottom"/>
            <w:gridSpan w:val="19"/>
          </w:tcPr>
          <w:p>
            <w:pPr>
              <w:spacing w:after="0" w:line="202" w:lineRule="exact"/>
              <w:rPr>
                <w:sz w:val="20"/>
                <w:szCs w:val="20"/>
                <w:color w:val="auto"/>
              </w:rPr>
            </w:pPr>
            <w:r>
              <w:rPr>
                <w:rFonts w:ascii="Arial" w:cs="Arial" w:eastAsia="Arial" w:hAnsi="Arial"/>
                <w:sz w:val="18"/>
                <w:szCs w:val="18"/>
                <w:color w:val="auto"/>
              </w:rPr>
              <w:t>Cover Page Interactive Data File (formatted as inline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4"/>
              </w:rPr>
              <w:t>*</w:t>
            </w:r>
          </w:p>
        </w:tc>
      </w:tr>
      <w:tr>
        <w:trPr>
          <w:trHeight w:val="217"/>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gridSpan w:val="19"/>
          </w:tcPr>
          <w:p>
            <w:pPr>
              <w:spacing w:after="0"/>
              <w:rPr>
                <w:sz w:val="20"/>
                <w:szCs w:val="20"/>
                <w:color w:val="auto"/>
              </w:rPr>
            </w:pPr>
            <w:r>
              <w:rPr>
                <w:rFonts w:ascii="Arial" w:cs="Arial" w:eastAsia="Arial" w:hAnsi="Arial"/>
                <w:sz w:val="18"/>
                <w:szCs w:val="18"/>
                <w:color w:val="auto"/>
              </w:rPr>
              <w:t>XBRL and contained in Exhibit 101)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5054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10" w:lineRule="exact"/>
        <w:rPr>
          <w:sz w:val="20"/>
          <w:szCs w:val="20"/>
          <w:color w:val="auto"/>
        </w:rPr>
      </w:pPr>
    </w:p>
    <w:p>
      <w:pPr>
        <w:ind w:left="720" w:hanging="71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ind w:left="800" w:hanging="792"/>
        <w:spacing w:after="0" w:line="234"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 w:lineRule="exact"/>
        <w:rPr>
          <w:sz w:val="20"/>
          <w:szCs w:val="20"/>
          <w:color w:val="auto"/>
        </w:rPr>
      </w:pPr>
    </w:p>
    <w:p>
      <w:pPr>
        <w:ind w:left="740" w:hanging="732"/>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Portions of this exhibit (indicated by asterisk) have been redacted in compliance with Regulation S-K Item 601(b)(10)(iv)</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7500" w:type="dxa"/>
            <w:vAlign w:val="bottom"/>
            <w:gridSpan w:val="2"/>
          </w:tcPr>
          <w:p>
            <w:pPr>
              <w:ind w:left="1960"/>
              <w:spacing w:after="0"/>
              <w:rPr>
                <w:sz w:val="20"/>
                <w:szCs w:val="20"/>
                <w:color w:val="auto"/>
              </w:rPr>
            </w:pPr>
            <w:r>
              <w:rPr>
                <w:rFonts w:ascii="Arial" w:cs="Arial" w:eastAsia="Arial" w:hAnsi="Arial"/>
                <w:sz w:val="18"/>
                <w:szCs w:val="18"/>
                <w:color w:val="auto"/>
              </w:rPr>
              <w:t>ATEA PHARMACEUTICALS, INC.</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Date: August 12, 2021</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Jean-Pierre Sommadossi, Ph.D.</w:t>
            </w:r>
          </w:p>
        </w:tc>
      </w:tr>
      <w:tr>
        <w:trPr>
          <w:trHeight w:val="200"/>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2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Jean-Pierre Sommadossi, Ph.D.</w:t>
            </w:r>
          </w:p>
        </w:tc>
      </w:tr>
      <w:tr>
        <w:trPr>
          <w:trHeight w:val="203"/>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President and Chief Executive Officer</w:t>
            </w:r>
          </w:p>
        </w:tc>
      </w:tr>
      <w:tr>
        <w:trPr>
          <w:trHeight w:val="239"/>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Date: August 12, 2021</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Andrea Corcoran</w:t>
            </w:r>
          </w:p>
        </w:tc>
      </w:tr>
      <w:tr>
        <w:trPr>
          <w:trHeight w:val="222"/>
        </w:trPr>
        <w:tc>
          <w:tcPr>
            <w:tcW w:w="3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9"/>
              </w:rPr>
              <w:t>Andrea Corcoran</w:t>
            </w:r>
          </w:p>
        </w:tc>
      </w:tr>
    </w:tbl>
    <w:p>
      <w:pPr>
        <w:jc w:val="center"/>
        <w:ind w:left="6000"/>
        <w:spacing w:after="0" w:line="234" w:lineRule="auto"/>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00"/>
        <w:spacing w:after="0" w:line="235" w:lineRule="auto"/>
        <w:rPr>
          <w:sz w:val="20"/>
          <w:szCs w:val="20"/>
          <w:color w:val="auto"/>
        </w:rPr>
      </w:pPr>
      <w:r>
        <w:rPr>
          <w:rFonts w:ascii="Arial" w:cs="Arial" w:eastAsia="Arial" w:hAnsi="Arial"/>
          <w:sz w:val="18"/>
          <w:szCs w:val="18"/>
          <w:b w:val="1"/>
          <w:bCs w:val="1"/>
          <w:color w:val="auto"/>
        </w:rPr>
        <w:t>Secretary</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333" w:right="339" w:bottom="1440" w:gutter="0" w:footer="0" w:header="0"/>
        </w:sectPr>
      </w:pPr>
    </w:p>
    <w:bookmarkStart w:id="89" w:name="page90"/>
    <w:bookmarkEnd w:id="89"/>
    <w:p>
      <w:pPr>
        <w:ind w:left="10140"/>
        <w:spacing w:after="0"/>
        <w:rPr>
          <w:sz w:val="20"/>
          <w:szCs w:val="20"/>
          <w:color w:val="auto"/>
        </w:rPr>
      </w:pPr>
      <w:r>
        <w:rPr>
          <w:rFonts w:ascii="Arial" w:cs="Arial" w:eastAsia="Arial" w:hAnsi="Arial"/>
          <w:sz w:val="17"/>
          <w:szCs w:val="17"/>
          <w:b w:val="1"/>
          <w:bCs w:val="1"/>
          <w:color w:val="auto"/>
        </w:rPr>
        <w:t>EXHIBIT 10.3</w:t>
      </w:r>
    </w:p>
    <w:p>
      <w:pPr>
        <w:spacing w:after="0" w:line="2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CONFIDENTIAL INFORMATION CONTAINED IN THIS DOCUMENT, MARKED WITH [***], HAS BEEN EXCLUDED PURSUANT TO REGULATION S-K, ITEM 601(B)(10). SUCH EXCLUDED INFORMATION IS NOT MATERIAL AND WOULD LIKELY CAUSE COMPETITIVE HARM TO THE REGISTRANT IF PUBLICLY DISCLOSED.</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Execution Version</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is entered into with effect as of the Effective Date (as defined below)</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between</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Hoffmann-La Roche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with an office and place of business at Grenzacherstrasse 124, 4070 Basel, Switzerland (“</w:t>
      </w:r>
      <w:r>
        <w:rPr>
          <w:rFonts w:ascii="Arial" w:cs="Arial" w:eastAsia="Arial" w:hAnsi="Arial"/>
          <w:sz w:val="20"/>
          <w:szCs w:val="20"/>
          <w:b w:val="1"/>
          <w:bCs w:val="1"/>
          <w:color w:val="auto"/>
        </w:rPr>
        <w:t>Roche Basel</w:t>
      </w:r>
      <w:r>
        <w:rPr>
          <w:rFonts w:ascii="Arial" w:cs="Arial" w:eastAsia="Arial" w:hAnsi="Arial"/>
          <w:sz w:val="20"/>
          <w:szCs w:val="20"/>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Genentech, Inc.</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with an office and place of business at 1 DNA Way, South San Francisco, California 94080, U.S.A. (“</w:t>
      </w:r>
      <w:r>
        <w:rPr>
          <w:rFonts w:ascii="Arial" w:cs="Arial" w:eastAsia="Arial" w:hAnsi="Arial"/>
          <w:sz w:val="20"/>
          <w:szCs w:val="20"/>
          <w:b w:val="1"/>
          <w:bCs w:val="1"/>
          <w:color w:val="auto"/>
        </w:rPr>
        <w:t>Genentech</w:t>
      </w:r>
      <w:r>
        <w:rPr>
          <w:rFonts w:ascii="Arial" w:cs="Arial" w:eastAsia="Arial" w:hAnsi="Arial"/>
          <w:sz w:val="20"/>
          <w:szCs w:val="20"/>
          <w:color w:val="auto"/>
        </w:rPr>
        <w:t>”; Roche Basel and Genentech together referred to as “</w:t>
      </w:r>
      <w:r>
        <w:rPr>
          <w:rFonts w:ascii="Arial" w:cs="Arial" w:eastAsia="Arial" w:hAnsi="Arial"/>
          <w:sz w:val="20"/>
          <w:szCs w:val="20"/>
          <w:b w:val="1"/>
          <w:bCs w:val="1"/>
          <w:color w:val="auto"/>
        </w:rPr>
        <w:t>Roche</w:t>
      </w:r>
      <w:r>
        <w:rPr>
          <w:rFonts w:ascii="Arial" w:cs="Arial" w:eastAsia="Arial" w:hAnsi="Arial"/>
          <w:sz w:val="20"/>
          <w:szCs w:val="20"/>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on the one hand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Atea Pharmaceuticals, Inc.</w:t>
      </w:r>
    </w:p>
    <w:p>
      <w:pPr>
        <w:spacing w:after="0" w:line="94" w:lineRule="exact"/>
        <w:rPr>
          <w:sz w:val="20"/>
          <w:szCs w:val="20"/>
          <w:color w:val="auto"/>
        </w:rPr>
      </w:pPr>
    </w:p>
    <w:p>
      <w:pPr>
        <w:ind w:right="2080"/>
        <w:spacing w:after="0" w:line="370" w:lineRule="auto"/>
        <w:rPr>
          <w:sz w:val="20"/>
          <w:szCs w:val="20"/>
          <w:color w:val="auto"/>
        </w:rPr>
      </w:pPr>
      <w:r>
        <w:rPr>
          <w:rFonts w:ascii="Arial" w:cs="Arial" w:eastAsia="Arial" w:hAnsi="Arial"/>
          <w:sz w:val="20"/>
          <w:szCs w:val="20"/>
          <w:color w:val="auto"/>
        </w:rPr>
        <w:t>with an office and place of business at 125 Summer Street, Boston, Massachusetts 02110, U.S.A. (“</w:t>
      </w:r>
      <w:r>
        <w:rPr>
          <w:rFonts w:ascii="Arial" w:cs="Arial" w:eastAsia="Arial" w:hAnsi="Arial"/>
          <w:sz w:val="20"/>
          <w:szCs w:val="20"/>
          <w:b w:val="1"/>
          <w:bCs w:val="1"/>
          <w:color w:val="auto"/>
        </w:rPr>
        <w:t>Atea</w:t>
      </w:r>
      <w:r>
        <w:rPr>
          <w:rFonts w:ascii="Arial" w:cs="Arial" w:eastAsia="Arial" w:hAnsi="Arial"/>
          <w:sz w:val="20"/>
          <w:szCs w:val="20"/>
          <w:color w:val="auto"/>
        </w:rPr>
        <w:t>”)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514985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center"/>
        <w:ind w:left="832"/>
        <w:spacing w:after="0"/>
        <w:rPr>
          <w:sz w:val="20"/>
          <w:szCs w:val="20"/>
          <w:color w:val="auto"/>
        </w:rPr>
      </w:pPr>
      <w:r>
        <w:rPr>
          <w:rFonts w:ascii="Arial" w:cs="Arial" w:eastAsia="Arial" w:hAnsi="Arial"/>
          <w:sz w:val="19"/>
          <w:szCs w:val="19"/>
          <w:b w:val="1"/>
          <w:bCs w:val="1"/>
          <w:color w:val="auto"/>
        </w:rPr>
        <w:t>Table of Contents</w:t>
      </w:r>
    </w:p>
    <w:p>
      <w:pPr>
        <w:spacing w:after="0" w:line="224" w:lineRule="exact"/>
        <w:rPr>
          <w:sz w:val="20"/>
          <w:szCs w:val="20"/>
          <w:color w:val="auto"/>
        </w:rPr>
      </w:pPr>
    </w:p>
    <w:p>
      <w:pPr>
        <w:ind w:left="632" w:hanging="632"/>
        <w:spacing w:after="0"/>
        <w:tabs>
          <w:tab w:leader="none" w:pos="632" w:val="left"/>
        </w:tabs>
        <w:numPr>
          <w:ilvl w:val="0"/>
          <w:numId w:val="47"/>
        </w:numPr>
        <w:rPr>
          <w:rFonts w:ascii="Arial" w:cs="Arial" w:eastAsia="Arial" w:hAnsi="Arial"/>
          <w:sz w:val="20"/>
          <w:szCs w:val="20"/>
          <w:color w:val="auto"/>
        </w:rPr>
      </w:pPr>
      <w:r>
        <w:rPr>
          <w:rFonts w:ascii="Arial" w:cs="Arial" w:eastAsia="Arial" w:hAnsi="Arial"/>
          <w:sz w:val="20"/>
          <w:szCs w:val="20"/>
          <w:color w:val="auto"/>
        </w:rPr>
        <w:t>Definitions</w:t>
      </w:r>
    </w:p>
    <w:p>
      <w:pPr>
        <w:ind w:left="632"/>
        <w:spacing w:after="0"/>
        <w:rPr>
          <w:rFonts w:ascii="Arial" w:cs="Arial" w:eastAsia="Arial" w:hAnsi="Arial"/>
          <w:sz w:val="20"/>
          <w:szCs w:val="20"/>
          <w:color w:val="auto"/>
        </w:rPr>
      </w:pPr>
      <w:r>
        <w:rPr>
          <w:rFonts w:ascii="Arial" w:cs="Arial" w:eastAsia="Arial" w:hAnsi="Arial"/>
          <w:sz w:val="20"/>
          <w:szCs w:val="20"/>
          <w:color w:val="auto"/>
        </w:rPr>
        <w:t>1.1</w:t>
      </w:r>
      <w:r>
        <w:rPr>
          <w:rFonts w:ascii="Arial" w:cs="Arial" w:eastAsia="Arial" w:hAnsi="Arial"/>
          <w:sz w:val="19"/>
          <w:szCs w:val="19"/>
          <w:color w:val="auto"/>
        </w:rPr>
        <w:t>Accounting Standards</w:t>
      </w:r>
    </w:p>
    <w:p>
      <w:pPr>
        <w:ind w:left="632"/>
        <w:spacing w:after="0"/>
        <w:rPr>
          <w:rFonts w:ascii="Arial" w:cs="Arial" w:eastAsia="Arial" w:hAnsi="Arial"/>
          <w:sz w:val="20"/>
          <w:szCs w:val="20"/>
          <w:color w:val="auto"/>
        </w:rPr>
      </w:pPr>
      <w:r>
        <w:rPr>
          <w:rFonts w:ascii="Arial" w:cs="Arial" w:eastAsia="Arial" w:hAnsi="Arial"/>
          <w:sz w:val="20"/>
          <w:szCs w:val="20"/>
          <w:color w:val="auto"/>
        </w:rPr>
        <w:t>1.2</w:t>
      </w:r>
      <w:r>
        <w:rPr>
          <w:rFonts w:ascii="Arial" w:cs="Arial" w:eastAsia="Arial" w:hAnsi="Arial"/>
          <w:sz w:val="19"/>
          <w:szCs w:val="19"/>
          <w:color w:val="auto"/>
        </w:rPr>
        <w:t>Affiliate</w:t>
      </w:r>
    </w:p>
    <w:p>
      <w:pPr>
        <w:ind w:left="632"/>
        <w:spacing w:after="0"/>
        <w:rPr>
          <w:rFonts w:ascii="Arial" w:cs="Arial" w:eastAsia="Arial" w:hAnsi="Arial"/>
          <w:sz w:val="20"/>
          <w:szCs w:val="20"/>
          <w:color w:val="auto"/>
        </w:rPr>
      </w:pPr>
      <w:r>
        <w:rPr>
          <w:rFonts w:ascii="Arial" w:cs="Arial" w:eastAsia="Arial" w:hAnsi="Arial"/>
          <w:sz w:val="20"/>
          <w:szCs w:val="20"/>
          <w:color w:val="auto"/>
        </w:rPr>
        <w:t>1.3</w:t>
      </w:r>
      <w:r>
        <w:rPr>
          <w:rFonts w:ascii="Arial" w:cs="Arial" w:eastAsia="Arial" w:hAnsi="Arial"/>
          <w:sz w:val="19"/>
          <w:szCs w:val="19"/>
          <w:color w:val="auto"/>
        </w:rPr>
        <w:t>Agreement</w:t>
      </w:r>
    </w:p>
    <w:p>
      <w:pPr>
        <w:ind w:left="632"/>
        <w:spacing w:after="0"/>
        <w:rPr>
          <w:rFonts w:ascii="Arial" w:cs="Arial" w:eastAsia="Arial" w:hAnsi="Arial"/>
          <w:sz w:val="20"/>
          <w:szCs w:val="20"/>
          <w:color w:val="auto"/>
        </w:rPr>
      </w:pPr>
      <w:r>
        <w:rPr>
          <w:rFonts w:ascii="Arial" w:cs="Arial" w:eastAsia="Arial" w:hAnsi="Arial"/>
          <w:sz w:val="20"/>
          <w:szCs w:val="20"/>
          <w:color w:val="auto"/>
        </w:rPr>
        <w:t>1.4</w:t>
      </w:r>
      <w:r>
        <w:rPr>
          <w:rFonts w:ascii="Arial" w:cs="Arial" w:eastAsia="Arial" w:hAnsi="Arial"/>
          <w:sz w:val="19"/>
          <w:szCs w:val="19"/>
          <w:color w:val="auto"/>
        </w:rPr>
        <w:t>Agreement Term</w:t>
      </w:r>
    </w:p>
    <w:p>
      <w:pPr>
        <w:ind w:left="632"/>
        <w:spacing w:after="0"/>
        <w:rPr>
          <w:rFonts w:ascii="Arial" w:cs="Arial" w:eastAsia="Arial" w:hAnsi="Arial"/>
          <w:sz w:val="20"/>
          <w:szCs w:val="20"/>
          <w:color w:val="auto"/>
        </w:rPr>
      </w:pPr>
      <w:r>
        <w:rPr>
          <w:rFonts w:ascii="Arial" w:cs="Arial" w:eastAsia="Arial" w:hAnsi="Arial"/>
          <w:sz w:val="20"/>
          <w:szCs w:val="20"/>
          <w:color w:val="auto"/>
        </w:rPr>
        <w:t>1.5</w:t>
      </w:r>
      <w:r>
        <w:rPr>
          <w:rFonts w:ascii="Arial" w:cs="Arial" w:eastAsia="Arial" w:hAnsi="Arial"/>
          <w:sz w:val="19"/>
          <w:szCs w:val="19"/>
          <w:color w:val="auto"/>
        </w:rPr>
        <w:t>API</w:t>
      </w:r>
    </w:p>
    <w:p>
      <w:pPr>
        <w:ind w:left="632"/>
        <w:spacing w:after="0"/>
        <w:rPr>
          <w:rFonts w:ascii="Arial" w:cs="Arial" w:eastAsia="Arial" w:hAnsi="Arial"/>
          <w:sz w:val="20"/>
          <w:szCs w:val="20"/>
          <w:color w:val="auto"/>
        </w:rPr>
      </w:pPr>
      <w:r>
        <w:rPr>
          <w:rFonts w:ascii="Arial" w:cs="Arial" w:eastAsia="Arial" w:hAnsi="Arial"/>
          <w:sz w:val="20"/>
          <w:szCs w:val="20"/>
          <w:color w:val="auto"/>
        </w:rPr>
        <w:t>1.6</w:t>
      </w:r>
      <w:r>
        <w:rPr>
          <w:rFonts w:ascii="Arial" w:cs="Arial" w:eastAsia="Arial" w:hAnsi="Arial"/>
          <w:sz w:val="19"/>
          <w:szCs w:val="19"/>
          <w:color w:val="auto"/>
        </w:rPr>
        <w:t>Applicable Law</w:t>
      </w:r>
    </w:p>
    <w:p>
      <w:pPr>
        <w:ind w:left="632"/>
        <w:spacing w:after="0"/>
        <w:rPr>
          <w:rFonts w:ascii="Arial" w:cs="Arial" w:eastAsia="Arial" w:hAnsi="Arial"/>
          <w:sz w:val="20"/>
          <w:szCs w:val="20"/>
          <w:color w:val="auto"/>
        </w:rPr>
      </w:pPr>
      <w:r>
        <w:rPr>
          <w:rFonts w:ascii="Arial" w:cs="Arial" w:eastAsia="Arial" w:hAnsi="Arial"/>
          <w:sz w:val="20"/>
          <w:szCs w:val="20"/>
          <w:color w:val="auto"/>
        </w:rPr>
        <w:t>1.7</w:t>
      </w:r>
      <w:r>
        <w:rPr>
          <w:rFonts w:ascii="Arial" w:cs="Arial" w:eastAsia="Arial" w:hAnsi="Arial"/>
          <w:sz w:val="19"/>
          <w:szCs w:val="19"/>
          <w:color w:val="auto"/>
        </w:rPr>
        <w:t>Atea Base Patent Rights</w:t>
      </w:r>
    </w:p>
    <w:p>
      <w:pPr>
        <w:ind w:left="632"/>
        <w:spacing w:after="0"/>
        <w:rPr>
          <w:rFonts w:ascii="Arial" w:cs="Arial" w:eastAsia="Arial" w:hAnsi="Arial"/>
          <w:sz w:val="20"/>
          <w:szCs w:val="20"/>
          <w:color w:val="auto"/>
        </w:rPr>
      </w:pPr>
      <w:r>
        <w:rPr>
          <w:rFonts w:ascii="Arial" w:cs="Arial" w:eastAsia="Arial" w:hAnsi="Arial"/>
          <w:sz w:val="20"/>
          <w:szCs w:val="20"/>
          <w:color w:val="auto"/>
        </w:rPr>
        <w:t>1.8</w:t>
      </w:r>
      <w:r>
        <w:rPr>
          <w:rFonts w:ascii="Arial" w:cs="Arial" w:eastAsia="Arial" w:hAnsi="Arial"/>
          <w:sz w:val="19"/>
          <w:szCs w:val="19"/>
          <w:color w:val="auto"/>
        </w:rPr>
        <w:t>Atea Know-How</w:t>
      </w:r>
    </w:p>
    <w:p>
      <w:pPr>
        <w:ind w:left="632"/>
        <w:spacing w:after="0"/>
        <w:rPr>
          <w:rFonts w:ascii="Arial" w:cs="Arial" w:eastAsia="Arial" w:hAnsi="Arial"/>
          <w:sz w:val="20"/>
          <w:szCs w:val="20"/>
          <w:color w:val="auto"/>
        </w:rPr>
      </w:pPr>
      <w:r>
        <w:rPr>
          <w:rFonts w:ascii="Arial" w:cs="Arial" w:eastAsia="Arial" w:hAnsi="Arial"/>
          <w:sz w:val="20"/>
          <w:szCs w:val="20"/>
          <w:color w:val="auto"/>
        </w:rPr>
        <w:t>1.9</w:t>
      </w:r>
      <w:r>
        <w:rPr>
          <w:rFonts w:ascii="Arial" w:cs="Arial" w:eastAsia="Arial" w:hAnsi="Arial"/>
          <w:sz w:val="19"/>
          <w:szCs w:val="19"/>
          <w:color w:val="auto"/>
        </w:rPr>
        <w:t>Atea Ongoing Studies</w:t>
      </w:r>
    </w:p>
    <w:p>
      <w:pPr>
        <w:ind w:left="632"/>
        <w:spacing w:after="0"/>
        <w:rPr>
          <w:rFonts w:ascii="Arial" w:cs="Arial" w:eastAsia="Arial" w:hAnsi="Arial"/>
          <w:sz w:val="20"/>
          <w:szCs w:val="20"/>
          <w:color w:val="auto"/>
        </w:rPr>
      </w:pPr>
      <w:r>
        <w:rPr>
          <w:rFonts w:ascii="Arial" w:cs="Arial" w:eastAsia="Arial" w:hAnsi="Arial"/>
          <w:sz w:val="20"/>
          <w:szCs w:val="20"/>
          <w:color w:val="auto"/>
        </w:rPr>
        <w:t>1.10</w:t>
      </w:r>
      <w:r>
        <w:rPr>
          <w:rFonts w:ascii="Arial" w:cs="Arial" w:eastAsia="Arial" w:hAnsi="Arial"/>
          <w:sz w:val="19"/>
          <w:szCs w:val="19"/>
          <w:color w:val="auto"/>
        </w:rPr>
        <w:t>Atea Patent Rights</w:t>
      </w:r>
    </w:p>
    <w:p>
      <w:pPr>
        <w:ind w:left="632"/>
        <w:spacing w:after="0"/>
        <w:rPr>
          <w:rFonts w:ascii="Arial" w:cs="Arial" w:eastAsia="Arial" w:hAnsi="Arial"/>
          <w:sz w:val="20"/>
          <w:szCs w:val="20"/>
          <w:color w:val="auto"/>
        </w:rPr>
      </w:pPr>
      <w:r>
        <w:rPr>
          <w:rFonts w:ascii="Arial" w:cs="Arial" w:eastAsia="Arial" w:hAnsi="Arial"/>
          <w:sz w:val="20"/>
          <w:szCs w:val="20"/>
          <w:color w:val="auto"/>
        </w:rPr>
        <w:t>1.11</w:t>
      </w:r>
      <w:r>
        <w:rPr>
          <w:rFonts w:ascii="Arial" w:cs="Arial" w:eastAsia="Arial" w:hAnsi="Arial"/>
          <w:sz w:val="19"/>
          <w:szCs w:val="19"/>
          <w:color w:val="auto"/>
        </w:rPr>
        <w:t>Atea Territory</w:t>
      </w:r>
    </w:p>
    <w:p>
      <w:pPr>
        <w:ind w:left="632"/>
        <w:spacing w:after="0"/>
        <w:rPr>
          <w:rFonts w:ascii="Arial" w:cs="Arial" w:eastAsia="Arial" w:hAnsi="Arial"/>
          <w:sz w:val="20"/>
          <w:szCs w:val="20"/>
          <w:color w:val="auto"/>
        </w:rPr>
      </w:pPr>
      <w:r>
        <w:rPr>
          <w:rFonts w:ascii="Arial" w:cs="Arial" w:eastAsia="Arial" w:hAnsi="Arial"/>
          <w:sz w:val="20"/>
          <w:szCs w:val="20"/>
          <w:color w:val="auto"/>
        </w:rPr>
        <w:t>1.12</w:t>
      </w:r>
      <w:r>
        <w:rPr>
          <w:rFonts w:ascii="Arial" w:cs="Arial" w:eastAsia="Arial" w:hAnsi="Arial"/>
          <w:sz w:val="19"/>
          <w:szCs w:val="19"/>
          <w:color w:val="auto"/>
        </w:rPr>
        <w:t>Back-Up Compound</w:t>
      </w:r>
    </w:p>
    <w:p>
      <w:pPr>
        <w:ind w:left="632"/>
        <w:spacing w:after="0"/>
        <w:rPr>
          <w:rFonts w:ascii="Arial" w:cs="Arial" w:eastAsia="Arial" w:hAnsi="Arial"/>
          <w:sz w:val="20"/>
          <w:szCs w:val="20"/>
          <w:color w:val="auto"/>
        </w:rPr>
      </w:pPr>
      <w:r>
        <w:rPr>
          <w:rFonts w:ascii="Arial" w:cs="Arial" w:eastAsia="Arial" w:hAnsi="Arial"/>
          <w:sz w:val="20"/>
          <w:szCs w:val="20"/>
          <w:color w:val="auto"/>
        </w:rPr>
        <w:t>1.13</w:t>
      </w:r>
      <w:r>
        <w:rPr>
          <w:rFonts w:ascii="Arial" w:cs="Arial" w:eastAsia="Arial" w:hAnsi="Arial"/>
          <w:sz w:val="19"/>
          <w:szCs w:val="19"/>
          <w:color w:val="auto"/>
        </w:rPr>
        <w:t>Calendar Quarter</w:t>
      </w:r>
    </w:p>
    <w:p>
      <w:pPr>
        <w:ind w:left="632"/>
        <w:spacing w:after="0"/>
        <w:rPr>
          <w:rFonts w:ascii="Arial" w:cs="Arial" w:eastAsia="Arial" w:hAnsi="Arial"/>
          <w:sz w:val="20"/>
          <w:szCs w:val="20"/>
          <w:color w:val="auto"/>
        </w:rPr>
      </w:pPr>
      <w:r>
        <w:rPr>
          <w:rFonts w:ascii="Arial" w:cs="Arial" w:eastAsia="Arial" w:hAnsi="Arial"/>
          <w:sz w:val="20"/>
          <w:szCs w:val="20"/>
          <w:color w:val="auto"/>
        </w:rPr>
        <w:t>1.14</w:t>
      </w:r>
      <w:r>
        <w:rPr>
          <w:rFonts w:ascii="Arial" w:cs="Arial" w:eastAsia="Arial" w:hAnsi="Arial"/>
          <w:sz w:val="19"/>
          <w:szCs w:val="19"/>
          <w:color w:val="auto"/>
        </w:rPr>
        <w:t>Calendar Year</w:t>
      </w:r>
    </w:p>
    <w:p>
      <w:pPr>
        <w:ind w:left="632"/>
        <w:spacing w:after="0"/>
        <w:rPr>
          <w:rFonts w:ascii="Arial" w:cs="Arial" w:eastAsia="Arial" w:hAnsi="Arial"/>
          <w:sz w:val="20"/>
          <w:szCs w:val="20"/>
          <w:color w:val="auto"/>
        </w:rPr>
      </w:pPr>
      <w:r>
        <w:rPr>
          <w:rFonts w:ascii="Arial" w:cs="Arial" w:eastAsia="Arial" w:hAnsi="Arial"/>
          <w:sz w:val="20"/>
          <w:szCs w:val="20"/>
          <w:color w:val="auto"/>
        </w:rPr>
        <w:t>1.15</w:t>
      </w:r>
      <w:r>
        <w:rPr>
          <w:rFonts w:ascii="Arial" w:cs="Arial" w:eastAsia="Arial" w:hAnsi="Arial"/>
          <w:sz w:val="19"/>
          <w:szCs w:val="19"/>
          <w:color w:val="auto"/>
        </w:rPr>
        <w:t>cGMP</w:t>
      </w:r>
    </w:p>
    <w:p>
      <w:pPr>
        <w:ind w:left="632"/>
        <w:spacing w:after="0"/>
        <w:rPr>
          <w:rFonts w:ascii="Arial" w:cs="Arial" w:eastAsia="Arial" w:hAnsi="Arial"/>
          <w:sz w:val="20"/>
          <w:szCs w:val="20"/>
          <w:color w:val="auto"/>
        </w:rPr>
      </w:pPr>
      <w:r>
        <w:rPr>
          <w:rFonts w:ascii="Arial" w:cs="Arial" w:eastAsia="Arial" w:hAnsi="Arial"/>
          <w:sz w:val="20"/>
          <w:szCs w:val="20"/>
          <w:color w:val="auto"/>
        </w:rPr>
        <w:t>1.16</w:t>
      </w:r>
      <w:r>
        <w:rPr>
          <w:rFonts w:ascii="Arial" w:cs="Arial" w:eastAsia="Arial" w:hAnsi="Arial"/>
          <w:sz w:val="19"/>
          <w:szCs w:val="19"/>
          <w:color w:val="auto"/>
        </w:rPr>
        <w:t>Change of Control</w:t>
      </w:r>
    </w:p>
    <w:p>
      <w:pPr>
        <w:ind w:left="632"/>
        <w:spacing w:after="0"/>
        <w:rPr>
          <w:rFonts w:ascii="Arial" w:cs="Arial" w:eastAsia="Arial" w:hAnsi="Arial"/>
          <w:sz w:val="20"/>
          <w:szCs w:val="20"/>
          <w:color w:val="auto"/>
        </w:rPr>
      </w:pPr>
      <w:r>
        <w:rPr>
          <w:rFonts w:ascii="Arial" w:cs="Arial" w:eastAsia="Arial" w:hAnsi="Arial"/>
          <w:sz w:val="20"/>
          <w:szCs w:val="20"/>
          <w:color w:val="auto"/>
        </w:rPr>
        <w:t>1.17</w:t>
      </w:r>
      <w:r>
        <w:rPr>
          <w:rFonts w:ascii="Arial" w:cs="Arial" w:eastAsia="Arial" w:hAnsi="Arial"/>
          <w:sz w:val="19"/>
          <w:szCs w:val="19"/>
          <w:color w:val="auto"/>
        </w:rPr>
        <w:t>Change of Control Group</w:t>
      </w:r>
    </w:p>
    <w:p>
      <w:pPr>
        <w:ind w:left="632"/>
        <w:spacing w:after="0"/>
        <w:rPr>
          <w:rFonts w:ascii="Arial" w:cs="Arial" w:eastAsia="Arial" w:hAnsi="Arial"/>
          <w:sz w:val="20"/>
          <w:szCs w:val="20"/>
          <w:color w:val="auto"/>
        </w:rPr>
      </w:pPr>
      <w:r>
        <w:rPr>
          <w:rFonts w:ascii="Arial" w:cs="Arial" w:eastAsia="Arial" w:hAnsi="Arial"/>
          <w:sz w:val="20"/>
          <w:szCs w:val="20"/>
          <w:color w:val="auto"/>
        </w:rPr>
        <w:t>1.18</w:t>
      </w:r>
      <w:r>
        <w:rPr>
          <w:rFonts w:ascii="Arial" w:cs="Arial" w:eastAsia="Arial" w:hAnsi="Arial"/>
          <w:sz w:val="19"/>
          <w:szCs w:val="19"/>
          <w:color w:val="auto"/>
        </w:rPr>
        <w:t>Clinical Study</w:t>
      </w:r>
    </w:p>
    <w:p>
      <w:pPr>
        <w:ind w:left="632"/>
        <w:spacing w:after="0"/>
        <w:rPr>
          <w:rFonts w:ascii="Arial" w:cs="Arial" w:eastAsia="Arial" w:hAnsi="Arial"/>
          <w:sz w:val="20"/>
          <w:szCs w:val="20"/>
          <w:color w:val="auto"/>
        </w:rPr>
      </w:pPr>
      <w:r>
        <w:rPr>
          <w:rFonts w:ascii="Arial" w:cs="Arial" w:eastAsia="Arial" w:hAnsi="Arial"/>
          <w:sz w:val="20"/>
          <w:szCs w:val="20"/>
          <w:color w:val="auto"/>
        </w:rPr>
        <w:t>1.19</w:t>
      </w:r>
      <w:r>
        <w:rPr>
          <w:rFonts w:ascii="Arial" w:cs="Arial" w:eastAsia="Arial" w:hAnsi="Arial"/>
          <w:sz w:val="19"/>
          <w:szCs w:val="19"/>
          <w:color w:val="auto"/>
        </w:rPr>
        <w:t>CMO</w:t>
      </w:r>
    </w:p>
    <w:p>
      <w:pPr>
        <w:ind w:left="632"/>
        <w:spacing w:after="0"/>
        <w:rPr>
          <w:rFonts w:ascii="Arial" w:cs="Arial" w:eastAsia="Arial" w:hAnsi="Arial"/>
          <w:sz w:val="20"/>
          <w:szCs w:val="20"/>
          <w:color w:val="auto"/>
        </w:rPr>
      </w:pPr>
      <w:r>
        <w:rPr>
          <w:rFonts w:ascii="Arial" w:cs="Arial" w:eastAsia="Arial" w:hAnsi="Arial"/>
          <w:sz w:val="20"/>
          <w:szCs w:val="20"/>
          <w:color w:val="auto"/>
        </w:rPr>
        <w:t>1.20</w:t>
      </w:r>
      <w:r>
        <w:rPr>
          <w:rFonts w:ascii="Arial" w:cs="Arial" w:eastAsia="Arial" w:hAnsi="Arial"/>
          <w:sz w:val="19"/>
          <w:szCs w:val="19"/>
          <w:color w:val="auto"/>
        </w:rPr>
        <w:t>Combination Product</w:t>
      </w:r>
    </w:p>
    <w:p>
      <w:pPr>
        <w:ind w:left="632"/>
        <w:spacing w:after="0"/>
        <w:rPr>
          <w:rFonts w:ascii="Arial" w:cs="Arial" w:eastAsia="Arial" w:hAnsi="Arial"/>
          <w:sz w:val="20"/>
          <w:szCs w:val="20"/>
          <w:color w:val="auto"/>
        </w:rPr>
      </w:pPr>
      <w:r>
        <w:rPr>
          <w:rFonts w:ascii="Arial" w:cs="Arial" w:eastAsia="Arial" w:hAnsi="Arial"/>
          <w:sz w:val="20"/>
          <w:szCs w:val="20"/>
          <w:color w:val="auto"/>
        </w:rPr>
        <w:t>1.21</w:t>
      </w:r>
      <w:r>
        <w:rPr>
          <w:rFonts w:ascii="Arial" w:cs="Arial" w:eastAsia="Arial" w:hAnsi="Arial"/>
          <w:sz w:val="19"/>
          <w:szCs w:val="19"/>
          <w:color w:val="auto"/>
        </w:rPr>
        <w:t>Commercially Reasonable Efforts</w:t>
      </w:r>
    </w:p>
    <w:p>
      <w:pPr>
        <w:ind w:left="632"/>
        <w:spacing w:after="0"/>
        <w:rPr>
          <w:rFonts w:ascii="Arial" w:cs="Arial" w:eastAsia="Arial" w:hAnsi="Arial"/>
          <w:sz w:val="20"/>
          <w:szCs w:val="20"/>
          <w:color w:val="auto"/>
        </w:rPr>
      </w:pPr>
      <w:r>
        <w:rPr>
          <w:rFonts w:ascii="Arial" w:cs="Arial" w:eastAsia="Arial" w:hAnsi="Arial"/>
          <w:sz w:val="20"/>
          <w:szCs w:val="20"/>
          <w:color w:val="auto"/>
        </w:rPr>
        <w:t>1.22</w:t>
      </w:r>
      <w:r>
        <w:rPr>
          <w:rFonts w:ascii="Arial" w:cs="Arial" w:eastAsia="Arial" w:hAnsi="Arial"/>
          <w:sz w:val="19"/>
          <w:szCs w:val="19"/>
          <w:color w:val="auto"/>
        </w:rPr>
        <w:t>Companion Diagnostic</w:t>
      </w:r>
    </w:p>
    <w:p>
      <w:pPr>
        <w:ind w:left="632"/>
        <w:spacing w:after="0"/>
        <w:rPr>
          <w:rFonts w:ascii="Arial" w:cs="Arial" w:eastAsia="Arial" w:hAnsi="Arial"/>
          <w:sz w:val="20"/>
          <w:szCs w:val="20"/>
          <w:color w:val="auto"/>
        </w:rPr>
      </w:pPr>
      <w:r>
        <w:rPr>
          <w:rFonts w:ascii="Arial" w:cs="Arial" w:eastAsia="Arial" w:hAnsi="Arial"/>
          <w:sz w:val="20"/>
          <w:szCs w:val="20"/>
          <w:color w:val="auto"/>
        </w:rPr>
        <w:t>1.23</w:t>
      </w:r>
      <w:r>
        <w:rPr>
          <w:rFonts w:ascii="Arial" w:cs="Arial" w:eastAsia="Arial" w:hAnsi="Arial"/>
          <w:sz w:val="19"/>
          <w:szCs w:val="19"/>
          <w:color w:val="auto"/>
        </w:rPr>
        <w:t>Completion</w:t>
      </w:r>
    </w:p>
    <w:p>
      <w:pPr>
        <w:ind w:left="632"/>
        <w:spacing w:after="0"/>
        <w:rPr>
          <w:rFonts w:ascii="Arial" w:cs="Arial" w:eastAsia="Arial" w:hAnsi="Arial"/>
          <w:sz w:val="20"/>
          <w:szCs w:val="20"/>
          <w:color w:val="auto"/>
        </w:rPr>
      </w:pPr>
      <w:r>
        <w:rPr>
          <w:rFonts w:ascii="Arial" w:cs="Arial" w:eastAsia="Arial" w:hAnsi="Arial"/>
          <w:sz w:val="20"/>
          <w:szCs w:val="20"/>
          <w:color w:val="auto"/>
        </w:rPr>
        <w:t>1.24</w:t>
      </w:r>
      <w:r>
        <w:rPr>
          <w:rFonts w:ascii="Arial" w:cs="Arial" w:eastAsia="Arial" w:hAnsi="Arial"/>
          <w:sz w:val="19"/>
          <w:szCs w:val="19"/>
          <w:color w:val="auto"/>
        </w:rPr>
        <w:t>Composition of Matter Claim</w:t>
      </w:r>
    </w:p>
    <w:p>
      <w:pPr>
        <w:ind w:left="632"/>
        <w:spacing w:after="0"/>
        <w:rPr>
          <w:rFonts w:ascii="Arial" w:cs="Arial" w:eastAsia="Arial" w:hAnsi="Arial"/>
          <w:sz w:val="20"/>
          <w:szCs w:val="20"/>
          <w:color w:val="auto"/>
        </w:rPr>
      </w:pPr>
      <w:r>
        <w:rPr>
          <w:rFonts w:ascii="Arial" w:cs="Arial" w:eastAsia="Arial" w:hAnsi="Arial"/>
          <w:sz w:val="20"/>
          <w:szCs w:val="20"/>
          <w:color w:val="auto"/>
        </w:rPr>
        <w:t>1.25</w:t>
      </w:r>
      <w:r>
        <w:rPr>
          <w:rFonts w:ascii="Arial" w:cs="Arial" w:eastAsia="Arial" w:hAnsi="Arial"/>
          <w:sz w:val="19"/>
          <w:szCs w:val="19"/>
          <w:color w:val="auto"/>
        </w:rPr>
        <w:t>Compound</w:t>
      </w:r>
    </w:p>
    <w:p>
      <w:pPr>
        <w:ind w:left="632"/>
        <w:spacing w:after="0"/>
        <w:rPr>
          <w:rFonts w:ascii="Arial" w:cs="Arial" w:eastAsia="Arial" w:hAnsi="Arial"/>
          <w:sz w:val="20"/>
          <w:szCs w:val="20"/>
          <w:color w:val="auto"/>
        </w:rPr>
      </w:pPr>
      <w:r>
        <w:rPr>
          <w:rFonts w:ascii="Arial" w:cs="Arial" w:eastAsia="Arial" w:hAnsi="Arial"/>
          <w:sz w:val="20"/>
          <w:szCs w:val="20"/>
          <w:color w:val="auto"/>
        </w:rPr>
        <w:t>1.26</w:t>
      </w:r>
      <w:r>
        <w:rPr>
          <w:rFonts w:ascii="Arial" w:cs="Arial" w:eastAsia="Arial" w:hAnsi="Arial"/>
          <w:sz w:val="19"/>
          <w:szCs w:val="19"/>
          <w:color w:val="auto"/>
        </w:rPr>
        <w:t>Compulsory Sublicense Compensation</w:t>
      </w:r>
    </w:p>
    <w:p>
      <w:pPr>
        <w:ind w:left="632"/>
        <w:spacing w:after="0"/>
        <w:rPr>
          <w:rFonts w:ascii="Arial" w:cs="Arial" w:eastAsia="Arial" w:hAnsi="Arial"/>
          <w:sz w:val="20"/>
          <w:szCs w:val="20"/>
          <w:color w:val="auto"/>
        </w:rPr>
      </w:pPr>
      <w:r>
        <w:rPr>
          <w:rFonts w:ascii="Arial" w:cs="Arial" w:eastAsia="Arial" w:hAnsi="Arial"/>
          <w:sz w:val="20"/>
          <w:szCs w:val="20"/>
          <w:color w:val="auto"/>
        </w:rPr>
        <w:t>1.27</w:t>
      </w:r>
      <w:r>
        <w:rPr>
          <w:rFonts w:ascii="Arial" w:cs="Arial" w:eastAsia="Arial" w:hAnsi="Arial"/>
          <w:sz w:val="19"/>
          <w:szCs w:val="19"/>
          <w:color w:val="auto"/>
        </w:rPr>
        <w:t>Confidential Information</w:t>
      </w:r>
    </w:p>
    <w:p>
      <w:pPr>
        <w:ind w:left="632"/>
        <w:spacing w:after="0"/>
        <w:rPr>
          <w:rFonts w:ascii="Arial" w:cs="Arial" w:eastAsia="Arial" w:hAnsi="Arial"/>
          <w:sz w:val="20"/>
          <w:szCs w:val="20"/>
          <w:color w:val="auto"/>
        </w:rPr>
      </w:pPr>
      <w:r>
        <w:rPr>
          <w:rFonts w:ascii="Arial" w:cs="Arial" w:eastAsia="Arial" w:hAnsi="Arial"/>
          <w:sz w:val="20"/>
          <w:szCs w:val="20"/>
          <w:color w:val="auto"/>
        </w:rPr>
        <w:t>1.28</w:t>
      </w:r>
      <w:r>
        <w:rPr>
          <w:rFonts w:ascii="Arial" w:cs="Arial" w:eastAsia="Arial" w:hAnsi="Arial"/>
          <w:sz w:val="19"/>
          <w:szCs w:val="19"/>
          <w:color w:val="auto"/>
        </w:rPr>
        <w:t>Continuation Election Notice</w:t>
      </w:r>
    </w:p>
    <w:p>
      <w:pPr>
        <w:ind w:left="632"/>
        <w:spacing w:after="0"/>
        <w:rPr>
          <w:rFonts w:ascii="Arial" w:cs="Arial" w:eastAsia="Arial" w:hAnsi="Arial"/>
          <w:sz w:val="20"/>
          <w:szCs w:val="20"/>
          <w:color w:val="auto"/>
        </w:rPr>
      </w:pPr>
      <w:r>
        <w:rPr>
          <w:rFonts w:ascii="Arial" w:cs="Arial" w:eastAsia="Arial" w:hAnsi="Arial"/>
          <w:sz w:val="20"/>
          <w:szCs w:val="20"/>
          <w:color w:val="auto"/>
        </w:rPr>
        <w:t>1.29</w:t>
      </w:r>
      <w:r>
        <w:rPr>
          <w:rFonts w:ascii="Arial" w:cs="Arial" w:eastAsia="Arial" w:hAnsi="Arial"/>
          <w:sz w:val="19"/>
          <w:szCs w:val="19"/>
          <w:color w:val="auto"/>
        </w:rPr>
        <w:t>Control</w:t>
      </w:r>
    </w:p>
    <w:p>
      <w:pPr>
        <w:ind w:left="632"/>
        <w:spacing w:after="0"/>
        <w:rPr>
          <w:rFonts w:ascii="Arial" w:cs="Arial" w:eastAsia="Arial" w:hAnsi="Arial"/>
          <w:sz w:val="20"/>
          <w:szCs w:val="20"/>
          <w:color w:val="auto"/>
        </w:rPr>
      </w:pPr>
      <w:r>
        <w:rPr>
          <w:rFonts w:ascii="Arial" w:cs="Arial" w:eastAsia="Arial" w:hAnsi="Arial"/>
          <w:sz w:val="20"/>
          <w:szCs w:val="20"/>
          <w:color w:val="auto"/>
        </w:rPr>
        <w:t>1.30</w:t>
      </w:r>
      <w:r>
        <w:rPr>
          <w:rFonts w:ascii="Arial" w:cs="Arial" w:eastAsia="Arial" w:hAnsi="Arial"/>
          <w:sz w:val="19"/>
          <w:szCs w:val="19"/>
          <w:color w:val="auto"/>
        </w:rPr>
        <w:t>Cover</w:t>
      </w:r>
    </w:p>
    <w:p>
      <w:pPr>
        <w:ind w:left="632"/>
        <w:spacing w:after="0"/>
        <w:rPr>
          <w:rFonts w:ascii="Arial" w:cs="Arial" w:eastAsia="Arial" w:hAnsi="Arial"/>
          <w:sz w:val="20"/>
          <w:szCs w:val="20"/>
          <w:color w:val="auto"/>
        </w:rPr>
      </w:pPr>
      <w:r>
        <w:rPr>
          <w:rFonts w:ascii="Arial" w:cs="Arial" w:eastAsia="Arial" w:hAnsi="Arial"/>
          <w:sz w:val="20"/>
          <w:szCs w:val="20"/>
          <w:color w:val="auto"/>
        </w:rPr>
        <w:t>1.31</w:t>
      </w:r>
      <w:r>
        <w:rPr>
          <w:rFonts w:ascii="Arial" w:cs="Arial" w:eastAsia="Arial" w:hAnsi="Arial"/>
          <w:sz w:val="19"/>
          <w:szCs w:val="19"/>
          <w:color w:val="auto"/>
        </w:rPr>
        <w:t>COVID19</w:t>
      </w:r>
    </w:p>
    <w:p>
      <w:pPr>
        <w:ind w:left="632"/>
        <w:spacing w:after="0"/>
        <w:rPr>
          <w:rFonts w:ascii="Arial" w:cs="Arial" w:eastAsia="Arial" w:hAnsi="Arial"/>
          <w:sz w:val="20"/>
          <w:szCs w:val="20"/>
          <w:color w:val="auto"/>
        </w:rPr>
      </w:pPr>
      <w:r>
        <w:rPr>
          <w:rFonts w:ascii="Arial" w:cs="Arial" w:eastAsia="Arial" w:hAnsi="Arial"/>
          <w:sz w:val="20"/>
          <w:szCs w:val="20"/>
          <w:color w:val="auto"/>
        </w:rPr>
        <w:t>1.32</w:t>
      </w:r>
      <w:r>
        <w:rPr>
          <w:rFonts w:ascii="Arial" w:cs="Arial" w:eastAsia="Arial" w:hAnsi="Arial"/>
          <w:sz w:val="19"/>
          <w:szCs w:val="19"/>
          <w:color w:val="auto"/>
        </w:rPr>
        <w:t>Drug Product</w:t>
      </w:r>
    </w:p>
    <w:p>
      <w:pPr>
        <w:ind w:left="632"/>
        <w:spacing w:after="0"/>
        <w:rPr>
          <w:rFonts w:ascii="Arial" w:cs="Arial" w:eastAsia="Arial" w:hAnsi="Arial"/>
          <w:sz w:val="20"/>
          <w:szCs w:val="20"/>
          <w:color w:val="auto"/>
        </w:rPr>
      </w:pPr>
      <w:r>
        <w:rPr>
          <w:rFonts w:ascii="Arial" w:cs="Arial" w:eastAsia="Arial" w:hAnsi="Arial"/>
          <w:sz w:val="20"/>
          <w:szCs w:val="20"/>
          <w:color w:val="auto"/>
        </w:rPr>
        <w:t>1.33</w:t>
      </w:r>
      <w:r>
        <w:rPr>
          <w:rFonts w:ascii="Arial" w:cs="Arial" w:eastAsia="Arial" w:hAnsi="Arial"/>
          <w:sz w:val="19"/>
          <w:szCs w:val="19"/>
          <w:color w:val="auto"/>
        </w:rPr>
        <w:t>Drug Substance</w:t>
      </w:r>
    </w:p>
    <w:p>
      <w:pPr>
        <w:ind w:left="632"/>
        <w:spacing w:after="0"/>
        <w:rPr>
          <w:rFonts w:ascii="Arial" w:cs="Arial" w:eastAsia="Arial" w:hAnsi="Arial"/>
          <w:sz w:val="20"/>
          <w:szCs w:val="20"/>
          <w:color w:val="auto"/>
        </w:rPr>
      </w:pPr>
      <w:r>
        <w:rPr>
          <w:rFonts w:ascii="Arial" w:cs="Arial" w:eastAsia="Arial" w:hAnsi="Arial"/>
          <w:sz w:val="20"/>
          <w:szCs w:val="20"/>
          <w:color w:val="auto"/>
        </w:rPr>
        <w:t>1.34</w:t>
      </w:r>
      <w:r>
        <w:rPr>
          <w:rFonts w:ascii="Arial" w:cs="Arial" w:eastAsia="Arial" w:hAnsi="Arial"/>
          <w:sz w:val="19"/>
          <w:szCs w:val="19"/>
          <w:color w:val="auto"/>
        </w:rPr>
        <w:t>Effective Date</w:t>
      </w:r>
    </w:p>
    <w:p>
      <w:pPr>
        <w:ind w:left="632"/>
        <w:spacing w:after="0"/>
        <w:rPr>
          <w:rFonts w:ascii="Arial" w:cs="Arial" w:eastAsia="Arial" w:hAnsi="Arial"/>
          <w:sz w:val="20"/>
          <w:szCs w:val="20"/>
          <w:color w:val="auto"/>
        </w:rPr>
      </w:pPr>
      <w:r>
        <w:rPr>
          <w:rFonts w:ascii="Arial" w:cs="Arial" w:eastAsia="Arial" w:hAnsi="Arial"/>
          <w:sz w:val="20"/>
          <w:szCs w:val="20"/>
          <w:color w:val="auto"/>
        </w:rPr>
        <w:t>1.35</w:t>
      </w:r>
      <w:r>
        <w:rPr>
          <w:rFonts w:ascii="Arial" w:cs="Arial" w:eastAsia="Arial" w:hAnsi="Arial"/>
          <w:sz w:val="18"/>
          <w:szCs w:val="18"/>
          <w:color w:val="auto"/>
        </w:rPr>
        <w:t>EU</w:t>
      </w:r>
    </w:p>
    <w:p>
      <w:pPr>
        <w:ind w:left="632"/>
        <w:spacing w:after="0"/>
        <w:rPr>
          <w:rFonts w:ascii="Arial" w:cs="Arial" w:eastAsia="Arial" w:hAnsi="Arial"/>
          <w:sz w:val="20"/>
          <w:szCs w:val="20"/>
          <w:color w:val="auto"/>
        </w:rPr>
      </w:pPr>
      <w:r>
        <w:rPr>
          <w:rFonts w:ascii="Arial" w:cs="Arial" w:eastAsia="Arial" w:hAnsi="Arial"/>
          <w:sz w:val="20"/>
          <w:szCs w:val="20"/>
          <w:color w:val="auto"/>
        </w:rPr>
        <w:t>1.36</w:t>
      </w:r>
      <w:r>
        <w:rPr>
          <w:rFonts w:ascii="Arial" w:cs="Arial" w:eastAsia="Arial" w:hAnsi="Arial"/>
          <w:sz w:val="19"/>
          <w:szCs w:val="19"/>
          <w:color w:val="auto"/>
        </w:rPr>
        <w:t>Excluded Claim</w:t>
      </w:r>
    </w:p>
    <w:p>
      <w:pPr>
        <w:ind w:left="632"/>
        <w:spacing w:after="0"/>
        <w:rPr>
          <w:rFonts w:ascii="Arial" w:cs="Arial" w:eastAsia="Arial" w:hAnsi="Arial"/>
          <w:sz w:val="20"/>
          <w:szCs w:val="20"/>
          <w:color w:val="auto"/>
        </w:rPr>
      </w:pPr>
      <w:r>
        <w:rPr>
          <w:rFonts w:ascii="Arial" w:cs="Arial" w:eastAsia="Arial" w:hAnsi="Arial"/>
          <w:sz w:val="20"/>
          <w:szCs w:val="20"/>
          <w:color w:val="auto"/>
        </w:rPr>
        <w:t>1.37</w:t>
      </w:r>
      <w:r>
        <w:rPr>
          <w:rFonts w:ascii="Arial" w:cs="Arial" w:eastAsia="Arial" w:hAnsi="Arial"/>
          <w:sz w:val="19"/>
          <w:szCs w:val="19"/>
          <w:color w:val="auto"/>
        </w:rPr>
        <w:t>Expert</w:t>
      </w:r>
    </w:p>
    <w:p>
      <w:pPr>
        <w:ind w:left="632"/>
        <w:spacing w:after="0"/>
        <w:rPr>
          <w:rFonts w:ascii="Arial" w:cs="Arial" w:eastAsia="Arial" w:hAnsi="Arial"/>
          <w:sz w:val="20"/>
          <w:szCs w:val="20"/>
          <w:color w:val="auto"/>
        </w:rPr>
      </w:pPr>
      <w:r>
        <w:rPr>
          <w:rFonts w:ascii="Arial" w:cs="Arial" w:eastAsia="Arial" w:hAnsi="Arial"/>
          <w:sz w:val="20"/>
          <w:szCs w:val="20"/>
          <w:color w:val="auto"/>
        </w:rPr>
        <w:t>1.38</w:t>
      </w:r>
      <w:r>
        <w:rPr>
          <w:rFonts w:ascii="Arial" w:cs="Arial" w:eastAsia="Arial" w:hAnsi="Arial"/>
          <w:sz w:val="19"/>
          <w:szCs w:val="19"/>
          <w:color w:val="auto"/>
        </w:rPr>
        <w:t>FDA</w:t>
      </w:r>
    </w:p>
    <w:p>
      <w:pPr>
        <w:ind w:left="632"/>
        <w:spacing w:after="0"/>
        <w:rPr>
          <w:rFonts w:ascii="Arial" w:cs="Arial" w:eastAsia="Arial" w:hAnsi="Arial"/>
          <w:sz w:val="20"/>
          <w:szCs w:val="20"/>
          <w:color w:val="auto"/>
        </w:rPr>
      </w:pPr>
      <w:r>
        <w:rPr>
          <w:rFonts w:ascii="Arial" w:cs="Arial" w:eastAsia="Arial" w:hAnsi="Arial"/>
          <w:sz w:val="20"/>
          <w:szCs w:val="20"/>
          <w:color w:val="auto"/>
        </w:rPr>
        <w:t>1.39</w:t>
      </w:r>
      <w:r>
        <w:rPr>
          <w:rFonts w:ascii="Arial" w:cs="Arial" w:eastAsia="Arial" w:hAnsi="Arial"/>
          <w:sz w:val="19"/>
          <w:szCs w:val="19"/>
          <w:color w:val="auto"/>
        </w:rPr>
        <w:t>FDCA</w:t>
      </w:r>
    </w:p>
    <w:p>
      <w:pPr>
        <w:ind w:left="632"/>
        <w:spacing w:after="0"/>
        <w:rPr>
          <w:rFonts w:ascii="Arial" w:cs="Arial" w:eastAsia="Arial" w:hAnsi="Arial"/>
          <w:sz w:val="20"/>
          <w:szCs w:val="20"/>
          <w:color w:val="auto"/>
        </w:rPr>
      </w:pPr>
      <w:r>
        <w:rPr>
          <w:rFonts w:ascii="Arial" w:cs="Arial" w:eastAsia="Arial" w:hAnsi="Arial"/>
          <w:sz w:val="20"/>
          <w:szCs w:val="20"/>
          <w:color w:val="auto"/>
        </w:rPr>
        <w:t>1.40</w:t>
      </w:r>
      <w:r>
        <w:rPr>
          <w:rFonts w:ascii="Arial" w:cs="Arial" w:eastAsia="Arial" w:hAnsi="Arial"/>
          <w:sz w:val="19"/>
          <w:szCs w:val="19"/>
          <w:color w:val="auto"/>
        </w:rPr>
        <w:t>Field</w:t>
      </w:r>
    </w:p>
    <w:p>
      <w:pPr>
        <w:ind w:left="632"/>
        <w:spacing w:after="0"/>
        <w:rPr>
          <w:rFonts w:ascii="Arial" w:cs="Arial" w:eastAsia="Arial" w:hAnsi="Arial"/>
          <w:sz w:val="20"/>
          <w:szCs w:val="20"/>
          <w:color w:val="auto"/>
        </w:rPr>
      </w:pPr>
      <w:r>
        <w:rPr>
          <w:rFonts w:ascii="Arial" w:cs="Arial" w:eastAsia="Arial" w:hAnsi="Arial"/>
          <w:sz w:val="20"/>
          <w:szCs w:val="20"/>
          <w:color w:val="auto"/>
        </w:rPr>
        <w:t>1.41</w:t>
      </w:r>
      <w:r>
        <w:rPr>
          <w:rFonts w:ascii="Arial" w:cs="Arial" w:eastAsia="Arial" w:hAnsi="Arial"/>
          <w:sz w:val="19"/>
          <w:szCs w:val="19"/>
          <w:color w:val="auto"/>
        </w:rPr>
        <w:t>First Commercial Sale</w:t>
      </w:r>
    </w:p>
    <w:p>
      <w:pPr>
        <w:ind w:left="632"/>
        <w:spacing w:after="0"/>
        <w:rPr>
          <w:rFonts w:ascii="Arial" w:cs="Arial" w:eastAsia="Arial" w:hAnsi="Arial"/>
          <w:sz w:val="20"/>
          <w:szCs w:val="20"/>
          <w:color w:val="auto"/>
        </w:rPr>
      </w:pPr>
      <w:r>
        <w:rPr>
          <w:rFonts w:ascii="Arial" w:cs="Arial" w:eastAsia="Arial" w:hAnsi="Arial"/>
          <w:sz w:val="20"/>
          <w:szCs w:val="20"/>
          <w:color w:val="auto"/>
        </w:rPr>
        <w:t>1.42</w:t>
      </w:r>
      <w:r>
        <w:rPr>
          <w:rFonts w:ascii="Arial" w:cs="Arial" w:eastAsia="Arial" w:hAnsi="Arial"/>
          <w:sz w:val="19"/>
          <w:szCs w:val="19"/>
          <w:color w:val="auto"/>
        </w:rPr>
        <w:t>First Generation Process</w:t>
      </w:r>
    </w:p>
    <w:p>
      <w:pPr>
        <w:ind w:left="632"/>
        <w:spacing w:after="0"/>
        <w:rPr>
          <w:rFonts w:ascii="Arial" w:cs="Arial" w:eastAsia="Arial" w:hAnsi="Arial"/>
          <w:sz w:val="20"/>
          <w:szCs w:val="20"/>
          <w:color w:val="auto"/>
        </w:rPr>
      </w:pPr>
      <w:r>
        <w:rPr>
          <w:rFonts w:ascii="Arial" w:cs="Arial" w:eastAsia="Arial" w:hAnsi="Arial"/>
          <w:sz w:val="20"/>
          <w:szCs w:val="20"/>
          <w:color w:val="auto"/>
        </w:rPr>
        <w:t>1.43</w:t>
      </w:r>
      <w:r>
        <w:rPr>
          <w:rFonts w:ascii="Arial" w:cs="Arial" w:eastAsia="Arial" w:hAnsi="Arial"/>
          <w:sz w:val="19"/>
          <w:szCs w:val="19"/>
          <w:color w:val="auto"/>
        </w:rPr>
        <w:t>FTE</w:t>
      </w:r>
    </w:p>
    <w:p>
      <w:pPr>
        <w:ind w:left="632"/>
        <w:spacing w:after="0"/>
        <w:rPr>
          <w:rFonts w:ascii="Arial" w:cs="Arial" w:eastAsia="Arial" w:hAnsi="Arial"/>
          <w:sz w:val="20"/>
          <w:szCs w:val="20"/>
          <w:color w:val="auto"/>
        </w:rPr>
      </w:pPr>
      <w:r>
        <w:rPr>
          <w:rFonts w:ascii="Arial" w:cs="Arial" w:eastAsia="Arial" w:hAnsi="Arial"/>
          <w:sz w:val="20"/>
          <w:szCs w:val="20"/>
          <w:color w:val="auto"/>
        </w:rPr>
        <w:t>1.44</w:t>
      </w:r>
      <w:r>
        <w:rPr>
          <w:rFonts w:ascii="Arial" w:cs="Arial" w:eastAsia="Arial" w:hAnsi="Arial"/>
          <w:sz w:val="19"/>
          <w:szCs w:val="19"/>
          <w:color w:val="auto"/>
        </w:rPr>
        <w:t>FTE Costs</w:t>
      </w:r>
    </w:p>
    <w:p>
      <w:pPr>
        <w:ind w:left="632"/>
        <w:spacing w:after="0"/>
        <w:rPr>
          <w:rFonts w:ascii="Arial" w:cs="Arial" w:eastAsia="Arial" w:hAnsi="Arial"/>
          <w:sz w:val="20"/>
          <w:szCs w:val="20"/>
          <w:color w:val="auto"/>
        </w:rPr>
      </w:pPr>
      <w:r>
        <w:rPr>
          <w:rFonts w:ascii="Arial" w:cs="Arial" w:eastAsia="Arial" w:hAnsi="Arial"/>
          <w:sz w:val="20"/>
          <w:szCs w:val="20"/>
          <w:color w:val="auto"/>
        </w:rPr>
        <w:t>1.45</w:t>
      </w:r>
      <w:r>
        <w:rPr>
          <w:rFonts w:ascii="Arial" w:cs="Arial" w:eastAsia="Arial" w:hAnsi="Arial"/>
          <w:sz w:val="19"/>
          <w:szCs w:val="19"/>
          <w:color w:val="auto"/>
        </w:rPr>
        <w:t>Fully Burdened Manufacturing Cost</w:t>
      </w:r>
    </w:p>
    <w:p>
      <w:pPr>
        <w:ind w:left="632"/>
        <w:spacing w:after="0"/>
        <w:rPr>
          <w:rFonts w:ascii="Arial" w:cs="Arial" w:eastAsia="Arial" w:hAnsi="Arial"/>
          <w:sz w:val="20"/>
          <w:szCs w:val="20"/>
          <w:color w:val="auto"/>
        </w:rPr>
      </w:pPr>
      <w:r>
        <w:rPr>
          <w:rFonts w:ascii="Arial" w:cs="Arial" w:eastAsia="Arial" w:hAnsi="Arial"/>
          <w:sz w:val="20"/>
          <w:szCs w:val="20"/>
          <w:color w:val="auto"/>
        </w:rPr>
        <w:t>1.46</w:t>
      </w:r>
      <w:r>
        <w:rPr>
          <w:rFonts w:ascii="Arial" w:cs="Arial" w:eastAsia="Arial" w:hAnsi="Arial"/>
          <w:sz w:val="19"/>
          <w:szCs w:val="19"/>
          <w:color w:val="auto"/>
        </w:rPr>
        <w:t>Generic Product</w:t>
      </w:r>
    </w:p>
    <w:p>
      <w:pPr>
        <w:ind w:left="632"/>
        <w:spacing w:after="0"/>
        <w:rPr>
          <w:rFonts w:ascii="Arial" w:cs="Arial" w:eastAsia="Arial" w:hAnsi="Arial"/>
          <w:sz w:val="20"/>
          <w:szCs w:val="20"/>
          <w:color w:val="auto"/>
        </w:rPr>
      </w:pPr>
      <w:r>
        <w:rPr>
          <w:rFonts w:ascii="Arial" w:cs="Arial" w:eastAsia="Arial" w:hAnsi="Arial"/>
          <w:sz w:val="20"/>
          <w:szCs w:val="20"/>
          <w:color w:val="auto"/>
        </w:rPr>
        <w:t>1.47</w:t>
      </w:r>
      <w:r>
        <w:rPr>
          <w:rFonts w:ascii="Arial" w:cs="Arial" w:eastAsia="Arial" w:hAnsi="Arial"/>
          <w:sz w:val="19"/>
          <w:szCs w:val="19"/>
          <w:color w:val="auto"/>
        </w:rPr>
        <w:t>Global Development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pacing w:after="0" w:line="232" w:lineRule="exact"/>
        <w:rPr>
          <w:sz w:val="20"/>
          <w:szCs w:val="20"/>
          <w:color w:val="auto"/>
        </w:rPr>
      </w:pPr>
    </w:p>
    <w:p>
      <w:pPr>
        <w:sectPr>
          <w:pgSz w:w="11900" w:h="16838" w:orient="portrait"/>
          <w:cols w:equalWidth="0" w:num="2">
            <w:col w:w="10412" w:space="720"/>
            <w:col w:w="100"/>
          </w:cols>
          <w:pgMar w:left="328" w:top="544"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10912"/>
        <w:spacing w:after="0"/>
        <w:rPr>
          <w:sz w:val="20"/>
          <w:szCs w:val="20"/>
          <w:color w:val="auto"/>
        </w:rPr>
      </w:pPr>
      <w:r>
        <w:rPr>
          <w:rFonts w:ascii="Arial" w:cs="Arial" w:eastAsia="Arial" w:hAnsi="Arial"/>
          <w:sz w:val="19"/>
          <w:szCs w:val="19"/>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44"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1.48</w:t>
            </w:r>
          </w:p>
        </w:tc>
        <w:tc>
          <w:tcPr>
            <w:tcW w:w="3580" w:type="dxa"/>
            <w:vAlign w:val="bottom"/>
          </w:tcPr>
          <w:p>
            <w:pPr>
              <w:ind w:left="260"/>
              <w:spacing w:after="0"/>
              <w:rPr>
                <w:sz w:val="20"/>
                <w:szCs w:val="20"/>
                <w:color w:val="auto"/>
              </w:rPr>
            </w:pPr>
            <w:r>
              <w:rPr>
                <w:rFonts w:ascii="Arial" w:cs="Arial" w:eastAsia="Arial" w:hAnsi="Arial"/>
                <w:sz w:val="20"/>
                <w:szCs w:val="20"/>
                <w:color w:val="auto"/>
              </w:rPr>
              <w:t>Global Development Plan Budget</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1.49</w:t>
            </w:r>
          </w:p>
        </w:tc>
        <w:tc>
          <w:tcPr>
            <w:tcW w:w="3580" w:type="dxa"/>
            <w:vAlign w:val="bottom"/>
          </w:tcPr>
          <w:p>
            <w:pPr>
              <w:ind w:left="260"/>
              <w:spacing w:after="0"/>
              <w:rPr>
                <w:sz w:val="20"/>
                <w:szCs w:val="20"/>
                <w:color w:val="auto"/>
              </w:rPr>
            </w:pPr>
            <w:r>
              <w:rPr>
                <w:rFonts w:ascii="Arial" w:cs="Arial" w:eastAsia="Arial" w:hAnsi="Arial"/>
                <w:sz w:val="20"/>
                <w:szCs w:val="20"/>
                <w:color w:val="auto"/>
              </w:rPr>
              <w:t>Handle</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1.50</w:t>
            </w:r>
          </w:p>
        </w:tc>
        <w:tc>
          <w:tcPr>
            <w:tcW w:w="3580" w:type="dxa"/>
            <w:vAlign w:val="bottom"/>
          </w:tcPr>
          <w:p>
            <w:pPr>
              <w:ind w:left="260"/>
              <w:spacing w:after="0"/>
              <w:rPr>
                <w:sz w:val="20"/>
                <w:szCs w:val="20"/>
                <w:color w:val="auto"/>
              </w:rPr>
            </w:pPr>
            <w:r>
              <w:rPr>
                <w:rFonts w:ascii="Arial" w:cs="Arial" w:eastAsia="Arial" w:hAnsi="Arial"/>
                <w:sz w:val="20"/>
                <w:szCs w:val="20"/>
                <w:color w:val="auto"/>
              </w:rPr>
              <w:t>HCV Combination Use</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1.51</w:t>
            </w:r>
          </w:p>
        </w:tc>
        <w:tc>
          <w:tcPr>
            <w:tcW w:w="3580" w:type="dxa"/>
            <w:vAlign w:val="bottom"/>
          </w:tcPr>
          <w:p>
            <w:pPr>
              <w:ind w:left="260"/>
              <w:spacing w:after="0"/>
              <w:rPr>
                <w:sz w:val="20"/>
                <w:szCs w:val="20"/>
                <w:color w:val="auto"/>
              </w:rPr>
            </w:pPr>
            <w:r>
              <w:rPr>
                <w:rFonts w:ascii="Arial" w:cs="Arial" w:eastAsia="Arial" w:hAnsi="Arial"/>
                <w:sz w:val="20"/>
                <w:szCs w:val="20"/>
                <w:color w:val="auto"/>
              </w:rPr>
              <w:t>HCV Combination Use Studies</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1.52</w:t>
            </w:r>
          </w:p>
        </w:tc>
        <w:tc>
          <w:tcPr>
            <w:tcW w:w="3580" w:type="dxa"/>
            <w:vAlign w:val="bottom"/>
          </w:tcPr>
          <w:p>
            <w:pPr>
              <w:ind w:left="260"/>
              <w:spacing w:after="0"/>
              <w:rPr>
                <w:sz w:val="20"/>
                <w:szCs w:val="20"/>
                <w:color w:val="auto"/>
              </w:rPr>
            </w:pPr>
            <w:r>
              <w:rPr>
                <w:rFonts w:ascii="Arial" w:cs="Arial" w:eastAsia="Arial" w:hAnsi="Arial"/>
                <w:sz w:val="20"/>
                <w:szCs w:val="20"/>
                <w:color w:val="auto"/>
              </w:rPr>
              <w:t>Hospitalized Patients</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1.53</w:t>
            </w:r>
          </w:p>
        </w:tc>
        <w:tc>
          <w:tcPr>
            <w:tcW w:w="3580" w:type="dxa"/>
            <w:vAlign w:val="bottom"/>
          </w:tcPr>
          <w:p>
            <w:pPr>
              <w:ind w:left="260"/>
              <w:spacing w:after="0"/>
              <w:rPr>
                <w:sz w:val="20"/>
                <w:szCs w:val="20"/>
                <w:color w:val="auto"/>
              </w:rPr>
            </w:pPr>
            <w:r>
              <w:rPr>
                <w:rFonts w:ascii="Arial" w:cs="Arial" w:eastAsia="Arial" w:hAnsi="Arial"/>
                <w:sz w:val="20"/>
                <w:szCs w:val="20"/>
                <w:color w:val="auto"/>
              </w:rPr>
              <w:t>IFRS</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1.54</w:t>
            </w:r>
          </w:p>
        </w:tc>
        <w:tc>
          <w:tcPr>
            <w:tcW w:w="3580" w:type="dxa"/>
            <w:vAlign w:val="bottom"/>
          </w:tcPr>
          <w:p>
            <w:pPr>
              <w:ind w:left="260"/>
              <w:spacing w:after="0"/>
              <w:rPr>
                <w:sz w:val="20"/>
                <w:szCs w:val="20"/>
                <w:color w:val="auto"/>
              </w:rPr>
            </w:pPr>
            <w:r>
              <w:rPr>
                <w:rFonts w:ascii="Arial" w:cs="Arial" w:eastAsia="Arial" w:hAnsi="Arial"/>
                <w:sz w:val="20"/>
                <w:szCs w:val="20"/>
                <w:color w:val="auto"/>
              </w:rPr>
              <w:t>IND</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1.55</w:t>
            </w:r>
          </w:p>
        </w:tc>
        <w:tc>
          <w:tcPr>
            <w:tcW w:w="3580" w:type="dxa"/>
            <w:vAlign w:val="bottom"/>
          </w:tcPr>
          <w:p>
            <w:pPr>
              <w:ind w:left="260"/>
              <w:spacing w:after="0"/>
              <w:rPr>
                <w:sz w:val="20"/>
                <w:szCs w:val="20"/>
                <w:color w:val="auto"/>
              </w:rPr>
            </w:pPr>
            <w:r>
              <w:rPr>
                <w:rFonts w:ascii="Arial" w:cs="Arial" w:eastAsia="Arial" w:hAnsi="Arial"/>
                <w:sz w:val="20"/>
                <w:szCs w:val="20"/>
                <w:color w:val="auto"/>
              </w:rPr>
              <w:t>Indication</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1.56</w:t>
            </w:r>
          </w:p>
        </w:tc>
        <w:tc>
          <w:tcPr>
            <w:tcW w:w="3580" w:type="dxa"/>
            <w:vAlign w:val="bottom"/>
          </w:tcPr>
          <w:p>
            <w:pPr>
              <w:ind w:left="260"/>
              <w:spacing w:after="0"/>
              <w:rPr>
                <w:sz w:val="20"/>
                <w:szCs w:val="20"/>
                <w:color w:val="auto"/>
              </w:rPr>
            </w:pPr>
            <w:r>
              <w:rPr>
                <w:rFonts w:ascii="Arial" w:cs="Arial" w:eastAsia="Arial" w:hAnsi="Arial"/>
                <w:sz w:val="20"/>
                <w:szCs w:val="20"/>
                <w:color w:val="auto"/>
              </w:rPr>
              <w:t>Indirect Taxes</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1.57</w:t>
            </w:r>
          </w:p>
        </w:tc>
        <w:tc>
          <w:tcPr>
            <w:tcW w:w="3580" w:type="dxa"/>
            <w:vAlign w:val="bottom"/>
          </w:tcPr>
          <w:p>
            <w:pPr>
              <w:ind w:left="260"/>
              <w:spacing w:after="0"/>
              <w:rPr>
                <w:sz w:val="20"/>
                <w:szCs w:val="20"/>
                <w:color w:val="auto"/>
              </w:rPr>
            </w:pPr>
            <w:r>
              <w:rPr>
                <w:rFonts w:ascii="Arial" w:cs="Arial" w:eastAsia="Arial" w:hAnsi="Arial"/>
                <w:sz w:val="20"/>
                <w:szCs w:val="20"/>
                <w:color w:val="auto"/>
              </w:rPr>
              <w:t>Initial Year</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1.58</w:t>
            </w:r>
          </w:p>
        </w:tc>
        <w:tc>
          <w:tcPr>
            <w:tcW w:w="3580" w:type="dxa"/>
            <w:vAlign w:val="bottom"/>
          </w:tcPr>
          <w:p>
            <w:pPr>
              <w:ind w:left="260"/>
              <w:spacing w:after="0"/>
              <w:rPr>
                <w:sz w:val="20"/>
                <w:szCs w:val="20"/>
                <w:color w:val="auto"/>
              </w:rPr>
            </w:pPr>
            <w:r>
              <w:rPr>
                <w:rFonts w:ascii="Arial" w:cs="Arial" w:eastAsia="Arial" w:hAnsi="Arial"/>
                <w:sz w:val="20"/>
                <w:szCs w:val="20"/>
                <w:color w:val="auto"/>
              </w:rPr>
              <w:t>Initiation</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1.59</w:t>
            </w:r>
          </w:p>
        </w:tc>
        <w:tc>
          <w:tcPr>
            <w:tcW w:w="3580" w:type="dxa"/>
            <w:vAlign w:val="bottom"/>
          </w:tcPr>
          <w:p>
            <w:pPr>
              <w:ind w:left="260"/>
              <w:spacing w:after="0"/>
              <w:rPr>
                <w:sz w:val="20"/>
                <w:szCs w:val="20"/>
                <w:color w:val="auto"/>
              </w:rPr>
            </w:pPr>
            <w:r>
              <w:rPr>
                <w:rFonts w:ascii="Arial" w:cs="Arial" w:eastAsia="Arial" w:hAnsi="Arial"/>
                <w:sz w:val="20"/>
                <w:szCs w:val="20"/>
                <w:color w:val="auto"/>
              </w:rPr>
              <w:t>Insolvency Event</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1.60</w:t>
            </w:r>
          </w:p>
        </w:tc>
        <w:tc>
          <w:tcPr>
            <w:tcW w:w="3580" w:type="dxa"/>
            <w:vAlign w:val="bottom"/>
          </w:tcPr>
          <w:p>
            <w:pPr>
              <w:ind w:left="260"/>
              <w:spacing w:after="0"/>
              <w:rPr>
                <w:sz w:val="20"/>
                <w:szCs w:val="20"/>
                <w:color w:val="auto"/>
              </w:rPr>
            </w:pPr>
            <w:r>
              <w:rPr>
                <w:rFonts w:ascii="Arial" w:cs="Arial" w:eastAsia="Arial" w:hAnsi="Arial"/>
                <w:sz w:val="20"/>
                <w:szCs w:val="20"/>
                <w:color w:val="auto"/>
              </w:rPr>
              <w:t>Invention</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1.61</w:t>
            </w:r>
          </w:p>
        </w:tc>
        <w:tc>
          <w:tcPr>
            <w:tcW w:w="3580" w:type="dxa"/>
            <w:vAlign w:val="bottom"/>
          </w:tcPr>
          <w:p>
            <w:pPr>
              <w:ind w:left="260"/>
              <w:spacing w:after="0"/>
              <w:rPr>
                <w:sz w:val="20"/>
                <w:szCs w:val="20"/>
                <w:color w:val="auto"/>
              </w:rPr>
            </w:pPr>
            <w:r>
              <w:rPr>
                <w:rFonts w:ascii="Arial" w:cs="Arial" w:eastAsia="Arial" w:hAnsi="Arial"/>
                <w:sz w:val="20"/>
                <w:szCs w:val="20"/>
                <w:color w:val="auto"/>
              </w:rPr>
              <w:t>Joint Know-How</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1.62</w:t>
            </w:r>
          </w:p>
        </w:tc>
        <w:tc>
          <w:tcPr>
            <w:tcW w:w="3580" w:type="dxa"/>
            <w:vAlign w:val="bottom"/>
          </w:tcPr>
          <w:p>
            <w:pPr>
              <w:ind w:left="260"/>
              <w:spacing w:after="0"/>
              <w:rPr>
                <w:sz w:val="20"/>
                <w:szCs w:val="20"/>
                <w:color w:val="auto"/>
              </w:rPr>
            </w:pPr>
            <w:r>
              <w:rPr>
                <w:rFonts w:ascii="Arial" w:cs="Arial" w:eastAsia="Arial" w:hAnsi="Arial"/>
                <w:sz w:val="20"/>
                <w:szCs w:val="20"/>
                <w:color w:val="auto"/>
              </w:rPr>
              <w:t>Joint Patent Rights</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1.63</w:t>
            </w:r>
          </w:p>
        </w:tc>
        <w:tc>
          <w:tcPr>
            <w:tcW w:w="3580" w:type="dxa"/>
            <w:vAlign w:val="bottom"/>
          </w:tcPr>
          <w:p>
            <w:pPr>
              <w:ind w:left="260"/>
              <w:spacing w:after="0"/>
              <w:rPr>
                <w:sz w:val="20"/>
                <w:szCs w:val="20"/>
                <w:color w:val="auto"/>
              </w:rPr>
            </w:pPr>
            <w:r>
              <w:rPr>
                <w:rFonts w:ascii="Arial" w:cs="Arial" w:eastAsia="Arial" w:hAnsi="Arial"/>
                <w:sz w:val="20"/>
                <w:szCs w:val="20"/>
                <w:color w:val="auto"/>
              </w:rPr>
              <w:t>JOT</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1.64</w:t>
            </w:r>
          </w:p>
        </w:tc>
        <w:tc>
          <w:tcPr>
            <w:tcW w:w="3580" w:type="dxa"/>
            <w:vAlign w:val="bottom"/>
          </w:tcPr>
          <w:p>
            <w:pPr>
              <w:ind w:left="260"/>
              <w:spacing w:after="0"/>
              <w:rPr>
                <w:sz w:val="20"/>
                <w:szCs w:val="20"/>
                <w:color w:val="auto"/>
              </w:rPr>
            </w:pPr>
            <w:r>
              <w:rPr>
                <w:rFonts w:ascii="Arial" w:cs="Arial" w:eastAsia="Arial" w:hAnsi="Arial"/>
                <w:sz w:val="20"/>
                <w:szCs w:val="20"/>
                <w:color w:val="auto"/>
              </w:rPr>
              <w:t>JSC</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1.65</w:t>
            </w:r>
          </w:p>
        </w:tc>
        <w:tc>
          <w:tcPr>
            <w:tcW w:w="3580" w:type="dxa"/>
            <w:vAlign w:val="bottom"/>
          </w:tcPr>
          <w:p>
            <w:pPr>
              <w:ind w:left="260"/>
              <w:spacing w:after="0"/>
              <w:rPr>
                <w:sz w:val="20"/>
                <w:szCs w:val="20"/>
                <w:color w:val="auto"/>
              </w:rPr>
            </w:pPr>
            <w:r>
              <w:rPr>
                <w:rFonts w:ascii="Arial" w:cs="Arial" w:eastAsia="Arial" w:hAnsi="Arial"/>
                <w:sz w:val="20"/>
                <w:szCs w:val="20"/>
                <w:color w:val="auto"/>
              </w:rPr>
              <w:t>Know-How</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1.66</w:t>
            </w:r>
          </w:p>
        </w:tc>
        <w:tc>
          <w:tcPr>
            <w:tcW w:w="3580" w:type="dxa"/>
            <w:vAlign w:val="bottom"/>
          </w:tcPr>
          <w:p>
            <w:pPr>
              <w:ind w:left="260"/>
              <w:spacing w:after="0"/>
              <w:rPr>
                <w:sz w:val="20"/>
                <w:szCs w:val="20"/>
                <w:color w:val="auto"/>
              </w:rPr>
            </w:pPr>
            <w:r>
              <w:rPr>
                <w:rFonts w:ascii="Arial" w:cs="Arial" w:eastAsia="Arial" w:hAnsi="Arial"/>
                <w:sz w:val="20"/>
                <w:szCs w:val="20"/>
                <w:color w:val="auto"/>
              </w:rPr>
              <w:t>Lead Compound</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1.67</w:t>
            </w:r>
          </w:p>
        </w:tc>
        <w:tc>
          <w:tcPr>
            <w:tcW w:w="3580" w:type="dxa"/>
            <w:vAlign w:val="bottom"/>
          </w:tcPr>
          <w:p>
            <w:pPr>
              <w:ind w:left="260"/>
              <w:spacing w:after="0"/>
              <w:rPr>
                <w:sz w:val="20"/>
                <w:szCs w:val="20"/>
                <w:color w:val="auto"/>
              </w:rPr>
            </w:pPr>
            <w:r>
              <w:rPr>
                <w:rFonts w:ascii="Arial" w:cs="Arial" w:eastAsia="Arial" w:hAnsi="Arial"/>
                <w:sz w:val="20"/>
                <w:szCs w:val="20"/>
                <w:color w:val="auto"/>
              </w:rPr>
              <w:t>Lead Product</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1.68</w:t>
            </w:r>
          </w:p>
        </w:tc>
        <w:tc>
          <w:tcPr>
            <w:tcW w:w="3580" w:type="dxa"/>
            <w:vAlign w:val="bottom"/>
          </w:tcPr>
          <w:p>
            <w:pPr>
              <w:ind w:left="260"/>
              <w:spacing w:after="0"/>
              <w:rPr>
                <w:sz w:val="20"/>
                <w:szCs w:val="20"/>
                <w:color w:val="auto"/>
              </w:rPr>
            </w:pPr>
            <w:r>
              <w:rPr>
                <w:rFonts w:ascii="Arial" w:cs="Arial" w:eastAsia="Arial" w:hAnsi="Arial"/>
                <w:sz w:val="20"/>
                <w:szCs w:val="20"/>
                <w:color w:val="auto"/>
              </w:rPr>
              <w:t>Manufacturing Third Party Rights</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1.69</w:t>
            </w:r>
          </w:p>
        </w:tc>
        <w:tc>
          <w:tcPr>
            <w:tcW w:w="3580" w:type="dxa"/>
            <w:vAlign w:val="bottom"/>
          </w:tcPr>
          <w:p>
            <w:pPr>
              <w:ind w:left="260"/>
              <w:spacing w:after="0"/>
              <w:rPr>
                <w:sz w:val="20"/>
                <w:szCs w:val="20"/>
                <w:color w:val="auto"/>
              </w:rPr>
            </w:pPr>
            <w:r>
              <w:rPr>
                <w:rFonts w:ascii="Arial" w:cs="Arial" w:eastAsia="Arial" w:hAnsi="Arial"/>
                <w:sz w:val="20"/>
                <w:szCs w:val="20"/>
                <w:color w:val="auto"/>
              </w:rPr>
              <w:t>New Drug Application</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1.70</w:t>
            </w:r>
          </w:p>
        </w:tc>
        <w:tc>
          <w:tcPr>
            <w:tcW w:w="3580" w:type="dxa"/>
            <w:vAlign w:val="bottom"/>
          </w:tcPr>
          <w:p>
            <w:pPr>
              <w:ind w:left="260"/>
              <w:spacing w:after="0"/>
              <w:rPr>
                <w:sz w:val="20"/>
                <w:szCs w:val="20"/>
                <w:color w:val="auto"/>
              </w:rPr>
            </w:pPr>
            <w:r>
              <w:rPr>
                <w:rFonts w:ascii="Arial" w:cs="Arial" w:eastAsia="Arial" w:hAnsi="Arial"/>
                <w:sz w:val="20"/>
                <w:szCs w:val="20"/>
                <w:color w:val="auto"/>
              </w:rPr>
              <w:t>Net Sales</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1.71</w:t>
            </w:r>
          </w:p>
        </w:tc>
        <w:tc>
          <w:tcPr>
            <w:tcW w:w="3580" w:type="dxa"/>
            <w:vAlign w:val="bottom"/>
          </w:tcPr>
          <w:p>
            <w:pPr>
              <w:ind w:left="260"/>
              <w:spacing w:after="0"/>
              <w:rPr>
                <w:sz w:val="20"/>
                <w:szCs w:val="20"/>
                <w:color w:val="auto"/>
              </w:rPr>
            </w:pPr>
            <w:r>
              <w:rPr>
                <w:rFonts w:ascii="Arial" w:cs="Arial" w:eastAsia="Arial" w:hAnsi="Arial"/>
                <w:sz w:val="20"/>
                <w:szCs w:val="20"/>
                <w:color w:val="auto"/>
                <w:w w:val="98"/>
              </w:rPr>
              <w:t>Non-Manufacturing Third Party Rights</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1.72</w:t>
            </w:r>
          </w:p>
        </w:tc>
        <w:tc>
          <w:tcPr>
            <w:tcW w:w="3580" w:type="dxa"/>
            <w:vAlign w:val="bottom"/>
          </w:tcPr>
          <w:p>
            <w:pPr>
              <w:ind w:left="260"/>
              <w:spacing w:after="0"/>
              <w:rPr>
                <w:sz w:val="20"/>
                <w:szCs w:val="20"/>
                <w:color w:val="auto"/>
              </w:rPr>
            </w:pPr>
            <w:r>
              <w:rPr>
                <w:rFonts w:ascii="Arial" w:cs="Arial" w:eastAsia="Arial" w:hAnsi="Arial"/>
                <w:sz w:val="20"/>
                <w:szCs w:val="20"/>
                <w:color w:val="auto"/>
              </w:rPr>
              <w:t>Out of Pocket Expenses</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1.73</w:t>
            </w:r>
          </w:p>
        </w:tc>
        <w:tc>
          <w:tcPr>
            <w:tcW w:w="3580" w:type="dxa"/>
            <w:vAlign w:val="bottom"/>
          </w:tcPr>
          <w:p>
            <w:pPr>
              <w:ind w:left="260"/>
              <w:spacing w:after="0"/>
              <w:rPr>
                <w:sz w:val="20"/>
                <w:szCs w:val="20"/>
                <w:color w:val="auto"/>
              </w:rPr>
            </w:pPr>
            <w:r>
              <w:rPr>
                <w:rFonts w:ascii="Arial" w:cs="Arial" w:eastAsia="Arial" w:hAnsi="Arial"/>
                <w:sz w:val="20"/>
                <w:szCs w:val="20"/>
                <w:color w:val="auto"/>
              </w:rPr>
              <w:t>Out-Patients</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1.74</w:t>
            </w:r>
          </w:p>
        </w:tc>
        <w:tc>
          <w:tcPr>
            <w:tcW w:w="3580" w:type="dxa"/>
            <w:vAlign w:val="bottom"/>
          </w:tcPr>
          <w:p>
            <w:pPr>
              <w:ind w:left="260"/>
              <w:spacing w:after="0"/>
              <w:rPr>
                <w:sz w:val="20"/>
                <w:szCs w:val="20"/>
                <w:color w:val="auto"/>
              </w:rPr>
            </w:pPr>
            <w:r>
              <w:rPr>
                <w:rFonts w:ascii="Arial" w:cs="Arial" w:eastAsia="Arial" w:hAnsi="Arial"/>
                <w:sz w:val="20"/>
                <w:szCs w:val="20"/>
                <w:color w:val="auto"/>
              </w:rPr>
              <w:t>Party</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1.75</w:t>
            </w:r>
          </w:p>
        </w:tc>
        <w:tc>
          <w:tcPr>
            <w:tcW w:w="3580" w:type="dxa"/>
            <w:vAlign w:val="bottom"/>
          </w:tcPr>
          <w:p>
            <w:pPr>
              <w:ind w:left="260"/>
              <w:spacing w:after="0"/>
              <w:rPr>
                <w:sz w:val="20"/>
                <w:szCs w:val="20"/>
                <w:color w:val="auto"/>
              </w:rPr>
            </w:pPr>
            <w:r>
              <w:rPr>
                <w:rFonts w:ascii="Arial" w:cs="Arial" w:eastAsia="Arial" w:hAnsi="Arial"/>
                <w:sz w:val="20"/>
                <w:szCs w:val="20"/>
                <w:color w:val="auto"/>
              </w:rPr>
              <w:t>Patent Product</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1.76</w:t>
            </w:r>
          </w:p>
        </w:tc>
        <w:tc>
          <w:tcPr>
            <w:tcW w:w="3580" w:type="dxa"/>
            <w:vAlign w:val="bottom"/>
          </w:tcPr>
          <w:p>
            <w:pPr>
              <w:ind w:left="260"/>
              <w:spacing w:after="0"/>
              <w:rPr>
                <w:sz w:val="20"/>
                <w:szCs w:val="20"/>
                <w:color w:val="auto"/>
              </w:rPr>
            </w:pPr>
            <w:r>
              <w:rPr>
                <w:rFonts w:ascii="Arial" w:cs="Arial" w:eastAsia="Arial" w:hAnsi="Arial"/>
                <w:sz w:val="20"/>
                <w:szCs w:val="20"/>
                <w:color w:val="auto"/>
              </w:rPr>
              <w:t>Patent Rights</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1.77</w:t>
            </w:r>
          </w:p>
        </w:tc>
        <w:tc>
          <w:tcPr>
            <w:tcW w:w="3580" w:type="dxa"/>
            <w:vAlign w:val="bottom"/>
          </w:tcPr>
          <w:p>
            <w:pPr>
              <w:ind w:left="260"/>
              <w:spacing w:after="0"/>
              <w:rPr>
                <w:sz w:val="20"/>
                <w:szCs w:val="20"/>
                <w:color w:val="auto"/>
              </w:rPr>
            </w:pPr>
            <w:r>
              <w:rPr>
                <w:rFonts w:ascii="Arial" w:cs="Arial" w:eastAsia="Arial" w:hAnsi="Arial"/>
                <w:sz w:val="20"/>
                <w:szCs w:val="20"/>
                <w:color w:val="auto"/>
              </w:rPr>
              <w:t>Phase I Study</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1.78</w:t>
            </w:r>
          </w:p>
        </w:tc>
        <w:tc>
          <w:tcPr>
            <w:tcW w:w="3580" w:type="dxa"/>
            <w:vAlign w:val="bottom"/>
          </w:tcPr>
          <w:p>
            <w:pPr>
              <w:ind w:left="260"/>
              <w:spacing w:after="0"/>
              <w:rPr>
                <w:sz w:val="20"/>
                <w:szCs w:val="20"/>
                <w:color w:val="auto"/>
              </w:rPr>
            </w:pPr>
            <w:r>
              <w:rPr>
                <w:rFonts w:ascii="Arial" w:cs="Arial" w:eastAsia="Arial" w:hAnsi="Arial"/>
                <w:sz w:val="20"/>
                <w:szCs w:val="20"/>
                <w:color w:val="auto"/>
              </w:rPr>
              <w:t>Phase II Study</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1.79</w:t>
            </w:r>
          </w:p>
        </w:tc>
        <w:tc>
          <w:tcPr>
            <w:tcW w:w="3580" w:type="dxa"/>
            <w:vAlign w:val="bottom"/>
          </w:tcPr>
          <w:p>
            <w:pPr>
              <w:ind w:left="260"/>
              <w:spacing w:after="0"/>
              <w:rPr>
                <w:sz w:val="20"/>
                <w:szCs w:val="20"/>
                <w:color w:val="auto"/>
              </w:rPr>
            </w:pPr>
            <w:r>
              <w:rPr>
                <w:rFonts w:ascii="Arial" w:cs="Arial" w:eastAsia="Arial" w:hAnsi="Arial"/>
                <w:sz w:val="20"/>
                <w:szCs w:val="20"/>
                <w:color w:val="auto"/>
              </w:rPr>
              <w:t>Phase III Study</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1.80</w:t>
            </w:r>
          </w:p>
        </w:tc>
        <w:tc>
          <w:tcPr>
            <w:tcW w:w="3580" w:type="dxa"/>
            <w:vAlign w:val="bottom"/>
          </w:tcPr>
          <w:p>
            <w:pPr>
              <w:ind w:left="260"/>
              <w:spacing w:after="0"/>
              <w:rPr>
                <w:sz w:val="20"/>
                <w:szCs w:val="20"/>
                <w:color w:val="auto"/>
              </w:rPr>
            </w:pPr>
            <w:r>
              <w:rPr>
                <w:rFonts w:ascii="Arial" w:cs="Arial" w:eastAsia="Arial" w:hAnsi="Arial"/>
                <w:sz w:val="20"/>
                <w:szCs w:val="20"/>
                <w:color w:val="auto"/>
              </w:rPr>
              <w:t>Phase IV Study</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1.81</w:t>
            </w:r>
          </w:p>
        </w:tc>
        <w:tc>
          <w:tcPr>
            <w:tcW w:w="3580" w:type="dxa"/>
            <w:vAlign w:val="bottom"/>
          </w:tcPr>
          <w:p>
            <w:pPr>
              <w:ind w:left="260"/>
              <w:spacing w:after="0"/>
              <w:rPr>
                <w:sz w:val="20"/>
                <w:szCs w:val="20"/>
                <w:color w:val="auto"/>
              </w:rPr>
            </w:pPr>
            <w:r>
              <w:rPr>
                <w:rFonts w:ascii="Arial" w:cs="Arial" w:eastAsia="Arial" w:hAnsi="Arial"/>
                <w:sz w:val="20"/>
                <w:szCs w:val="20"/>
                <w:color w:val="auto"/>
              </w:rPr>
              <w:t>Post-Approval Commitment Studies</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1.82</w:t>
            </w:r>
          </w:p>
        </w:tc>
        <w:tc>
          <w:tcPr>
            <w:tcW w:w="3580" w:type="dxa"/>
            <w:vAlign w:val="bottom"/>
          </w:tcPr>
          <w:p>
            <w:pPr>
              <w:ind w:left="260"/>
              <w:spacing w:after="0"/>
              <w:rPr>
                <w:sz w:val="20"/>
                <w:szCs w:val="20"/>
                <w:color w:val="auto"/>
              </w:rPr>
            </w:pPr>
            <w:r>
              <w:rPr>
                <w:rFonts w:ascii="Arial" w:cs="Arial" w:eastAsia="Arial" w:hAnsi="Arial"/>
                <w:sz w:val="20"/>
                <w:szCs w:val="20"/>
                <w:color w:val="auto"/>
              </w:rPr>
              <w:t>Product</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1.83</w:t>
            </w:r>
          </w:p>
        </w:tc>
        <w:tc>
          <w:tcPr>
            <w:tcW w:w="3580" w:type="dxa"/>
            <w:vAlign w:val="bottom"/>
          </w:tcPr>
          <w:p>
            <w:pPr>
              <w:ind w:left="260"/>
              <w:spacing w:after="0"/>
              <w:rPr>
                <w:sz w:val="20"/>
                <w:szCs w:val="20"/>
                <w:color w:val="auto"/>
              </w:rPr>
            </w:pPr>
            <w:r>
              <w:rPr>
                <w:rFonts w:ascii="Arial" w:cs="Arial" w:eastAsia="Arial" w:hAnsi="Arial"/>
                <w:sz w:val="20"/>
                <w:szCs w:val="20"/>
                <w:color w:val="auto"/>
              </w:rPr>
              <w:t>Qualifying Second Generation Batch</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1.84</w:t>
            </w:r>
          </w:p>
        </w:tc>
        <w:tc>
          <w:tcPr>
            <w:tcW w:w="3580" w:type="dxa"/>
            <w:vAlign w:val="bottom"/>
          </w:tcPr>
          <w:p>
            <w:pPr>
              <w:ind w:left="260"/>
              <w:spacing w:after="0"/>
              <w:rPr>
                <w:sz w:val="20"/>
                <w:szCs w:val="20"/>
                <w:color w:val="auto"/>
              </w:rPr>
            </w:pPr>
            <w:r>
              <w:rPr>
                <w:rFonts w:ascii="Arial" w:cs="Arial" w:eastAsia="Arial" w:hAnsi="Arial"/>
                <w:sz w:val="20"/>
                <w:szCs w:val="20"/>
                <w:color w:val="auto"/>
              </w:rPr>
              <w:t>Regulatory Approval</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1.85</w:t>
            </w:r>
          </w:p>
        </w:tc>
        <w:tc>
          <w:tcPr>
            <w:tcW w:w="3580" w:type="dxa"/>
            <w:vAlign w:val="bottom"/>
          </w:tcPr>
          <w:p>
            <w:pPr>
              <w:ind w:left="260"/>
              <w:spacing w:after="0"/>
              <w:rPr>
                <w:sz w:val="20"/>
                <w:szCs w:val="20"/>
                <w:color w:val="auto"/>
              </w:rPr>
            </w:pPr>
            <w:r>
              <w:rPr>
                <w:rFonts w:ascii="Arial" w:cs="Arial" w:eastAsia="Arial" w:hAnsi="Arial"/>
                <w:sz w:val="20"/>
                <w:szCs w:val="20"/>
                <w:color w:val="auto"/>
              </w:rPr>
              <w:t>Regulatory Authority</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1.86</w:t>
            </w:r>
          </w:p>
        </w:tc>
        <w:tc>
          <w:tcPr>
            <w:tcW w:w="3580" w:type="dxa"/>
            <w:vAlign w:val="bottom"/>
          </w:tcPr>
          <w:p>
            <w:pPr>
              <w:ind w:left="260"/>
              <w:spacing w:after="0"/>
              <w:rPr>
                <w:sz w:val="20"/>
                <w:szCs w:val="20"/>
                <w:color w:val="auto"/>
              </w:rPr>
            </w:pPr>
            <w:r>
              <w:rPr>
                <w:rFonts w:ascii="Arial" w:cs="Arial" w:eastAsia="Arial" w:hAnsi="Arial"/>
                <w:sz w:val="20"/>
                <w:szCs w:val="20"/>
                <w:color w:val="auto"/>
              </w:rPr>
              <w:t>Respective Territory</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1.87</w:t>
            </w:r>
          </w:p>
        </w:tc>
        <w:tc>
          <w:tcPr>
            <w:tcW w:w="3580" w:type="dxa"/>
            <w:vAlign w:val="bottom"/>
          </w:tcPr>
          <w:p>
            <w:pPr>
              <w:ind w:left="260"/>
              <w:spacing w:after="0"/>
              <w:rPr>
                <w:sz w:val="20"/>
                <w:szCs w:val="20"/>
                <w:color w:val="auto"/>
              </w:rPr>
            </w:pPr>
            <w:r>
              <w:rPr>
                <w:rFonts w:ascii="Arial" w:cs="Arial" w:eastAsia="Arial" w:hAnsi="Arial"/>
                <w:sz w:val="20"/>
                <w:szCs w:val="20"/>
                <w:color w:val="auto"/>
              </w:rPr>
              <w:t>Roche Group</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1.88</w:t>
            </w:r>
          </w:p>
        </w:tc>
        <w:tc>
          <w:tcPr>
            <w:tcW w:w="3580" w:type="dxa"/>
            <w:vAlign w:val="bottom"/>
          </w:tcPr>
          <w:p>
            <w:pPr>
              <w:ind w:left="260"/>
              <w:spacing w:after="0"/>
              <w:rPr>
                <w:sz w:val="20"/>
                <w:szCs w:val="20"/>
                <w:color w:val="auto"/>
              </w:rPr>
            </w:pPr>
            <w:r>
              <w:rPr>
                <w:rFonts w:ascii="Arial" w:cs="Arial" w:eastAsia="Arial" w:hAnsi="Arial"/>
                <w:sz w:val="20"/>
                <w:szCs w:val="20"/>
                <w:color w:val="auto"/>
              </w:rPr>
              <w:t>Roche Inability to Supply</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1.89</w:t>
            </w:r>
          </w:p>
        </w:tc>
        <w:tc>
          <w:tcPr>
            <w:tcW w:w="3580" w:type="dxa"/>
            <w:vAlign w:val="bottom"/>
          </w:tcPr>
          <w:p>
            <w:pPr>
              <w:ind w:left="260"/>
              <w:spacing w:after="0"/>
              <w:rPr>
                <w:sz w:val="20"/>
                <w:szCs w:val="20"/>
                <w:color w:val="auto"/>
              </w:rPr>
            </w:pPr>
            <w:r>
              <w:rPr>
                <w:rFonts w:ascii="Arial" w:cs="Arial" w:eastAsia="Arial" w:hAnsi="Arial"/>
                <w:sz w:val="20"/>
                <w:szCs w:val="20"/>
                <w:color w:val="auto"/>
              </w:rPr>
              <w:t>Roche Know-How</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1.90</w:t>
            </w:r>
          </w:p>
        </w:tc>
        <w:tc>
          <w:tcPr>
            <w:tcW w:w="3580" w:type="dxa"/>
            <w:vAlign w:val="bottom"/>
          </w:tcPr>
          <w:p>
            <w:pPr>
              <w:ind w:left="260"/>
              <w:spacing w:after="0"/>
              <w:rPr>
                <w:sz w:val="20"/>
                <w:szCs w:val="20"/>
                <w:color w:val="auto"/>
              </w:rPr>
            </w:pPr>
            <w:r>
              <w:rPr>
                <w:rFonts w:ascii="Arial" w:cs="Arial" w:eastAsia="Arial" w:hAnsi="Arial"/>
                <w:sz w:val="20"/>
                <w:szCs w:val="20"/>
                <w:color w:val="auto"/>
              </w:rPr>
              <w:t>Roche Patent Rights</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1.91</w:t>
            </w:r>
          </w:p>
        </w:tc>
        <w:tc>
          <w:tcPr>
            <w:tcW w:w="3580" w:type="dxa"/>
            <w:vAlign w:val="bottom"/>
          </w:tcPr>
          <w:p>
            <w:pPr>
              <w:ind w:left="260"/>
              <w:spacing w:after="0"/>
              <w:rPr>
                <w:sz w:val="20"/>
                <w:szCs w:val="20"/>
                <w:color w:val="auto"/>
              </w:rPr>
            </w:pPr>
            <w:r>
              <w:rPr>
                <w:rFonts w:ascii="Arial" w:cs="Arial" w:eastAsia="Arial" w:hAnsi="Arial"/>
                <w:sz w:val="20"/>
                <w:szCs w:val="20"/>
                <w:color w:val="auto"/>
              </w:rPr>
              <w:t>Roche Royalty Territory</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1.92</w:t>
            </w:r>
          </w:p>
        </w:tc>
        <w:tc>
          <w:tcPr>
            <w:tcW w:w="3580" w:type="dxa"/>
            <w:vAlign w:val="bottom"/>
          </w:tcPr>
          <w:p>
            <w:pPr>
              <w:ind w:left="260"/>
              <w:spacing w:after="0"/>
              <w:rPr>
                <w:sz w:val="20"/>
                <w:szCs w:val="20"/>
                <w:color w:val="auto"/>
              </w:rPr>
            </w:pPr>
            <w:r>
              <w:rPr>
                <w:rFonts w:ascii="Arial" w:cs="Arial" w:eastAsia="Arial" w:hAnsi="Arial"/>
                <w:sz w:val="20"/>
                <w:szCs w:val="20"/>
                <w:color w:val="auto"/>
              </w:rPr>
              <w:t>Roche Territory</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1.93</w:t>
            </w:r>
          </w:p>
        </w:tc>
        <w:tc>
          <w:tcPr>
            <w:tcW w:w="3580" w:type="dxa"/>
            <w:vAlign w:val="bottom"/>
          </w:tcPr>
          <w:p>
            <w:pPr>
              <w:ind w:left="260"/>
              <w:spacing w:after="0"/>
              <w:rPr>
                <w:sz w:val="20"/>
                <w:szCs w:val="20"/>
                <w:color w:val="auto"/>
              </w:rPr>
            </w:pPr>
            <w:r>
              <w:rPr>
                <w:rFonts w:ascii="Arial" w:cs="Arial" w:eastAsia="Arial" w:hAnsi="Arial"/>
                <w:sz w:val="20"/>
                <w:szCs w:val="20"/>
                <w:color w:val="auto"/>
              </w:rPr>
              <w:t>Royalty Exclusion Countries</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1.94</w:t>
            </w:r>
          </w:p>
        </w:tc>
        <w:tc>
          <w:tcPr>
            <w:tcW w:w="3580" w:type="dxa"/>
            <w:vAlign w:val="bottom"/>
          </w:tcPr>
          <w:p>
            <w:pPr>
              <w:ind w:left="260"/>
              <w:spacing w:after="0"/>
              <w:rPr>
                <w:sz w:val="20"/>
                <w:szCs w:val="20"/>
                <w:color w:val="auto"/>
              </w:rPr>
            </w:pPr>
            <w:r>
              <w:rPr>
                <w:rFonts w:ascii="Arial" w:cs="Arial" w:eastAsia="Arial" w:hAnsi="Arial"/>
                <w:sz w:val="20"/>
                <w:szCs w:val="20"/>
                <w:color w:val="auto"/>
              </w:rPr>
              <w:t>Royalty Term</w:t>
            </w:r>
          </w:p>
        </w:tc>
      </w:tr>
      <w:tr>
        <w:trPr>
          <w:trHeight w:val="229"/>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1.95</w:t>
            </w:r>
          </w:p>
        </w:tc>
        <w:tc>
          <w:tcPr>
            <w:tcW w:w="3580" w:type="dxa"/>
            <w:vAlign w:val="bottom"/>
          </w:tcPr>
          <w:p>
            <w:pPr>
              <w:ind w:left="260"/>
              <w:spacing w:after="0"/>
              <w:rPr>
                <w:sz w:val="20"/>
                <w:szCs w:val="20"/>
                <w:color w:val="auto"/>
              </w:rPr>
            </w:pPr>
            <w:r>
              <w:rPr>
                <w:rFonts w:ascii="Arial" w:cs="Arial" w:eastAsia="Arial" w:hAnsi="Arial"/>
                <w:sz w:val="20"/>
                <w:szCs w:val="20"/>
                <w:color w:val="auto"/>
              </w:rPr>
              <w:t>Sales</w:t>
            </w:r>
          </w:p>
        </w:tc>
      </w:tr>
      <w:tr>
        <w:trPr>
          <w:trHeight w:val="230"/>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1.96</w:t>
            </w:r>
          </w:p>
        </w:tc>
        <w:tc>
          <w:tcPr>
            <w:tcW w:w="3580" w:type="dxa"/>
            <w:vAlign w:val="bottom"/>
          </w:tcPr>
          <w:p>
            <w:pPr>
              <w:ind w:left="260"/>
              <w:spacing w:after="0"/>
              <w:rPr>
                <w:sz w:val="20"/>
                <w:szCs w:val="20"/>
                <w:color w:val="auto"/>
              </w:rPr>
            </w:pPr>
            <w:r>
              <w:rPr>
                <w:rFonts w:ascii="Arial" w:cs="Arial" w:eastAsia="Arial" w:hAnsi="Arial"/>
                <w:sz w:val="20"/>
                <w:szCs w:val="20"/>
                <w:color w:val="auto"/>
              </w:rPr>
              <w:t>SARS-COV-2</w:t>
            </w:r>
          </w:p>
        </w:tc>
      </w:tr>
      <w:tr>
        <w:trPr>
          <w:trHeight w:val="237"/>
        </w:trPr>
        <w:tc>
          <w:tcPr>
            <w:tcW w:w="640" w:type="dxa"/>
            <w:vAlign w:val="bottom"/>
          </w:tcPr>
          <w:p>
            <w:pPr>
              <w:jc w:val="right"/>
              <w:ind w:right="161"/>
              <w:spacing w:after="0"/>
              <w:rPr>
                <w:sz w:val="20"/>
                <w:szCs w:val="20"/>
                <w:color w:val="auto"/>
              </w:rPr>
            </w:pPr>
            <w:r>
              <w:rPr>
                <w:rFonts w:ascii="Arial" w:cs="Arial" w:eastAsia="Arial" w:hAnsi="Arial"/>
                <w:sz w:val="20"/>
                <w:szCs w:val="20"/>
                <w:color w:val="auto"/>
                <w:w w:val="92"/>
              </w:rPr>
              <w:t>1.97</w:t>
            </w:r>
          </w:p>
        </w:tc>
        <w:tc>
          <w:tcPr>
            <w:tcW w:w="3580" w:type="dxa"/>
            <w:vAlign w:val="bottom"/>
          </w:tcPr>
          <w:p>
            <w:pPr>
              <w:ind w:left="260"/>
              <w:spacing w:after="0"/>
              <w:rPr>
                <w:sz w:val="20"/>
                <w:szCs w:val="20"/>
                <w:color w:val="auto"/>
              </w:rPr>
            </w:pPr>
            <w:r>
              <w:rPr>
                <w:rFonts w:ascii="Arial" w:cs="Arial" w:eastAsia="Arial" w:hAnsi="Arial"/>
                <w:sz w:val="20"/>
                <w:szCs w:val="20"/>
                <w:color w:val="auto"/>
              </w:rPr>
              <w:t>Second Generation Process</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color w:val="auto"/>
        </w:rPr>
        <w:t>7</w:t>
      </w:r>
    </w:p>
    <w:p>
      <w:pPr>
        <w:jc w:val="right"/>
        <w:spacing w:after="0"/>
        <w:rPr>
          <w:sz w:val="20"/>
          <w:szCs w:val="20"/>
          <w:color w:val="auto"/>
        </w:rPr>
      </w:pPr>
      <w:r>
        <w:rPr>
          <w:rFonts w:ascii="Arial" w:cs="Arial" w:eastAsia="Arial" w:hAnsi="Arial"/>
          <w:sz w:val="20"/>
          <w:szCs w:val="20"/>
          <w:color w:val="auto"/>
        </w:rPr>
        <w:t>7</w:t>
      </w:r>
    </w:p>
    <w:p>
      <w:pPr>
        <w:jc w:val="right"/>
        <w:spacing w:after="0"/>
        <w:rPr>
          <w:sz w:val="20"/>
          <w:szCs w:val="20"/>
          <w:color w:val="auto"/>
        </w:rPr>
      </w:pPr>
      <w:r>
        <w:rPr>
          <w:rFonts w:ascii="Arial" w:cs="Arial" w:eastAsia="Arial" w:hAnsi="Arial"/>
          <w:sz w:val="20"/>
          <w:szCs w:val="20"/>
          <w:color w:val="auto"/>
        </w:rPr>
        <w:t>7</w:t>
      </w:r>
    </w:p>
    <w:p>
      <w:pPr>
        <w:jc w:val="right"/>
        <w:spacing w:after="0"/>
        <w:rPr>
          <w:sz w:val="20"/>
          <w:szCs w:val="20"/>
          <w:color w:val="auto"/>
        </w:rPr>
      </w:pPr>
      <w:r>
        <w:rPr>
          <w:rFonts w:ascii="Arial" w:cs="Arial" w:eastAsia="Arial" w:hAnsi="Arial"/>
          <w:sz w:val="20"/>
          <w:szCs w:val="20"/>
          <w:color w:val="auto"/>
        </w:rPr>
        <w:t>7</w:t>
      </w:r>
    </w:p>
    <w:p>
      <w:pPr>
        <w:jc w:val="right"/>
        <w:spacing w:after="0"/>
        <w:rPr>
          <w:sz w:val="20"/>
          <w:szCs w:val="20"/>
          <w:color w:val="auto"/>
        </w:rPr>
      </w:pPr>
      <w:r>
        <w:rPr>
          <w:rFonts w:ascii="Arial" w:cs="Arial" w:eastAsia="Arial" w:hAnsi="Arial"/>
          <w:sz w:val="20"/>
          <w:szCs w:val="20"/>
          <w:color w:val="auto"/>
        </w:rPr>
        <w:t>7</w:t>
      </w:r>
    </w:p>
    <w:p>
      <w:pPr>
        <w:jc w:val="right"/>
        <w:spacing w:after="0"/>
        <w:rPr>
          <w:sz w:val="20"/>
          <w:szCs w:val="20"/>
          <w:color w:val="auto"/>
        </w:rPr>
      </w:pPr>
      <w:r>
        <w:rPr>
          <w:rFonts w:ascii="Arial" w:cs="Arial" w:eastAsia="Arial" w:hAnsi="Arial"/>
          <w:sz w:val="20"/>
          <w:szCs w:val="20"/>
          <w:color w:val="auto"/>
        </w:rPr>
        <w:t>7</w:t>
      </w:r>
    </w:p>
    <w:p>
      <w:pPr>
        <w:jc w:val="right"/>
        <w:spacing w:after="0"/>
        <w:rPr>
          <w:sz w:val="20"/>
          <w:szCs w:val="20"/>
          <w:color w:val="auto"/>
        </w:rPr>
      </w:pPr>
      <w:r>
        <w:rPr>
          <w:rFonts w:ascii="Arial" w:cs="Arial" w:eastAsia="Arial" w:hAnsi="Arial"/>
          <w:sz w:val="20"/>
          <w:szCs w:val="20"/>
          <w:color w:val="auto"/>
        </w:rPr>
        <w:t>7</w:t>
      </w:r>
    </w:p>
    <w:p>
      <w:pPr>
        <w:jc w:val="right"/>
        <w:spacing w:after="0"/>
        <w:rPr>
          <w:sz w:val="20"/>
          <w:szCs w:val="20"/>
          <w:color w:val="auto"/>
        </w:rPr>
      </w:pPr>
      <w:r>
        <w:rPr>
          <w:rFonts w:ascii="Arial" w:cs="Arial" w:eastAsia="Arial" w:hAnsi="Arial"/>
          <w:sz w:val="20"/>
          <w:szCs w:val="20"/>
          <w:color w:val="auto"/>
        </w:rPr>
        <w:t>8</w:t>
      </w:r>
    </w:p>
    <w:p>
      <w:pPr>
        <w:jc w:val="right"/>
        <w:spacing w:after="0"/>
        <w:rPr>
          <w:sz w:val="20"/>
          <w:szCs w:val="20"/>
          <w:color w:val="auto"/>
        </w:rPr>
      </w:pPr>
      <w:r>
        <w:rPr>
          <w:rFonts w:ascii="Arial" w:cs="Arial" w:eastAsia="Arial" w:hAnsi="Arial"/>
          <w:sz w:val="20"/>
          <w:szCs w:val="20"/>
          <w:color w:val="auto"/>
        </w:rPr>
        <w:t>8</w:t>
      </w:r>
    </w:p>
    <w:p>
      <w:pPr>
        <w:jc w:val="right"/>
        <w:spacing w:after="0"/>
        <w:rPr>
          <w:sz w:val="20"/>
          <w:szCs w:val="20"/>
          <w:color w:val="auto"/>
        </w:rPr>
      </w:pPr>
      <w:r>
        <w:rPr>
          <w:rFonts w:ascii="Arial" w:cs="Arial" w:eastAsia="Arial" w:hAnsi="Arial"/>
          <w:sz w:val="20"/>
          <w:szCs w:val="20"/>
          <w:color w:val="auto"/>
        </w:rPr>
        <w:t>8</w:t>
      </w:r>
    </w:p>
    <w:p>
      <w:pPr>
        <w:jc w:val="right"/>
        <w:spacing w:after="0"/>
        <w:rPr>
          <w:sz w:val="20"/>
          <w:szCs w:val="20"/>
          <w:color w:val="auto"/>
        </w:rPr>
      </w:pPr>
      <w:r>
        <w:rPr>
          <w:rFonts w:ascii="Arial" w:cs="Arial" w:eastAsia="Arial" w:hAnsi="Arial"/>
          <w:sz w:val="20"/>
          <w:szCs w:val="20"/>
          <w:color w:val="auto"/>
        </w:rPr>
        <w:t>8</w:t>
      </w:r>
    </w:p>
    <w:p>
      <w:pPr>
        <w:jc w:val="right"/>
        <w:spacing w:after="0"/>
        <w:rPr>
          <w:sz w:val="20"/>
          <w:szCs w:val="20"/>
          <w:color w:val="auto"/>
        </w:rPr>
      </w:pPr>
      <w:r>
        <w:rPr>
          <w:rFonts w:ascii="Arial" w:cs="Arial" w:eastAsia="Arial" w:hAnsi="Arial"/>
          <w:sz w:val="20"/>
          <w:szCs w:val="20"/>
          <w:color w:val="auto"/>
        </w:rPr>
        <w:t>8</w:t>
      </w:r>
    </w:p>
    <w:p>
      <w:pPr>
        <w:jc w:val="right"/>
        <w:spacing w:after="0"/>
        <w:rPr>
          <w:sz w:val="20"/>
          <w:szCs w:val="20"/>
          <w:color w:val="auto"/>
        </w:rPr>
      </w:pPr>
      <w:r>
        <w:rPr>
          <w:rFonts w:ascii="Arial" w:cs="Arial" w:eastAsia="Arial" w:hAnsi="Arial"/>
          <w:sz w:val="20"/>
          <w:szCs w:val="20"/>
          <w:color w:val="auto"/>
        </w:rPr>
        <w:t>8</w:t>
      </w:r>
    </w:p>
    <w:p>
      <w:pPr>
        <w:jc w:val="right"/>
        <w:spacing w:after="0"/>
        <w:rPr>
          <w:sz w:val="20"/>
          <w:szCs w:val="20"/>
          <w:color w:val="auto"/>
        </w:rPr>
      </w:pPr>
      <w:r>
        <w:rPr>
          <w:rFonts w:ascii="Arial" w:cs="Arial" w:eastAsia="Arial" w:hAnsi="Arial"/>
          <w:sz w:val="20"/>
          <w:szCs w:val="20"/>
          <w:color w:val="auto"/>
        </w:rPr>
        <w:t>8</w:t>
      </w:r>
    </w:p>
    <w:p>
      <w:pPr>
        <w:jc w:val="right"/>
        <w:spacing w:after="0"/>
        <w:rPr>
          <w:sz w:val="20"/>
          <w:szCs w:val="20"/>
          <w:color w:val="auto"/>
        </w:rPr>
      </w:pPr>
      <w:r>
        <w:rPr>
          <w:rFonts w:ascii="Arial" w:cs="Arial" w:eastAsia="Arial" w:hAnsi="Arial"/>
          <w:sz w:val="20"/>
          <w:szCs w:val="20"/>
          <w:color w:val="auto"/>
        </w:rPr>
        <w:t>8</w:t>
      </w:r>
    </w:p>
    <w:p>
      <w:pPr>
        <w:jc w:val="right"/>
        <w:spacing w:after="0"/>
        <w:rPr>
          <w:sz w:val="20"/>
          <w:szCs w:val="20"/>
          <w:color w:val="auto"/>
        </w:rPr>
      </w:pPr>
      <w:r>
        <w:rPr>
          <w:rFonts w:ascii="Arial" w:cs="Arial" w:eastAsia="Arial" w:hAnsi="Arial"/>
          <w:sz w:val="20"/>
          <w:szCs w:val="20"/>
          <w:color w:val="auto"/>
        </w:rPr>
        <w:t>8</w:t>
      </w:r>
    </w:p>
    <w:p>
      <w:pPr>
        <w:jc w:val="right"/>
        <w:spacing w:after="0"/>
        <w:rPr>
          <w:sz w:val="20"/>
          <w:szCs w:val="20"/>
          <w:color w:val="auto"/>
        </w:rPr>
      </w:pPr>
      <w:r>
        <w:rPr>
          <w:rFonts w:ascii="Arial" w:cs="Arial" w:eastAsia="Arial" w:hAnsi="Arial"/>
          <w:sz w:val="20"/>
          <w:szCs w:val="20"/>
          <w:color w:val="auto"/>
        </w:rPr>
        <w:t>8</w:t>
      </w:r>
    </w:p>
    <w:p>
      <w:pPr>
        <w:jc w:val="right"/>
        <w:spacing w:after="0"/>
        <w:rPr>
          <w:sz w:val="20"/>
          <w:szCs w:val="20"/>
          <w:color w:val="auto"/>
        </w:rPr>
      </w:pPr>
      <w:r>
        <w:rPr>
          <w:rFonts w:ascii="Arial" w:cs="Arial" w:eastAsia="Arial" w:hAnsi="Arial"/>
          <w:sz w:val="20"/>
          <w:szCs w:val="20"/>
          <w:color w:val="auto"/>
        </w:rPr>
        <w:t>9</w:t>
      </w:r>
    </w:p>
    <w:p>
      <w:pPr>
        <w:jc w:val="right"/>
        <w:spacing w:after="0"/>
        <w:rPr>
          <w:sz w:val="20"/>
          <w:szCs w:val="20"/>
          <w:color w:val="auto"/>
        </w:rPr>
      </w:pPr>
      <w:r>
        <w:rPr>
          <w:rFonts w:ascii="Arial" w:cs="Arial" w:eastAsia="Arial" w:hAnsi="Arial"/>
          <w:sz w:val="20"/>
          <w:szCs w:val="20"/>
          <w:color w:val="auto"/>
        </w:rPr>
        <w:t>9</w:t>
      </w:r>
    </w:p>
    <w:p>
      <w:pPr>
        <w:jc w:val="right"/>
        <w:spacing w:after="0"/>
        <w:rPr>
          <w:sz w:val="20"/>
          <w:szCs w:val="20"/>
          <w:color w:val="auto"/>
        </w:rPr>
      </w:pPr>
      <w:r>
        <w:rPr>
          <w:rFonts w:ascii="Arial" w:cs="Arial" w:eastAsia="Arial" w:hAnsi="Arial"/>
          <w:sz w:val="20"/>
          <w:szCs w:val="20"/>
          <w:color w:val="auto"/>
        </w:rPr>
        <w:t>9</w:t>
      </w:r>
    </w:p>
    <w:p>
      <w:pPr>
        <w:jc w:val="right"/>
        <w:spacing w:after="0"/>
        <w:rPr>
          <w:sz w:val="20"/>
          <w:szCs w:val="20"/>
          <w:color w:val="auto"/>
        </w:rPr>
      </w:pPr>
      <w:r>
        <w:rPr>
          <w:rFonts w:ascii="Arial" w:cs="Arial" w:eastAsia="Arial" w:hAnsi="Arial"/>
          <w:sz w:val="20"/>
          <w:szCs w:val="20"/>
          <w:color w:val="auto"/>
        </w:rPr>
        <w:t>9</w:t>
      </w:r>
    </w:p>
    <w:p>
      <w:pPr>
        <w:jc w:val="right"/>
        <w:spacing w:after="0"/>
        <w:rPr>
          <w:sz w:val="20"/>
          <w:szCs w:val="20"/>
          <w:color w:val="auto"/>
        </w:rPr>
      </w:pPr>
      <w:r>
        <w:rPr>
          <w:rFonts w:ascii="Arial" w:cs="Arial" w:eastAsia="Arial" w:hAnsi="Arial"/>
          <w:sz w:val="20"/>
          <w:szCs w:val="20"/>
          <w:color w:val="auto"/>
        </w:rPr>
        <w:t>9</w:t>
      </w:r>
    </w:p>
    <w:p>
      <w:pPr>
        <w:jc w:val="right"/>
        <w:spacing w:after="0"/>
        <w:rPr>
          <w:sz w:val="20"/>
          <w:szCs w:val="20"/>
          <w:color w:val="auto"/>
        </w:rPr>
      </w:pPr>
      <w:r>
        <w:rPr>
          <w:rFonts w:ascii="Arial" w:cs="Arial" w:eastAsia="Arial" w:hAnsi="Arial"/>
          <w:sz w:val="20"/>
          <w:szCs w:val="20"/>
          <w:color w:val="auto"/>
        </w:rPr>
        <w:t>9</w:t>
      </w:r>
    </w:p>
    <w:p>
      <w:pPr>
        <w:jc w:val="right"/>
        <w:spacing w:after="0"/>
        <w:rPr>
          <w:sz w:val="20"/>
          <w:szCs w:val="20"/>
          <w:color w:val="auto"/>
        </w:rPr>
      </w:pPr>
      <w:r>
        <w:rPr>
          <w:rFonts w:ascii="Arial" w:cs="Arial" w:eastAsia="Arial" w:hAnsi="Arial"/>
          <w:sz w:val="20"/>
          <w:szCs w:val="20"/>
          <w:color w:val="auto"/>
        </w:rPr>
        <w:t>9</w:t>
      </w:r>
    </w:p>
    <w:p>
      <w:pPr>
        <w:jc w:val="right"/>
        <w:spacing w:after="0"/>
        <w:rPr>
          <w:sz w:val="20"/>
          <w:szCs w:val="20"/>
          <w:color w:val="auto"/>
        </w:rPr>
      </w:pPr>
      <w:r>
        <w:rPr>
          <w:rFonts w:ascii="Arial" w:cs="Arial" w:eastAsia="Arial" w:hAnsi="Arial"/>
          <w:sz w:val="19"/>
          <w:szCs w:val="19"/>
          <w:color w:val="auto"/>
        </w:rPr>
        <w:t>10</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w:t>
      </w:r>
    </w:p>
    <w:p>
      <w:pPr>
        <w:spacing w:after="0" w:line="205" w:lineRule="exact"/>
        <w:rPr>
          <w:sz w:val="20"/>
          <w:szCs w:val="20"/>
          <w:color w:val="auto"/>
        </w:rPr>
      </w:pPr>
    </w:p>
    <w:p>
      <w:pPr>
        <w:sectPr>
          <w:pgSz w:w="11900" w:h="16838" w:orient="portrait"/>
          <w:cols w:equalWidth="0" w:num="2">
            <w:col w:w="9660" w:space="720"/>
            <w:col w:w="220"/>
          </w:cols>
          <w:pgMar w:left="960" w:top="351"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10220"/>
        <w:spacing w:after="0"/>
        <w:rPr>
          <w:sz w:val="20"/>
          <w:szCs w:val="20"/>
          <w:color w:val="auto"/>
        </w:rPr>
      </w:pPr>
      <w:r>
        <w:rPr>
          <w:rFonts w:ascii="Arial" w:cs="Arial" w:eastAsia="Arial" w:hAnsi="Arial"/>
          <w:sz w:val="20"/>
          <w:szCs w:val="20"/>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49530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00"/>
          </w:cols>
          <w:pgMar w:left="960" w:top="351" w:right="339" w:bottom="1440" w:gutter="0" w:footer="0" w:header="0"/>
          <w:type w:val="continuous"/>
        </w:sectPr>
      </w:pPr>
    </w:p>
    <w:bookmarkStart w:id="92" w:name="page93"/>
    <w:bookmarkEnd w:id="92"/>
    <w:tbl>
      <w:tblPr>
        <w:tblLayout w:type="fixed"/>
        <w:tblInd w:w="632"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20"/>
                <w:szCs w:val="20"/>
                <w:color w:val="auto"/>
              </w:rPr>
              <w:t>1.98</w:t>
            </w:r>
          </w:p>
        </w:tc>
        <w:tc>
          <w:tcPr>
            <w:tcW w:w="2200" w:type="dxa"/>
            <w:vAlign w:val="bottom"/>
          </w:tcPr>
          <w:p>
            <w:pPr>
              <w:ind w:left="200"/>
              <w:spacing w:after="0"/>
              <w:rPr>
                <w:sz w:val="20"/>
                <w:szCs w:val="20"/>
                <w:color w:val="auto"/>
              </w:rPr>
            </w:pPr>
            <w:r>
              <w:rPr>
                <w:rFonts w:ascii="Arial" w:cs="Arial" w:eastAsia="Arial" w:hAnsi="Arial"/>
                <w:sz w:val="20"/>
                <w:szCs w:val="20"/>
                <w:color w:val="auto"/>
              </w:rPr>
              <w:t>Stockpiling</w:t>
            </w:r>
          </w:p>
        </w:tc>
      </w:tr>
      <w:tr>
        <w:trPr>
          <w:trHeight w:val="230"/>
        </w:trPr>
        <w:tc>
          <w:tcPr>
            <w:tcW w:w="700" w:type="dxa"/>
            <w:vAlign w:val="bottom"/>
          </w:tcPr>
          <w:p>
            <w:pPr>
              <w:spacing w:after="0"/>
              <w:rPr>
                <w:sz w:val="20"/>
                <w:szCs w:val="20"/>
                <w:color w:val="auto"/>
              </w:rPr>
            </w:pPr>
            <w:r>
              <w:rPr>
                <w:rFonts w:ascii="Arial" w:cs="Arial" w:eastAsia="Arial" w:hAnsi="Arial"/>
                <w:sz w:val="20"/>
                <w:szCs w:val="20"/>
                <w:color w:val="auto"/>
              </w:rPr>
              <w:t>1.99</w:t>
            </w:r>
          </w:p>
        </w:tc>
        <w:tc>
          <w:tcPr>
            <w:tcW w:w="2200" w:type="dxa"/>
            <w:vAlign w:val="bottom"/>
          </w:tcPr>
          <w:p>
            <w:pPr>
              <w:ind w:left="200"/>
              <w:spacing w:after="0"/>
              <w:rPr>
                <w:sz w:val="20"/>
                <w:szCs w:val="20"/>
                <w:color w:val="auto"/>
              </w:rPr>
            </w:pPr>
            <w:r>
              <w:rPr>
                <w:rFonts w:ascii="Arial" w:cs="Arial" w:eastAsia="Arial" w:hAnsi="Arial"/>
                <w:sz w:val="20"/>
                <w:szCs w:val="20"/>
                <w:color w:val="auto"/>
              </w:rPr>
              <w:t>Sublicensee</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1.100</w:t>
            </w:r>
          </w:p>
        </w:tc>
        <w:tc>
          <w:tcPr>
            <w:tcW w:w="2200" w:type="dxa"/>
            <w:vAlign w:val="bottom"/>
          </w:tcPr>
          <w:p>
            <w:pPr>
              <w:ind w:left="200"/>
              <w:spacing w:after="0"/>
              <w:rPr>
                <w:sz w:val="20"/>
                <w:szCs w:val="20"/>
                <w:color w:val="auto"/>
              </w:rPr>
            </w:pPr>
            <w:r>
              <w:rPr>
                <w:rFonts w:ascii="Arial" w:cs="Arial" w:eastAsia="Arial" w:hAnsi="Arial"/>
                <w:sz w:val="20"/>
                <w:szCs w:val="20"/>
                <w:color w:val="auto"/>
              </w:rPr>
              <w:t>Territory</w:t>
            </w:r>
          </w:p>
        </w:tc>
      </w:tr>
      <w:tr>
        <w:trPr>
          <w:trHeight w:val="230"/>
        </w:trPr>
        <w:tc>
          <w:tcPr>
            <w:tcW w:w="700" w:type="dxa"/>
            <w:vAlign w:val="bottom"/>
          </w:tcPr>
          <w:p>
            <w:pPr>
              <w:spacing w:after="0"/>
              <w:rPr>
                <w:sz w:val="20"/>
                <w:szCs w:val="20"/>
                <w:color w:val="auto"/>
              </w:rPr>
            </w:pPr>
            <w:r>
              <w:rPr>
                <w:rFonts w:ascii="Arial" w:cs="Arial" w:eastAsia="Arial" w:hAnsi="Arial"/>
                <w:sz w:val="20"/>
                <w:szCs w:val="20"/>
                <w:color w:val="auto"/>
              </w:rPr>
              <w:t>1.101</w:t>
            </w:r>
          </w:p>
        </w:tc>
        <w:tc>
          <w:tcPr>
            <w:tcW w:w="2200" w:type="dxa"/>
            <w:vAlign w:val="bottom"/>
          </w:tcPr>
          <w:p>
            <w:pPr>
              <w:ind w:left="200"/>
              <w:spacing w:after="0"/>
              <w:rPr>
                <w:sz w:val="20"/>
                <w:szCs w:val="20"/>
                <w:color w:val="auto"/>
              </w:rPr>
            </w:pPr>
            <w:r>
              <w:rPr>
                <w:rFonts w:ascii="Arial" w:cs="Arial" w:eastAsia="Arial" w:hAnsi="Arial"/>
                <w:sz w:val="20"/>
                <w:szCs w:val="20"/>
                <w:color w:val="auto"/>
                <w:w w:val="97"/>
              </w:rPr>
              <w:t>Therapeutic Use Claim</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1.102</w:t>
            </w:r>
          </w:p>
        </w:tc>
        <w:tc>
          <w:tcPr>
            <w:tcW w:w="2200" w:type="dxa"/>
            <w:vAlign w:val="bottom"/>
          </w:tcPr>
          <w:p>
            <w:pPr>
              <w:ind w:left="200"/>
              <w:spacing w:after="0"/>
              <w:rPr>
                <w:sz w:val="20"/>
                <w:szCs w:val="20"/>
                <w:color w:val="auto"/>
              </w:rPr>
            </w:pPr>
            <w:r>
              <w:rPr>
                <w:rFonts w:ascii="Arial" w:cs="Arial" w:eastAsia="Arial" w:hAnsi="Arial"/>
                <w:sz w:val="20"/>
                <w:szCs w:val="20"/>
                <w:color w:val="auto"/>
              </w:rPr>
              <w:t>Third Party</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1.103</w:t>
            </w:r>
          </w:p>
        </w:tc>
        <w:tc>
          <w:tcPr>
            <w:tcW w:w="2200" w:type="dxa"/>
            <w:vAlign w:val="bottom"/>
          </w:tcPr>
          <w:p>
            <w:pPr>
              <w:ind w:left="200"/>
              <w:spacing w:after="0"/>
              <w:rPr>
                <w:sz w:val="20"/>
                <w:szCs w:val="20"/>
                <w:color w:val="auto"/>
              </w:rPr>
            </w:pPr>
            <w:r>
              <w:rPr>
                <w:rFonts w:ascii="Arial" w:cs="Arial" w:eastAsia="Arial" w:hAnsi="Arial"/>
                <w:sz w:val="20"/>
                <w:szCs w:val="20"/>
                <w:color w:val="auto"/>
              </w:rPr>
              <w:t>US</w:t>
            </w:r>
          </w:p>
        </w:tc>
      </w:tr>
      <w:tr>
        <w:trPr>
          <w:trHeight w:val="230"/>
        </w:trPr>
        <w:tc>
          <w:tcPr>
            <w:tcW w:w="700" w:type="dxa"/>
            <w:vAlign w:val="bottom"/>
          </w:tcPr>
          <w:p>
            <w:pPr>
              <w:spacing w:after="0"/>
              <w:rPr>
                <w:sz w:val="20"/>
                <w:szCs w:val="20"/>
                <w:color w:val="auto"/>
              </w:rPr>
            </w:pPr>
            <w:r>
              <w:rPr>
                <w:rFonts w:ascii="Arial" w:cs="Arial" w:eastAsia="Arial" w:hAnsi="Arial"/>
                <w:sz w:val="20"/>
                <w:szCs w:val="20"/>
                <w:color w:val="auto"/>
              </w:rPr>
              <w:t>1.104</w:t>
            </w:r>
          </w:p>
        </w:tc>
        <w:tc>
          <w:tcPr>
            <w:tcW w:w="2200" w:type="dxa"/>
            <w:vAlign w:val="bottom"/>
          </w:tcPr>
          <w:p>
            <w:pPr>
              <w:ind w:left="200"/>
              <w:spacing w:after="0"/>
              <w:rPr>
                <w:sz w:val="20"/>
                <w:szCs w:val="20"/>
                <w:color w:val="auto"/>
              </w:rPr>
            </w:pPr>
            <w:r>
              <w:rPr>
                <w:rFonts w:ascii="Arial" w:cs="Arial" w:eastAsia="Arial" w:hAnsi="Arial"/>
                <w:sz w:val="20"/>
                <w:szCs w:val="20"/>
                <w:color w:val="auto"/>
              </w:rPr>
              <w:t>US$</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1.105</w:t>
            </w:r>
          </w:p>
        </w:tc>
        <w:tc>
          <w:tcPr>
            <w:tcW w:w="2200" w:type="dxa"/>
            <w:vAlign w:val="bottom"/>
          </w:tcPr>
          <w:p>
            <w:pPr>
              <w:ind w:left="200"/>
              <w:spacing w:after="0"/>
              <w:rPr>
                <w:sz w:val="20"/>
                <w:szCs w:val="20"/>
                <w:color w:val="auto"/>
              </w:rPr>
            </w:pPr>
            <w:r>
              <w:rPr>
                <w:rFonts w:ascii="Arial" w:cs="Arial" w:eastAsia="Arial" w:hAnsi="Arial"/>
                <w:sz w:val="20"/>
                <w:szCs w:val="20"/>
                <w:color w:val="auto"/>
              </w:rPr>
              <w:t>Valid Claim</w:t>
            </w:r>
          </w:p>
        </w:tc>
      </w:tr>
      <w:tr>
        <w:trPr>
          <w:trHeight w:val="229"/>
        </w:trPr>
        <w:tc>
          <w:tcPr>
            <w:tcW w:w="700" w:type="dxa"/>
            <w:vAlign w:val="bottom"/>
          </w:tcPr>
          <w:p>
            <w:pPr>
              <w:spacing w:after="0"/>
              <w:rPr>
                <w:sz w:val="20"/>
                <w:szCs w:val="20"/>
                <w:color w:val="auto"/>
              </w:rPr>
            </w:pPr>
            <w:r>
              <w:rPr>
                <w:rFonts w:ascii="Arial" w:cs="Arial" w:eastAsia="Arial" w:hAnsi="Arial"/>
                <w:sz w:val="20"/>
                <w:szCs w:val="20"/>
                <w:color w:val="auto"/>
              </w:rPr>
              <w:t>1.106</w:t>
            </w:r>
          </w:p>
        </w:tc>
        <w:tc>
          <w:tcPr>
            <w:tcW w:w="2200" w:type="dxa"/>
            <w:vAlign w:val="bottom"/>
          </w:tcPr>
          <w:p>
            <w:pPr>
              <w:ind w:left="200"/>
              <w:spacing w:after="0"/>
              <w:rPr>
                <w:sz w:val="20"/>
                <w:szCs w:val="20"/>
                <w:color w:val="auto"/>
              </w:rPr>
            </w:pPr>
            <w:r>
              <w:rPr>
                <w:rFonts w:ascii="Arial" w:cs="Arial" w:eastAsia="Arial" w:hAnsi="Arial"/>
                <w:sz w:val="20"/>
                <w:szCs w:val="20"/>
                <w:color w:val="auto"/>
              </w:rPr>
              <w:t>Additional Definitions</w:t>
            </w:r>
          </w:p>
        </w:tc>
      </w:tr>
    </w:tbl>
    <w:p>
      <w:pPr>
        <w:ind w:left="632" w:hanging="632"/>
        <w:spacing w:after="0" w:line="225" w:lineRule="auto"/>
        <w:tabs>
          <w:tab w:leader="none" w:pos="632" w:val="left"/>
        </w:tabs>
        <w:numPr>
          <w:ilvl w:val="0"/>
          <w:numId w:val="48"/>
        </w:numPr>
        <w:rPr>
          <w:rFonts w:ascii="Arial" w:cs="Arial" w:eastAsia="Arial" w:hAnsi="Arial"/>
          <w:sz w:val="20"/>
          <w:szCs w:val="20"/>
          <w:color w:val="auto"/>
        </w:rPr>
      </w:pPr>
      <w:r>
        <w:rPr>
          <w:rFonts w:ascii="Arial" w:cs="Arial" w:eastAsia="Arial" w:hAnsi="Arial"/>
          <w:sz w:val="20"/>
          <w:szCs w:val="20"/>
          <w:color w:val="auto"/>
        </w:rPr>
        <w:t>Grant of License</w:t>
      </w:r>
    </w:p>
    <w:p>
      <w:pPr>
        <w:ind w:left="632"/>
        <w:spacing w:after="0"/>
        <w:rPr>
          <w:rFonts w:ascii="Arial" w:cs="Arial" w:eastAsia="Arial" w:hAnsi="Arial"/>
          <w:sz w:val="20"/>
          <w:szCs w:val="20"/>
          <w:color w:val="auto"/>
        </w:rPr>
      </w:pPr>
      <w:r>
        <w:rPr>
          <w:rFonts w:ascii="Arial" w:cs="Arial" w:eastAsia="Arial" w:hAnsi="Arial"/>
          <w:sz w:val="20"/>
          <w:szCs w:val="20"/>
          <w:color w:val="auto"/>
        </w:rPr>
        <w:t>2.1</w:t>
      </w:r>
      <w:r>
        <w:rPr>
          <w:rFonts w:ascii="Arial" w:cs="Arial" w:eastAsia="Arial" w:hAnsi="Arial"/>
          <w:sz w:val="19"/>
          <w:szCs w:val="19"/>
          <w:color w:val="auto"/>
        </w:rPr>
        <w:t>Licenses</w:t>
      </w:r>
    </w:p>
    <w:p>
      <w:pPr>
        <w:ind w:left="632"/>
        <w:spacing w:after="0"/>
        <w:rPr>
          <w:rFonts w:ascii="Arial" w:cs="Arial" w:eastAsia="Arial" w:hAnsi="Arial"/>
          <w:sz w:val="20"/>
          <w:szCs w:val="20"/>
          <w:color w:val="auto"/>
        </w:rPr>
      </w:pPr>
      <w:r>
        <w:rPr>
          <w:rFonts w:ascii="Arial" w:cs="Arial" w:eastAsia="Arial" w:hAnsi="Arial"/>
          <w:sz w:val="20"/>
          <w:szCs w:val="20"/>
          <w:color w:val="auto"/>
        </w:rPr>
        <w:t>2.2</w:t>
      </w:r>
      <w:r>
        <w:rPr>
          <w:rFonts w:ascii="Arial" w:cs="Arial" w:eastAsia="Arial" w:hAnsi="Arial"/>
          <w:sz w:val="19"/>
          <w:szCs w:val="19"/>
          <w:color w:val="auto"/>
        </w:rPr>
        <w:t>Sublicense</w:t>
      </w:r>
    </w:p>
    <w:p>
      <w:pPr>
        <w:ind w:left="632"/>
        <w:spacing w:after="0"/>
        <w:rPr>
          <w:rFonts w:ascii="Arial" w:cs="Arial" w:eastAsia="Arial" w:hAnsi="Arial"/>
          <w:sz w:val="20"/>
          <w:szCs w:val="20"/>
          <w:color w:val="auto"/>
        </w:rPr>
      </w:pPr>
      <w:r>
        <w:rPr>
          <w:rFonts w:ascii="Arial" w:cs="Arial" w:eastAsia="Arial" w:hAnsi="Arial"/>
          <w:sz w:val="20"/>
          <w:szCs w:val="20"/>
          <w:color w:val="auto"/>
        </w:rPr>
        <w:t>2.3</w:t>
      </w:r>
      <w:r>
        <w:rPr>
          <w:rFonts w:ascii="Arial" w:cs="Arial" w:eastAsia="Arial" w:hAnsi="Arial"/>
          <w:sz w:val="19"/>
          <w:szCs w:val="19"/>
          <w:color w:val="auto"/>
        </w:rPr>
        <w:t>Atea Right to Request U.S. Co-Promotion</w:t>
      </w:r>
    </w:p>
    <w:p>
      <w:pPr>
        <w:ind w:left="632" w:hanging="632"/>
        <w:spacing w:after="0" w:line="225" w:lineRule="auto"/>
        <w:tabs>
          <w:tab w:leader="none" w:pos="632" w:val="left"/>
        </w:tabs>
        <w:numPr>
          <w:ilvl w:val="0"/>
          <w:numId w:val="48"/>
        </w:numPr>
        <w:rPr>
          <w:rFonts w:ascii="Arial" w:cs="Arial" w:eastAsia="Arial" w:hAnsi="Arial"/>
          <w:sz w:val="20"/>
          <w:szCs w:val="20"/>
          <w:color w:val="auto"/>
        </w:rPr>
      </w:pPr>
      <w:r>
        <w:rPr>
          <w:rFonts w:ascii="Arial" w:cs="Arial" w:eastAsia="Arial" w:hAnsi="Arial"/>
          <w:sz w:val="20"/>
          <w:szCs w:val="20"/>
          <w:color w:val="auto"/>
        </w:rPr>
        <w:t>Subcontracting</w:t>
      </w:r>
    </w:p>
    <w:p>
      <w:pPr>
        <w:ind w:left="632" w:hanging="632"/>
        <w:spacing w:after="0" w:line="225" w:lineRule="auto"/>
        <w:tabs>
          <w:tab w:leader="none" w:pos="632" w:val="left"/>
        </w:tabs>
        <w:numPr>
          <w:ilvl w:val="0"/>
          <w:numId w:val="48"/>
        </w:numPr>
        <w:rPr>
          <w:rFonts w:ascii="Arial" w:cs="Arial" w:eastAsia="Arial" w:hAnsi="Arial"/>
          <w:sz w:val="20"/>
          <w:szCs w:val="20"/>
          <w:color w:val="auto"/>
        </w:rPr>
      </w:pPr>
      <w:r>
        <w:rPr>
          <w:rFonts w:ascii="Arial" w:cs="Arial" w:eastAsia="Arial" w:hAnsi="Arial"/>
          <w:sz w:val="20"/>
          <w:szCs w:val="20"/>
          <w:color w:val="auto"/>
        </w:rPr>
        <w:t>Exclusivity</w:t>
      </w:r>
    </w:p>
    <w:p>
      <w:pPr>
        <w:ind w:left="632" w:hanging="632"/>
        <w:spacing w:after="0" w:line="225" w:lineRule="auto"/>
        <w:tabs>
          <w:tab w:leader="none" w:pos="632" w:val="left"/>
        </w:tabs>
        <w:numPr>
          <w:ilvl w:val="0"/>
          <w:numId w:val="48"/>
        </w:numPr>
        <w:rPr>
          <w:rFonts w:ascii="Arial" w:cs="Arial" w:eastAsia="Arial" w:hAnsi="Arial"/>
          <w:sz w:val="20"/>
          <w:szCs w:val="20"/>
          <w:color w:val="auto"/>
        </w:rPr>
      </w:pPr>
      <w:r>
        <w:rPr>
          <w:rFonts w:ascii="Arial" w:cs="Arial" w:eastAsia="Arial" w:hAnsi="Arial"/>
          <w:sz w:val="20"/>
          <w:szCs w:val="20"/>
          <w:color w:val="auto"/>
        </w:rPr>
        <w:t>Governance</w:t>
      </w:r>
    </w:p>
    <w:p>
      <w:pPr>
        <w:ind w:left="632"/>
        <w:spacing w:after="0"/>
        <w:rPr>
          <w:rFonts w:ascii="Arial" w:cs="Arial" w:eastAsia="Arial" w:hAnsi="Arial"/>
          <w:sz w:val="20"/>
          <w:szCs w:val="20"/>
          <w:color w:val="auto"/>
        </w:rPr>
      </w:pPr>
      <w:r>
        <w:rPr>
          <w:rFonts w:ascii="Arial" w:cs="Arial" w:eastAsia="Arial" w:hAnsi="Arial"/>
          <w:sz w:val="20"/>
          <w:szCs w:val="20"/>
          <w:color w:val="auto"/>
        </w:rPr>
        <w:t>5.1</w:t>
      </w:r>
      <w:r>
        <w:rPr>
          <w:rFonts w:ascii="Arial" w:cs="Arial" w:eastAsia="Arial" w:hAnsi="Arial"/>
          <w:sz w:val="19"/>
          <w:szCs w:val="19"/>
          <w:color w:val="auto"/>
        </w:rPr>
        <w:t>Joint Steering Committee</w:t>
      </w:r>
    </w:p>
    <w:p>
      <w:pPr>
        <w:ind w:left="632"/>
        <w:spacing w:after="0"/>
        <w:rPr>
          <w:rFonts w:ascii="Arial" w:cs="Arial" w:eastAsia="Arial" w:hAnsi="Arial"/>
          <w:sz w:val="20"/>
          <w:szCs w:val="20"/>
          <w:color w:val="auto"/>
        </w:rPr>
      </w:pPr>
      <w:r>
        <w:rPr>
          <w:rFonts w:ascii="Arial" w:cs="Arial" w:eastAsia="Arial" w:hAnsi="Arial"/>
          <w:sz w:val="20"/>
          <w:szCs w:val="20"/>
          <w:color w:val="auto"/>
        </w:rPr>
        <w:t>5.2</w:t>
      </w:r>
      <w:r>
        <w:rPr>
          <w:rFonts w:ascii="Arial" w:cs="Arial" w:eastAsia="Arial" w:hAnsi="Arial"/>
          <w:sz w:val="19"/>
          <w:szCs w:val="19"/>
          <w:color w:val="auto"/>
        </w:rPr>
        <w:t>Members</w:t>
      </w:r>
    </w:p>
    <w:p>
      <w:pPr>
        <w:ind w:left="632"/>
        <w:spacing w:after="0"/>
        <w:rPr>
          <w:rFonts w:ascii="Arial" w:cs="Arial" w:eastAsia="Arial" w:hAnsi="Arial"/>
          <w:sz w:val="20"/>
          <w:szCs w:val="20"/>
          <w:color w:val="auto"/>
        </w:rPr>
      </w:pPr>
      <w:r>
        <w:rPr>
          <w:rFonts w:ascii="Arial" w:cs="Arial" w:eastAsia="Arial" w:hAnsi="Arial"/>
          <w:sz w:val="20"/>
          <w:szCs w:val="20"/>
          <w:color w:val="auto"/>
        </w:rPr>
        <w:t>5.3</w:t>
      </w:r>
      <w:r>
        <w:rPr>
          <w:rFonts w:ascii="Arial" w:cs="Arial" w:eastAsia="Arial" w:hAnsi="Arial"/>
          <w:sz w:val="19"/>
          <w:szCs w:val="19"/>
          <w:color w:val="auto"/>
        </w:rPr>
        <w:t>Responsibilities of the JSC</w:t>
      </w:r>
    </w:p>
    <w:p>
      <w:pPr>
        <w:ind w:left="632"/>
        <w:spacing w:after="0"/>
        <w:rPr>
          <w:rFonts w:ascii="Arial" w:cs="Arial" w:eastAsia="Arial" w:hAnsi="Arial"/>
          <w:sz w:val="20"/>
          <w:szCs w:val="20"/>
          <w:color w:val="auto"/>
        </w:rPr>
      </w:pPr>
      <w:r>
        <w:rPr>
          <w:rFonts w:ascii="Arial" w:cs="Arial" w:eastAsia="Arial" w:hAnsi="Arial"/>
          <w:sz w:val="20"/>
          <w:szCs w:val="20"/>
          <w:color w:val="auto"/>
        </w:rPr>
        <w:t>5.4</w:t>
      </w:r>
      <w:r>
        <w:rPr>
          <w:rFonts w:ascii="Arial" w:cs="Arial" w:eastAsia="Arial" w:hAnsi="Arial"/>
          <w:sz w:val="19"/>
          <w:szCs w:val="19"/>
          <w:color w:val="auto"/>
        </w:rPr>
        <w:t>Meetings</w:t>
      </w:r>
    </w:p>
    <w:p>
      <w:pPr>
        <w:ind w:left="632"/>
        <w:spacing w:after="0"/>
        <w:rPr>
          <w:rFonts w:ascii="Arial" w:cs="Arial" w:eastAsia="Arial" w:hAnsi="Arial"/>
          <w:sz w:val="20"/>
          <w:szCs w:val="20"/>
          <w:color w:val="auto"/>
        </w:rPr>
      </w:pPr>
      <w:r>
        <w:rPr>
          <w:rFonts w:ascii="Arial" w:cs="Arial" w:eastAsia="Arial" w:hAnsi="Arial"/>
          <w:sz w:val="20"/>
          <w:szCs w:val="20"/>
          <w:color w:val="auto"/>
        </w:rPr>
        <w:t>5.5</w:t>
      </w:r>
      <w:r>
        <w:rPr>
          <w:rFonts w:ascii="Arial" w:cs="Arial" w:eastAsia="Arial" w:hAnsi="Arial"/>
          <w:sz w:val="19"/>
          <w:szCs w:val="19"/>
          <w:color w:val="auto"/>
        </w:rPr>
        <w:t>Minutes</w:t>
      </w:r>
    </w:p>
    <w:p>
      <w:pPr>
        <w:ind w:left="632"/>
        <w:spacing w:after="0"/>
        <w:rPr>
          <w:rFonts w:ascii="Arial" w:cs="Arial" w:eastAsia="Arial" w:hAnsi="Arial"/>
          <w:sz w:val="20"/>
          <w:szCs w:val="20"/>
          <w:color w:val="auto"/>
        </w:rPr>
      </w:pPr>
      <w:r>
        <w:rPr>
          <w:rFonts w:ascii="Arial" w:cs="Arial" w:eastAsia="Arial" w:hAnsi="Arial"/>
          <w:sz w:val="20"/>
          <w:szCs w:val="20"/>
          <w:color w:val="auto"/>
        </w:rPr>
        <w:t>5.6</w:t>
      </w:r>
      <w:r>
        <w:rPr>
          <w:rFonts w:ascii="Arial" w:cs="Arial" w:eastAsia="Arial" w:hAnsi="Arial"/>
          <w:sz w:val="19"/>
          <w:szCs w:val="19"/>
          <w:color w:val="auto"/>
        </w:rPr>
        <w:t>Decisions</w:t>
      </w:r>
    </w:p>
    <w:p>
      <w:pPr>
        <w:ind w:left="632"/>
        <w:spacing w:after="0"/>
        <w:rPr>
          <w:rFonts w:ascii="Arial" w:cs="Arial" w:eastAsia="Arial" w:hAnsi="Arial"/>
          <w:sz w:val="20"/>
          <w:szCs w:val="20"/>
          <w:color w:val="auto"/>
        </w:rPr>
      </w:pPr>
      <w:r>
        <w:rPr>
          <w:rFonts w:ascii="Arial" w:cs="Arial" w:eastAsia="Arial" w:hAnsi="Arial"/>
          <w:sz w:val="20"/>
          <w:szCs w:val="20"/>
          <w:color w:val="auto"/>
        </w:rPr>
        <w:t>5.7</w:t>
      </w:r>
      <w:r>
        <w:rPr>
          <w:rFonts w:ascii="Arial" w:cs="Arial" w:eastAsia="Arial" w:hAnsi="Arial"/>
          <w:sz w:val="19"/>
          <w:szCs w:val="19"/>
          <w:color w:val="auto"/>
        </w:rPr>
        <w:t>Subcommittees (JOC and JMC)</w:t>
      </w:r>
    </w:p>
    <w:p>
      <w:pPr>
        <w:ind w:left="632"/>
        <w:spacing w:after="0"/>
        <w:rPr>
          <w:rFonts w:ascii="Arial" w:cs="Arial" w:eastAsia="Arial" w:hAnsi="Arial"/>
          <w:sz w:val="20"/>
          <w:szCs w:val="20"/>
          <w:color w:val="auto"/>
        </w:rPr>
      </w:pPr>
      <w:r>
        <w:rPr>
          <w:rFonts w:ascii="Arial" w:cs="Arial" w:eastAsia="Arial" w:hAnsi="Arial"/>
          <w:sz w:val="20"/>
          <w:szCs w:val="20"/>
          <w:color w:val="auto"/>
        </w:rPr>
        <w:t>5.8</w:t>
      </w:r>
      <w:r>
        <w:rPr>
          <w:rFonts w:ascii="Arial" w:cs="Arial" w:eastAsia="Arial" w:hAnsi="Arial"/>
          <w:sz w:val="19"/>
          <w:szCs w:val="19"/>
          <w:color w:val="auto"/>
        </w:rPr>
        <w:t>Joint Operational Teams</w:t>
      </w:r>
    </w:p>
    <w:p>
      <w:pPr>
        <w:ind w:left="632"/>
        <w:spacing w:after="0"/>
        <w:rPr>
          <w:rFonts w:ascii="Arial" w:cs="Arial" w:eastAsia="Arial" w:hAnsi="Arial"/>
          <w:sz w:val="20"/>
          <w:szCs w:val="20"/>
          <w:color w:val="auto"/>
        </w:rPr>
      </w:pPr>
      <w:r>
        <w:rPr>
          <w:rFonts w:ascii="Arial" w:cs="Arial" w:eastAsia="Arial" w:hAnsi="Arial"/>
          <w:sz w:val="20"/>
          <w:szCs w:val="20"/>
          <w:color w:val="auto"/>
        </w:rPr>
        <w:t>5.9</w:t>
      </w:r>
      <w:r>
        <w:rPr>
          <w:rFonts w:ascii="Arial" w:cs="Arial" w:eastAsia="Arial" w:hAnsi="Arial"/>
          <w:sz w:val="19"/>
          <w:szCs w:val="19"/>
          <w:color w:val="auto"/>
        </w:rPr>
        <w:t>Information Exchange</w:t>
      </w:r>
    </w:p>
    <w:p>
      <w:pPr>
        <w:ind w:left="632"/>
        <w:spacing w:after="0"/>
        <w:rPr>
          <w:rFonts w:ascii="Arial" w:cs="Arial" w:eastAsia="Arial" w:hAnsi="Arial"/>
          <w:sz w:val="20"/>
          <w:szCs w:val="20"/>
          <w:color w:val="auto"/>
        </w:rPr>
      </w:pPr>
      <w:r>
        <w:rPr>
          <w:rFonts w:ascii="Arial" w:cs="Arial" w:eastAsia="Arial" w:hAnsi="Arial"/>
          <w:sz w:val="20"/>
          <w:szCs w:val="20"/>
          <w:color w:val="auto"/>
        </w:rPr>
        <w:t>5.10</w:t>
      </w:r>
      <w:r>
        <w:rPr>
          <w:rFonts w:ascii="Arial" w:cs="Arial" w:eastAsia="Arial" w:hAnsi="Arial"/>
          <w:sz w:val="19"/>
          <w:szCs w:val="19"/>
          <w:color w:val="auto"/>
        </w:rPr>
        <w:t>Alliance Director</w:t>
      </w:r>
    </w:p>
    <w:p>
      <w:pPr>
        <w:ind w:left="632"/>
        <w:spacing w:after="0"/>
        <w:tabs>
          <w:tab w:leader="none" w:pos="1512"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9"/>
          <w:szCs w:val="19"/>
          <w:color w:val="auto"/>
        </w:rPr>
        <w:t>Limitations of Authority</w:t>
      </w:r>
    </w:p>
    <w:p>
      <w:pPr>
        <w:ind w:left="632"/>
        <w:spacing w:after="0"/>
        <w:tabs>
          <w:tab w:leader="none" w:pos="1512"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9"/>
          <w:szCs w:val="19"/>
          <w:color w:val="auto"/>
        </w:rPr>
        <w:t>Expenses</w:t>
      </w:r>
    </w:p>
    <w:p>
      <w:pPr>
        <w:ind w:left="632"/>
        <w:spacing w:after="0"/>
        <w:tabs>
          <w:tab w:leader="none" w:pos="1512" w:val="left"/>
        </w:tabs>
        <w:rPr>
          <w:sz w:val="20"/>
          <w:szCs w:val="20"/>
          <w:color w:val="auto"/>
        </w:rPr>
      </w:pPr>
      <w:r>
        <w:rPr>
          <w:rFonts w:ascii="Arial" w:cs="Arial" w:eastAsia="Arial" w:hAnsi="Arial"/>
          <w:sz w:val="20"/>
          <w:szCs w:val="20"/>
          <w:color w:val="auto"/>
        </w:rPr>
        <w:t>5.13</w:t>
      </w:r>
      <w:r>
        <w:rPr>
          <w:sz w:val="20"/>
          <w:szCs w:val="20"/>
          <w:color w:val="auto"/>
        </w:rPr>
        <w:tab/>
      </w:r>
      <w:r>
        <w:rPr>
          <w:rFonts w:ascii="Arial" w:cs="Arial" w:eastAsia="Arial" w:hAnsi="Arial"/>
          <w:sz w:val="19"/>
          <w:szCs w:val="19"/>
          <w:color w:val="auto"/>
        </w:rPr>
        <w:t>Lifetime</w:t>
      </w:r>
    </w:p>
    <w:p>
      <w:pPr>
        <w:ind w:left="632" w:hanging="632"/>
        <w:spacing w:after="0" w:line="225" w:lineRule="auto"/>
        <w:tabs>
          <w:tab w:leader="none" w:pos="632" w:val="left"/>
        </w:tabs>
        <w:numPr>
          <w:ilvl w:val="0"/>
          <w:numId w:val="49"/>
        </w:numPr>
        <w:rPr>
          <w:rFonts w:ascii="Arial" w:cs="Arial" w:eastAsia="Arial" w:hAnsi="Arial"/>
          <w:sz w:val="20"/>
          <w:szCs w:val="20"/>
          <w:color w:val="auto"/>
        </w:rPr>
      </w:pPr>
      <w:r>
        <w:rPr>
          <w:rFonts w:ascii="Arial" w:cs="Arial" w:eastAsia="Arial" w:hAnsi="Arial"/>
          <w:sz w:val="20"/>
          <w:szCs w:val="20"/>
          <w:color w:val="auto"/>
        </w:rPr>
        <w:t>Development</w:t>
      </w:r>
    </w:p>
    <w:p>
      <w:pPr>
        <w:ind w:left="632"/>
        <w:spacing w:after="0"/>
        <w:rPr>
          <w:rFonts w:ascii="Arial" w:cs="Arial" w:eastAsia="Arial" w:hAnsi="Arial"/>
          <w:sz w:val="20"/>
          <w:szCs w:val="20"/>
          <w:color w:val="auto"/>
        </w:rPr>
      </w:pPr>
      <w:r>
        <w:rPr>
          <w:rFonts w:ascii="Arial" w:cs="Arial" w:eastAsia="Arial" w:hAnsi="Arial"/>
          <w:sz w:val="20"/>
          <w:szCs w:val="20"/>
          <w:color w:val="auto"/>
        </w:rPr>
        <w:t>6.1</w:t>
      </w:r>
      <w:r>
        <w:rPr>
          <w:rFonts w:ascii="Arial" w:cs="Arial" w:eastAsia="Arial" w:hAnsi="Arial"/>
          <w:sz w:val="19"/>
          <w:szCs w:val="19"/>
          <w:color w:val="auto"/>
        </w:rPr>
        <w:t>Atea Ongoing Studies</w:t>
      </w:r>
    </w:p>
    <w:p>
      <w:pPr>
        <w:ind w:left="632"/>
        <w:spacing w:after="0"/>
        <w:rPr>
          <w:rFonts w:ascii="Arial" w:cs="Arial" w:eastAsia="Arial" w:hAnsi="Arial"/>
          <w:sz w:val="20"/>
          <w:szCs w:val="20"/>
          <w:color w:val="auto"/>
        </w:rPr>
      </w:pPr>
      <w:r>
        <w:rPr>
          <w:rFonts w:ascii="Arial" w:cs="Arial" w:eastAsia="Arial" w:hAnsi="Arial"/>
          <w:sz w:val="20"/>
          <w:szCs w:val="20"/>
          <w:color w:val="auto"/>
        </w:rPr>
        <w:t>6.2</w:t>
      </w:r>
      <w:r>
        <w:rPr>
          <w:rFonts w:ascii="Arial" w:cs="Arial" w:eastAsia="Arial" w:hAnsi="Arial"/>
          <w:sz w:val="19"/>
          <w:szCs w:val="19"/>
          <w:color w:val="auto"/>
        </w:rPr>
        <w:t>Global Development Plan</w:t>
      </w:r>
    </w:p>
    <w:p>
      <w:pPr>
        <w:ind w:left="632"/>
        <w:spacing w:after="0"/>
        <w:rPr>
          <w:rFonts w:ascii="Arial" w:cs="Arial" w:eastAsia="Arial" w:hAnsi="Arial"/>
          <w:sz w:val="20"/>
          <w:szCs w:val="20"/>
          <w:color w:val="auto"/>
        </w:rPr>
      </w:pPr>
      <w:r>
        <w:rPr>
          <w:rFonts w:ascii="Arial" w:cs="Arial" w:eastAsia="Arial" w:hAnsi="Arial"/>
          <w:sz w:val="20"/>
          <w:szCs w:val="20"/>
          <w:color w:val="auto"/>
        </w:rPr>
        <w:t>6.3</w:t>
      </w:r>
      <w:r>
        <w:rPr>
          <w:rFonts w:ascii="Arial" w:cs="Arial" w:eastAsia="Arial" w:hAnsi="Arial"/>
          <w:sz w:val="19"/>
          <w:szCs w:val="19"/>
          <w:color w:val="auto"/>
        </w:rPr>
        <w:t>Additional Clinical Studies and Other Studies</w:t>
      </w:r>
    </w:p>
    <w:p>
      <w:pPr>
        <w:ind w:left="632"/>
        <w:spacing w:after="0"/>
        <w:rPr>
          <w:rFonts w:ascii="Arial" w:cs="Arial" w:eastAsia="Arial" w:hAnsi="Arial"/>
          <w:sz w:val="20"/>
          <w:szCs w:val="20"/>
          <w:color w:val="auto"/>
        </w:rPr>
      </w:pPr>
      <w:r>
        <w:rPr>
          <w:rFonts w:ascii="Arial" w:cs="Arial" w:eastAsia="Arial" w:hAnsi="Arial"/>
          <w:sz w:val="20"/>
          <w:szCs w:val="20"/>
          <w:color w:val="auto"/>
        </w:rPr>
        <w:t>6.4</w:t>
      </w:r>
      <w:r>
        <w:rPr>
          <w:rFonts w:ascii="Arial" w:cs="Arial" w:eastAsia="Arial" w:hAnsi="Arial"/>
          <w:sz w:val="19"/>
          <w:szCs w:val="19"/>
          <w:color w:val="auto"/>
        </w:rPr>
        <w:t>Intravenously-Administered Formulation of Lead Compound</w:t>
      </w:r>
    </w:p>
    <w:p>
      <w:pPr>
        <w:ind w:left="632"/>
        <w:spacing w:after="0"/>
        <w:rPr>
          <w:rFonts w:ascii="Arial" w:cs="Arial" w:eastAsia="Arial" w:hAnsi="Arial"/>
          <w:sz w:val="20"/>
          <w:szCs w:val="20"/>
          <w:color w:val="auto"/>
        </w:rPr>
      </w:pPr>
      <w:r>
        <w:rPr>
          <w:rFonts w:ascii="Arial" w:cs="Arial" w:eastAsia="Arial" w:hAnsi="Arial"/>
          <w:sz w:val="20"/>
          <w:szCs w:val="20"/>
          <w:color w:val="auto"/>
        </w:rPr>
        <w:t>6.5</w:t>
      </w:r>
      <w:r>
        <w:rPr>
          <w:rFonts w:ascii="Arial" w:cs="Arial" w:eastAsia="Arial" w:hAnsi="Arial"/>
          <w:sz w:val="19"/>
          <w:szCs w:val="19"/>
          <w:color w:val="auto"/>
        </w:rPr>
        <w:t>Development Records</w:t>
      </w:r>
    </w:p>
    <w:p>
      <w:pPr>
        <w:ind w:left="632"/>
        <w:spacing w:after="0"/>
        <w:rPr>
          <w:rFonts w:ascii="Arial" w:cs="Arial" w:eastAsia="Arial" w:hAnsi="Arial"/>
          <w:sz w:val="20"/>
          <w:szCs w:val="20"/>
          <w:color w:val="auto"/>
        </w:rPr>
      </w:pPr>
      <w:r>
        <w:rPr>
          <w:rFonts w:ascii="Arial" w:cs="Arial" w:eastAsia="Arial" w:hAnsi="Arial"/>
          <w:sz w:val="20"/>
          <w:szCs w:val="20"/>
          <w:color w:val="auto"/>
        </w:rPr>
        <w:t>6.6</w:t>
      </w:r>
      <w:r>
        <w:rPr>
          <w:rFonts w:ascii="Arial" w:cs="Arial" w:eastAsia="Arial" w:hAnsi="Arial"/>
          <w:sz w:val="19"/>
          <w:szCs w:val="19"/>
          <w:color w:val="auto"/>
        </w:rPr>
        <w:t>Back-Up Compounds</w:t>
      </w:r>
    </w:p>
    <w:p>
      <w:pPr>
        <w:ind w:left="632" w:hanging="632"/>
        <w:spacing w:after="0" w:line="225" w:lineRule="auto"/>
        <w:tabs>
          <w:tab w:leader="none" w:pos="632" w:val="left"/>
        </w:tabs>
        <w:numPr>
          <w:ilvl w:val="0"/>
          <w:numId w:val="49"/>
        </w:numPr>
        <w:rPr>
          <w:rFonts w:ascii="Arial" w:cs="Arial" w:eastAsia="Arial" w:hAnsi="Arial"/>
          <w:sz w:val="20"/>
          <w:szCs w:val="20"/>
          <w:color w:val="auto"/>
        </w:rPr>
      </w:pPr>
      <w:r>
        <w:rPr>
          <w:rFonts w:ascii="Arial" w:cs="Arial" w:eastAsia="Arial" w:hAnsi="Arial"/>
          <w:sz w:val="20"/>
          <w:szCs w:val="20"/>
          <w:color w:val="auto"/>
        </w:rPr>
        <w:t>Regulatory</w:t>
      </w:r>
    </w:p>
    <w:p>
      <w:pPr>
        <w:ind w:left="632"/>
        <w:spacing w:after="0"/>
        <w:rPr>
          <w:rFonts w:ascii="Arial" w:cs="Arial" w:eastAsia="Arial" w:hAnsi="Arial"/>
          <w:sz w:val="20"/>
          <w:szCs w:val="20"/>
          <w:color w:val="auto"/>
        </w:rPr>
      </w:pPr>
      <w:r>
        <w:rPr>
          <w:rFonts w:ascii="Arial" w:cs="Arial" w:eastAsia="Arial" w:hAnsi="Arial"/>
          <w:sz w:val="20"/>
          <w:szCs w:val="20"/>
          <w:color w:val="auto"/>
        </w:rPr>
        <w:t>7.1</w:t>
      </w:r>
      <w:r>
        <w:rPr>
          <w:rFonts w:ascii="Arial" w:cs="Arial" w:eastAsia="Arial" w:hAnsi="Arial"/>
          <w:sz w:val="19"/>
          <w:szCs w:val="19"/>
          <w:color w:val="auto"/>
        </w:rPr>
        <w:t>Responsibility</w:t>
      </w:r>
    </w:p>
    <w:p>
      <w:pPr>
        <w:ind w:left="632"/>
        <w:spacing w:after="0"/>
        <w:rPr>
          <w:rFonts w:ascii="Arial" w:cs="Arial" w:eastAsia="Arial" w:hAnsi="Arial"/>
          <w:sz w:val="20"/>
          <w:szCs w:val="20"/>
          <w:color w:val="auto"/>
        </w:rPr>
      </w:pPr>
      <w:r>
        <w:rPr>
          <w:rFonts w:ascii="Arial" w:cs="Arial" w:eastAsia="Arial" w:hAnsi="Arial"/>
          <w:sz w:val="20"/>
          <w:szCs w:val="20"/>
          <w:color w:val="auto"/>
        </w:rPr>
        <w:t>7.2</w:t>
      </w:r>
      <w:r>
        <w:rPr>
          <w:rFonts w:ascii="Arial" w:cs="Arial" w:eastAsia="Arial" w:hAnsi="Arial"/>
          <w:sz w:val="19"/>
          <w:szCs w:val="19"/>
          <w:color w:val="auto"/>
        </w:rPr>
        <w:t>Pharmacovigilance Agreement</w:t>
      </w:r>
    </w:p>
    <w:p>
      <w:pPr>
        <w:ind w:left="632" w:hanging="632"/>
        <w:spacing w:after="0" w:line="225" w:lineRule="auto"/>
        <w:tabs>
          <w:tab w:leader="none" w:pos="632" w:val="left"/>
        </w:tabs>
        <w:numPr>
          <w:ilvl w:val="0"/>
          <w:numId w:val="49"/>
        </w:numPr>
        <w:rPr>
          <w:rFonts w:ascii="Arial" w:cs="Arial" w:eastAsia="Arial" w:hAnsi="Arial"/>
          <w:sz w:val="20"/>
          <w:szCs w:val="20"/>
          <w:color w:val="auto"/>
        </w:rPr>
      </w:pPr>
      <w:r>
        <w:rPr>
          <w:rFonts w:ascii="Arial" w:cs="Arial" w:eastAsia="Arial" w:hAnsi="Arial"/>
          <w:sz w:val="20"/>
          <w:szCs w:val="20"/>
          <w:color w:val="auto"/>
        </w:rPr>
        <w:t>Manufacture and Supply</w:t>
      </w:r>
    </w:p>
    <w:p>
      <w:pPr>
        <w:ind w:left="632"/>
        <w:spacing w:after="0"/>
        <w:rPr>
          <w:rFonts w:ascii="Arial" w:cs="Arial" w:eastAsia="Arial" w:hAnsi="Arial"/>
          <w:sz w:val="20"/>
          <w:szCs w:val="20"/>
          <w:color w:val="auto"/>
        </w:rPr>
      </w:pPr>
      <w:r>
        <w:rPr>
          <w:rFonts w:ascii="Arial" w:cs="Arial" w:eastAsia="Arial" w:hAnsi="Arial"/>
          <w:sz w:val="20"/>
          <w:szCs w:val="20"/>
          <w:color w:val="auto"/>
        </w:rPr>
        <w:t>8.1</w:t>
      </w:r>
      <w:r>
        <w:rPr>
          <w:rFonts w:ascii="Arial" w:cs="Arial" w:eastAsia="Arial" w:hAnsi="Arial"/>
          <w:sz w:val="19"/>
          <w:szCs w:val="19"/>
          <w:color w:val="auto"/>
        </w:rPr>
        <w:t>Clinical Supply of Product and Technology Transfer</w:t>
      </w:r>
    </w:p>
    <w:p>
      <w:pPr>
        <w:ind w:left="632"/>
        <w:spacing w:after="0"/>
        <w:rPr>
          <w:rFonts w:ascii="Arial" w:cs="Arial" w:eastAsia="Arial" w:hAnsi="Arial"/>
          <w:sz w:val="20"/>
          <w:szCs w:val="20"/>
          <w:color w:val="auto"/>
        </w:rPr>
      </w:pPr>
      <w:r>
        <w:rPr>
          <w:rFonts w:ascii="Arial" w:cs="Arial" w:eastAsia="Arial" w:hAnsi="Arial"/>
          <w:sz w:val="20"/>
          <w:szCs w:val="20"/>
          <w:color w:val="auto"/>
        </w:rPr>
        <w:t>8.2</w:t>
      </w:r>
      <w:r>
        <w:rPr>
          <w:rFonts w:ascii="Arial" w:cs="Arial" w:eastAsia="Arial" w:hAnsi="Arial"/>
          <w:sz w:val="19"/>
          <w:szCs w:val="19"/>
          <w:color w:val="auto"/>
        </w:rPr>
        <w:t>Commercial Supply of Products</w:t>
      </w:r>
    </w:p>
    <w:p>
      <w:pPr>
        <w:ind w:left="632"/>
        <w:spacing w:after="0"/>
        <w:rPr>
          <w:rFonts w:ascii="Arial" w:cs="Arial" w:eastAsia="Arial" w:hAnsi="Arial"/>
          <w:sz w:val="20"/>
          <w:szCs w:val="20"/>
          <w:color w:val="auto"/>
        </w:rPr>
      </w:pPr>
      <w:r>
        <w:rPr>
          <w:rFonts w:ascii="Arial" w:cs="Arial" w:eastAsia="Arial" w:hAnsi="Arial"/>
          <w:sz w:val="20"/>
          <w:szCs w:val="20"/>
          <w:color w:val="auto"/>
        </w:rPr>
        <w:t>8.3</w:t>
      </w:r>
      <w:r>
        <w:rPr>
          <w:rFonts w:ascii="Arial" w:cs="Arial" w:eastAsia="Arial" w:hAnsi="Arial"/>
          <w:sz w:val="19"/>
          <w:szCs w:val="19"/>
          <w:color w:val="auto"/>
        </w:rPr>
        <w:t>Manufacturing Process Development and Specifications</w:t>
      </w:r>
    </w:p>
    <w:p>
      <w:pPr>
        <w:ind w:left="632"/>
        <w:spacing w:after="0"/>
        <w:rPr>
          <w:rFonts w:ascii="Arial" w:cs="Arial" w:eastAsia="Arial" w:hAnsi="Arial"/>
          <w:sz w:val="20"/>
          <w:szCs w:val="20"/>
          <w:color w:val="auto"/>
        </w:rPr>
      </w:pPr>
      <w:r>
        <w:rPr>
          <w:rFonts w:ascii="Arial" w:cs="Arial" w:eastAsia="Arial" w:hAnsi="Arial"/>
          <w:sz w:val="20"/>
          <w:szCs w:val="20"/>
          <w:color w:val="auto"/>
        </w:rPr>
        <w:t>8.4</w:t>
      </w:r>
      <w:r>
        <w:rPr>
          <w:rFonts w:ascii="Arial" w:cs="Arial" w:eastAsia="Arial" w:hAnsi="Arial"/>
          <w:sz w:val="19"/>
          <w:szCs w:val="19"/>
          <w:color w:val="auto"/>
        </w:rPr>
        <w:t>Supply for Retained Indications33</w:t>
      </w:r>
    </w:p>
    <w:p>
      <w:pPr>
        <w:ind w:left="632" w:hanging="632"/>
        <w:spacing w:after="0" w:line="225" w:lineRule="auto"/>
        <w:tabs>
          <w:tab w:leader="none" w:pos="632" w:val="left"/>
        </w:tabs>
        <w:numPr>
          <w:ilvl w:val="0"/>
          <w:numId w:val="49"/>
        </w:numPr>
        <w:rPr>
          <w:rFonts w:ascii="Arial" w:cs="Arial" w:eastAsia="Arial" w:hAnsi="Arial"/>
          <w:sz w:val="20"/>
          <w:szCs w:val="20"/>
          <w:color w:val="auto"/>
        </w:rPr>
      </w:pPr>
      <w:r>
        <w:rPr>
          <w:rFonts w:ascii="Arial" w:cs="Arial" w:eastAsia="Arial" w:hAnsi="Arial"/>
          <w:sz w:val="20"/>
          <w:szCs w:val="20"/>
          <w:color w:val="auto"/>
        </w:rPr>
        <w:t>Commercialization</w:t>
      </w:r>
    </w:p>
    <w:p>
      <w:pPr>
        <w:ind w:left="632"/>
        <w:spacing w:after="0"/>
        <w:rPr>
          <w:rFonts w:ascii="Arial" w:cs="Arial" w:eastAsia="Arial" w:hAnsi="Arial"/>
          <w:sz w:val="20"/>
          <w:szCs w:val="20"/>
          <w:color w:val="auto"/>
        </w:rPr>
      </w:pPr>
      <w:r>
        <w:rPr>
          <w:rFonts w:ascii="Arial" w:cs="Arial" w:eastAsia="Arial" w:hAnsi="Arial"/>
          <w:sz w:val="20"/>
          <w:szCs w:val="20"/>
          <w:color w:val="auto"/>
        </w:rPr>
        <w:t>9.1</w:t>
      </w:r>
      <w:r>
        <w:rPr>
          <w:rFonts w:ascii="Arial" w:cs="Arial" w:eastAsia="Arial" w:hAnsi="Arial"/>
          <w:sz w:val="19"/>
          <w:szCs w:val="19"/>
          <w:color w:val="auto"/>
        </w:rPr>
        <w:t>Responsibility</w:t>
      </w:r>
    </w:p>
    <w:p>
      <w:pPr>
        <w:ind w:left="632"/>
        <w:spacing w:after="0"/>
        <w:rPr>
          <w:rFonts w:ascii="Arial" w:cs="Arial" w:eastAsia="Arial" w:hAnsi="Arial"/>
          <w:sz w:val="20"/>
          <w:szCs w:val="20"/>
          <w:color w:val="auto"/>
        </w:rPr>
      </w:pPr>
      <w:r>
        <w:rPr>
          <w:rFonts w:ascii="Arial" w:cs="Arial" w:eastAsia="Arial" w:hAnsi="Arial"/>
          <w:sz w:val="20"/>
          <w:szCs w:val="20"/>
          <w:color w:val="auto"/>
        </w:rPr>
        <w:t>9.2</w:t>
      </w:r>
      <w:r>
        <w:rPr>
          <w:rFonts w:ascii="Arial" w:cs="Arial" w:eastAsia="Arial" w:hAnsi="Arial"/>
          <w:sz w:val="19"/>
          <w:szCs w:val="19"/>
          <w:color w:val="auto"/>
        </w:rPr>
        <w:t>Pricing</w:t>
      </w:r>
    </w:p>
    <w:p>
      <w:pPr>
        <w:ind w:left="632"/>
        <w:spacing w:after="0"/>
        <w:rPr>
          <w:rFonts w:ascii="Arial" w:cs="Arial" w:eastAsia="Arial" w:hAnsi="Arial"/>
          <w:sz w:val="20"/>
          <w:szCs w:val="20"/>
          <w:color w:val="auto"/>
        </w:rPr>
      </w:pPr>
      <w:r>
        <w:rPr>
          <w:rFonts w:ascii="Arial" w:cs="Arial" w:eastAsia="Arial" w:hAnsi="Arial"/>
          <w:sz w:val="20"/>
          <w:szCs w:val="20"/>
          <w:color w:val="auto"/>
        </w:rPr>
        <w:t>9.3</w:t>
      </w:r>
      <w:r>
        <w:rPr>
          <w:rFonts w:ascii="Arial" w:cs="Arial" w:eastAsia="Arial" w:hAnsi="Arial"/>
          <w:sz w:val="19"/>
          <w:szCs w:val="19"/>
          <w:color w:val="auto"/>
        </w:rPr>
        <w:t>Diligence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rPr>
          <w:sz w:val="20"/>
          <w:szCs w:val="20"/>
          <w:color w:val="auto"/>
        </w:rPr>
      </w:pPr>
      <w:r>
        <w:rPr>
          <w:rFonts w:ascii="Arial" w:cs="Arial" w:eastAsia="Arial" w:hAnsi="Arial"/>
          <w:sz w:val="19"/>
          <w:szCs w:val="19"/>
          <w:color w:val="auto"/>
        </w:rPr>
        <w:t>15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17</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17</w:t>
      </w:r>
    </w:p>
    <w:p>
      <w:pPr>
        <w:spacing w:after="0" w:line="237" w:lineRule="auto"/>
        <w:rPr>
          <w:sz w:val="20"/>
          <w:szCs w:val="20"/>
          <w:color w:val="auto"/>
        </w:rPr>
      </w:pPr>
      <w:r>
        <w:rPr>
          <w:rFonts w:ascii="Arial" w:cs="Arial" w:eastAsia="Arial" w:hAnsi="Arial"/>
          <w:sz w:val="19"/>
          <w:szCs w:val="19"/>
          <w:color w:val="auto"/>
        </w:rPr>
        <w:t>18</w:t>
      </w:r>
    </w:p>
    <w:p>
      <w:pPr>
        <w:spacing w:after="0" w:line="237" w:lineRule="auto"/>
        <w:rPr>
          <w:sz w:val="20"/>
          <w:szCs w:val="20"/>
          <w:color w:val="auto"/>
        </w:rPr>
      </w:pPr>
      <w:r>
        <w:rPr>
          <w:rFonts w:ascii="Arial" w:cs="Arial" w:eastAsia="Arial" w:hAnsi="Arial"/>
          <w:sz w:val="19"/>
          <w:szCs w:val="19"/>
          <w:color w:val="auto"/>
        </w:rPr>
        <w:t>19</w:t>
      </w:r>
    </w:p>
    <w:p>
      <w:pPr>
        <w:spacing w:after="0"/>
        <w:rPr>
          <w:sz w:val="20"/>
          <w:szCs w:val="20"/>
          <w:color w:val="auto"/>
        </w:rPr>
      </w:pPr>
      <w:r>
        <w:rPr>
          <w:rFonts w:ascii="Arial" w:cs="Arial" w:eastAsia="Arial" w:hAnsi="Arial"/>
          <w:sz w:val="19"/>
          <w:szCs w:val="19"/>
          <w:color w:val="auto"/>
        </w:rPr>
        <w:t>19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24</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24</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24</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24</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24</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24</w:t>
      </w:r>
    </w:p>
    <w:p>
      <w:pPr>
        <w:spacing w:after="0"/>
        <w:rPr>
          <w:sz w:val="20"/>
          <w:szCs w:val="20"/>
          <w:color w:val="auto"/>
        </w:rPr>
      </w:pPr>
      <w:r>
        <w:rPr>
          <w:rFonts w:ascii="Arial" w:cs="Arial" w:eastAsia="Arial" w:hAnsi="Arial"/>
          <w:sz w:val="19"/>
          <w:szCs w:val="19"/>
          <w:color w:val="auto"/>
        </w:rPr>
        <w:t>24</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24</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24</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26</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26</w:t>
      </w:r>
    </w:p>
    <w:p>
      <w:pPr>
        <w:spacing w:after="0"/>
        <w:rPr>
          <w:sz w:val="20"/>
          <w:szCs w:val="20"/>
          <w:color w:val="auto"/>
        </w:rPr>
      </w:pPr>
      <w:r>
        <w:rPr>
          <w:rFonts w:ascii="Arial" w:cs="Arial" w:eastAsia="Arial" w:hAnsi="Arial"/>
          <w:sz w:val="19"/>
          <w:szCs w:val="19"/>
          <w:color w:val="auto"/>
        </w:rPr>
        <w:t>26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26</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28</w:t>
      </w:r>
    </w:p>
    <w:p>
      <w:pPr>
        <w:spacing w:after="0"/>
        <w:rPr>
          <w:sz w:val="20"/>
          <w:szCs w:val="20"/>
          <w:color w:val="auto"/>
        </w:rPr>
      </w:pPr>
      <w:r>
        <w:rPr>
          <w:rFonts w:ascii="Arial" w:cs="Arial" w:eastAsia="Arial" w:hAnsi="Arial"/>
          <w:sz w:val="19"/>
          <w:szCs w:val="19"/>
          <w:color w:val="auto"/>
        </w:rPr>
        <w:t>28</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28</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30</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30</w:t>
      </w:r>
    </w:p>
    <w:p>
      <w:pPr>
        <w:spacing w:after="0"/>
        <w:rPr>
          <w:sz w:val="20"/>
          <w:szCs w:val="20"/>
          <w:color w:val="auto"/>
        </w:rPr>
      </w:pPr>
      <w:r>
        <w:rPr>
          <w:rFonts w:ascii="Arial" w:cs="Arial" w:eastAsia="Arial" w:hAnsi="Arial"/>
          <w:sz w:val="19"/>
          <w:szCs w:val="19"/>
          <w:color w:val="auto"/>
        </w:rPr>
        <w:t>31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31</w:t>
      </w:r>
    </w:p>
    <w:p>
      <w:pPr>
        <w:spacing w:after="0" w:line="200" w:lineRule="exact"/>
        <w:rPr>
          <w:sz w:val="20"/>
          <w:szCs w:val="20"/>
          <w:color w:val="auto"/>
        </w:rPr>
      </w:pPr>
    </w:p>
    <w:p>
      <w:pPr>
        <w:sectPr>
          <w:pgSz w:w="11900" w:h="16838" w:orient="portrait"/>
          <w:cols w:equalWidth="0" w:num="2">
            <w:col w:w="10292" w:space="720"/>
            <w:col w:w="220"/>
          </w:cols>
          <w:pgMar w:left="328" w:top="351"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0852"/>
        <w:spacing w:after="0"/>
        <w:rPr>
          <w:sz w:val="20"/>
          <w:szCs w:val="20"/>
          <w:color w:val="auto"/>
        </w:rPr>
      </w:pPr>
      <w:r>
        <w:rPr>
          <w:rFonts w:ascii="Arial" w:cs="Arial" w:eastAsia="Arial" w:hAnsi="Arial"/>
          <w:sz w:val="19"/>
          <w:szCs w:val="19"/>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51" w:right="339" w:bottom="1440" w:gutter="0" w:footer="0" w:header="0"/>
          <w:type w:val="continuous"/>
        </w:sectPr>
      </w:pPr>
    </w:p>
    <w:bookmarkStart w:id="93" w:name="page94"/>
    <w:bookmarkEnd w:id="93"/>
    <w:p>
      <w:pPr>
        <w:ind w:left="632" w:hanging="632"/>
        <w:spacing w:after="0"/>
        <w:tabs>
          <w:tab w:leader="none" w:pos="632" w:val="left"/>
        </w:tabs>
        <w:numPr>
          <w:ilvl w:val="0"/>
          <w:numId w:val="50"/>
        </w:numPr>
        <w:rPr>
          <w:rFonts w:ascii="Arial" w:cs="Arial" w:eastAsia="Arial" w:hAnsi="Arial"/>
          <w:sz w:val="20"/>
          <w:szCs w:val="20"/>
          <w:color w:val="auto"/>
        </w:rPr>
      </w:pPr>
      <w:r>
        <w:rPr>
          <w:rFonts w:ascii="Arial" w:cs="Arial" w:eastAsia="Arial" w:hAnsi="Arial"/>
          <w:sz w:val="20"/>
          <w:szCs w:val="20"/>
          <w:color w:val="auto"/>
        </w:rPr>
        <w:t>Payment</w:t>
      </w:r>
    </w:p>
    <w:p>
      <w:pPr>
        <w:ind w:left="632"/>
        <w:spacing w:after="0"/>
        <w:rPr>
          <w:rFonts w:ascii="Arial" w:cs="Arial" w:eastAsia="Arial" w:hAnsi="Arial"/>
          <w:sz w:val="20"/>
          <w:szCs w:val="20"/>
          <w:color w:val="auto"/>
        </w:rPr>
      </w:pPr>
      <w:r>
        <w:rPr>
          <w:rFonts w:ascii="Arial" w:cs="Arial" w:eastAsia="Arial" w:hAnsi="Arial"/>
          <w:sz w:val="20"/>
          <w:szCs w:val="20"/>
          <w:color w:val="auto"/>
        </w:rPr>
        <w:t>10.1</w:t>
      </w:r>
      <w:r>
        <w:rPr>
          <w:rFonts w:ascii="Arial" w:cs="Arial" w:eastAsia="Arial" w:hAnsi="Arial"/>
          <w:sz w:val="19"/>
          <w:szCs w:val="19"/>
          <w:color w:val="auto"/>
        </w:rPr>
        <w:t>Initiation Payment</w:t>
      </w:r>
    </w:p>
    <w:p>
      <w:pPr>
        <w:ind w:left="632"/>
        <w:spacing w:after="0"/>
        <w:rPr>
          <w:rFonts w:ascii="Arial" w:cs="Arial" w:eastAsia="Arial" w:hAnsi="Arial"/>
          <w:sz w:val="20"/>
          <w:szCs w:val="20"/>
          <w:color w:val="auto"/>
        </w:rPr>
      </w:pPr>
      <w:r>
        <w:rPr>
          <w:rFonts w:ascii="Arial" w:cs="Arial" w:eastAsia="Arial" w:hAnsi="Arial"/>
          <w:sz w:val="20"/>
          <w:szCs w:val="20"/>
          <w:color w:val="auto"/>
        </w:rPr>
        <w:t>10.2</w:t>
      </w:r>
      <w:r>
        <w:rPr>
          <w:rFonts w:ascii="Arial" w:cs="Arial" w:eastAsia="Arial" w:hAnsi="Arial"/>
          <w:sz w:val="19"/>
          <w:szCs w:val="19"/>
          <w:color w:val="auto"/>
        </w:rPr>
        <w:t>Development and Regulatory Event Payments</w:t>
      </w:r>
    </w:p>
    <w:p>
      <w:pPr>
        <w:ind w:left="632"/>
        <w:spacing w:after="0"/>
        <w:rPr>
          <w:rFonts w:ascii="Arial" w:cs="Arial" w:eastAsia="Arial" w:hAnsi="Arial"/>
          <w:sz w:val="20"/>
          <w:szCs w:val="20"/>
          <w:color w:val="auto"/>
        </w:rPr>
      </w:pPr>
      <w:r>
        <w:rPr>
          <w:rFonts w:ascii="Arial" w:cs="Arial" w:eastAsia="Arial" w:hAnsi="Arial"/>
          <w:sz w:val="20"/>
          <w:szCs w:val="20"/>
          <w:color w:val="auto"/>
        </w:rPr>
        <w:t>10.3</w:t>
      </w:r>
      <w:r>
        <w:rPr>
          <w:rFonts w:ascii="Arial" w:cs="Arial" w:eastAsia="Arial" w:hAnsi="Arial"/>
          <w:sz w:val="19"/>
          <w:szCs w:val="19"/>
          <w:color w:val="auto"/>
        </w:rPr>
        <w:t>Sales Based Events</w:t>
      </w:r>
    </w:p>
    <w:p>
      <w:pPr>
        <w:ind w:left="632"/>
        <w:spacing w:after="0"/>
        <w:rPr>
          <w:rFonts w:ascii="Arial" w:cs="Arial" w:eastAsia="Arial" w:hAnsi="Arial"/>
          <w:sz w:val="20"/>
          <w:szCs w:val="20"/>
          <w:color w:val="auto"/>
        </w:rPr>
      </w:pPr>
      <w:r>
        <w:rPr>
          <w:rFonts w:ascii="Arial" w:cs="Arial" w:eastAsia="Arial" w:hAnsi="Arial"/>
          <w:sz w:val="20"/>
          <w:szCs w:val="20"/>
          <w:color w:val="auto"/>
        </w:rPr>
        <w:t>10.4</w:t>
      </w:r>
      <w:r>
        <w:rPr>
          <w:rFonts w:ascii="Arial" w:cs="Arial" w:eastAsia="Arial" w:hAnsi="Arial"/>
          <w:sz w:val="19"/>
          <w:szCs w:val="19"/>
          <w:color w:val="auto"/>
        </w:rPr>
        <w:t>Royalty Payments.</w:t>
      </w:r>
    </w:p>
    <w:p>
      <w:pPr>
        <w:ind w:left="632"/>
        <w:spacing w:after="0"/>
        <w:rPr>
          <w:rFonts w:ascii="Arial" w:cs="Arial" w:eastAsia="Arial" w:hAnsi="Arial"/>
          <w:sz w:val="20"/>
          <w:szCs w:val="20"/>
          <w:color w:val="auto"/>
        </w:rPr>
      </w:pPr>
      <w:r>
        <w:rPr>
          <w:rFonts w:ascii="Arial" w:cs="Arial" w:eastAsia="Arial" w:hAnsi="Arial"/>
          <w:sz w:val="20"/>
          <w:szCs w:val="20"/>
          <w:color w:val="auto"/>
        </w:rPr>
        <w:t>10.5</w:t>
      </w:r>
      <w:r>
        <w:rPr>
          <w:rFonts w:ascii="Arial" w:cs="Arial" w:eastAsia="Arial" w:hAnsi="Arial"/>
          <w:sz w:val="19"/>
          <w:szCs w:val="19"/>
          <w:color w:val="auto"/>
        </w:rPr>
        <w:t>Payments for Products containing [***]</w:t>
      </w:r>
    </w:p>
    <w:p>
      <w:pPr>
        <w:ind w:left="632"/>
        <w:spacing w:after="0"/>
        <w:rPr>
          <w:rFonts w:ascii="Arial" w:cs="Arial" w:eastAsia="Arial" w:hAnsi="Arial"/>
          <w:sz w:val="20"/>
          <w:szCs w:val="20"/>
          <w:color w:val="auto"/>
        </w:rPr>
      </w:pPr>
      <w:r>
        <w:rPr>
          <w:rFonts w:ascii="Arial" w:cs="Arial" w:eastAsia="Arial" w:hAnsi="Arial"/>
          <w:sz w:val="20"/>
          <w:szCs w:val="20"/>
          <w:color w:val="auto"/>
        </w:rPr>
        <w:t>10.6</w:t>
      </w:r>
      <w:r>
        <w:rPr>
          <w:rFonts w:ascii="Arial" w:cs="Arial" w:eastAsia="Arial" w:hAnsi="Arial"/>
          <w:sz w:val="19"/>
          <w:szCs w:val="19"/>
          <w:color w:val="auto"/>
        </w:rPr>
        <w:t>Third Party Payments</w:t>
      </w:r>
    </w:p>
    <w:p>
      <w:pPr>
        <w:ind w:left="632"/>
        <w:spacing w:after="0"/>
        <w:rPr>
          <w:rFonts w:ascii="Arial" w:cs="Arial" w:eastAsia="Arial" w:hAnsi="Arial"/>
          <w:sz w:val="20"/>
          <w:szCs w:val="20"/>
          <w:color w:val="auto"/>
        </w:rPr>
      </w:pPr>
      <w:r>
        <w:rPr>
          <w:rFonts w:ascii="Arial" w:cs="Arial" w:eastAsia="Arial" w:hAnsi="Arial"/>
          <w:sz w:val="20"/>
          <w:szCs w:val="20"/>
          <w:color w:val="auto"/>
        </w:rPr>
        <w:t>10.7</w:t>
      </w:r>
      <w:r>
        <w:rPr>
          <w:rFonts w:ascii="Arial" w:cs="Arial" w:eastAsia="Arial" w:hAnsi="Arial"/>
          <w:sz w:val="19"/>
          <w:szCs w:val="19"/>
          <w:color w:val="auto"/>
        </w:rPr>
        <w:t>Disclosure of Payments</w:t>
      </w:r>
    </w:p>
    <w:p>
      <w:pPr>
        <w:ind w:left="632" w:hanging="632"/>
        <w:spacing w:after="0" w:line="225" w:lineRule="auto"/>
        <w:tabs>
          <w:tab w:leader="none" w:pos="632" w:val="left"/>
        </w:tabs>
        <w:numPr>
          <w:ilvl w:val="0"/>
          <w:numId w:val="50"/>
        </w:numPr>
        <w:rPr>
          <w:rFonts w:ascii="Arial" w:cs="Arial" w:eastAsia="Arial" w:hAnsi="Arial"/>
          <w:sz w:val="20"/>
          <w:szCs w:val="20"/>
          <w:color w:val="auto"/>
        </w:rPr>
      </w:pPr>
      <w:r>
        <w:rPr>
          <w:rFonts w:ascii="Arial" w:cs="Arial" w:eastAsia="Arial" w:hAnsi="Arial"/>
          <w:sz w:val="20"/>
          <w:szCs w:val="20"/>
          <w:color w:val="auto"/>
        </w:rPr>
        <w:t>Accounting and reporting</w:t>
      </w:r>
    </w:p>
    <w:p>
      <w:pPr>
        <w:ind w:left="632"/>
        <w:spacing w:after="0"/>
        <w:rPr>
          <w:rFonts w:ascii="Arial" w:cs="Arial" w:eastAsia="Arial" w:hAnsi="Arial"/>
          <w:sz w:val="20"/>
          <w:szCs w:val="20"/>
          <w:color w:val="auto"/>
        </w:rPr>
      </w:pPr>
      <w:r>
        <w:rPr>
          <w:rFonts w:ascii="Arial" w:cs="Arial" w:eastAsia="Arial" w:hAnsi="Arial"/>
          <w:sz w:val="20"/>
          <w:szCs w:val="20"/>
          <w:color w:val="auto"/>
        </w:rPr>
        <w:t>11.1</w:t>
      </w:r>
      <w:r>
        <w:rPr>
          <w:rFonts w:ascii="Arial" w:cs="Arial" w:eastAsia="Arial" w:hAnsi="Arial"/>
          <w:sz w:val="19"/>
          <w:szCs w:val="19"/>
          <w:color w:val="auto"/>
        </w:rPr>
        <w:t>Timing of Royalty Payments</w:t>
      </w:r>
    </w:p>
    <w:p>
      <w:pPr>
        <w:ind w:left="632"/>
        <w:spacing w:after="0"/>
        <w:rPr>
          <w:rFonts w:ascii="Arial" w:cs="Arial" w:eastAsia="Arial" w:hAnsi="Arial"/>
          <w:sz w:val="20"/>
          <w:szCs w:val="20"/>
          <w:color w:val="auto"/>
        </w:rPr>
      </w:pPr>
      <w:r>
        <w:rPr>
          <w:rFonts w:ascii="Arial" w:cs="Arial" w:eastAsia="Arial" w:hAnsi="Arial"/>
          <w:sz w:val="20"/>
          <w:szCs w:val="20"/>
          <w:color w:val="auto"/>
        </w:rPr>
        <w:t>11.2</w:t>
      </w:r>
      <w:r>
        <w:rPr>
          <w:rFonts w:ascii="Arial" w:cs="Arial" w:eastAsia="Arial" w:hAnsi="Arial"/>
          <w:sz w:val="19"/>
          <w:szCs w:val="19"/>
          <w:color w:val="auto"/>
        </w:rPr>
        <w:t>Late Payment</w:t>
      </w:r>
    </w:p>
    <w:p>
      <w:pPr>
        <w:ind w:left="632"/>
        <w:spacing w:after="0"/>
        <w:rPr>
          <w:rFonts w:ascii="Arial" w:cs="Arial" w:eastAsia="Arial" w:hAnsi="Arial"/>
          <w:sz w:val="20"/>
          <w:szCs w:val="20"/>
          <w:color w:val="auto"/>
        </w:rPr>
      </w:pPr>
      <w:r>
        <w:rPr>
          <w:rFonts w:ascii="Arial" w:cs="Arial" w:eastAsia="Arial" w:hAnsi="Arial"/>
          <w:sz w:val="20"/>
          <w:szCs w:val="20"/>
          <w:color w:val="auto"/>
        </w:rPr>
        <w:t>11.3</w:t>
      </w:r>
      <w:r>
        <w:rPr>
          <w:rFonts w:ascii="Arial" w:cs="Arial" w:eastAsia="Arial" w:hAnsi="Arial"/>
          <w:sz w:val="19"/>
          <w:szCs w:val="19"/>
          <w:color w:val="auto"/>
        </w:rPr>
        <w:t>Method of Payment</w:t>
      </w:r>
    </w:p>
    <w:p>
      <w:pPr>
        <w:ind w:left="632"/>
        <w:spacing w:after="0"/>
        <w:rPr>
          <w:rFonts w:ascii="Arial" w:cs="Arial" w:eastAsia="Arial" w:hAnsi="Arial"/>
          <w:sz w:val="20"/>
          <w:szCs w:val="20"/>
          <w:color w:val="auto"/>
        </w:rPr>
      </w:pPr>
      <w:r>
        <w:rPr>
          <w:rFonts w:ascii="Arial" w:cs="Arial" w:eastAsia="Arial" w:hAnsi="Arial"/>
          <w:sz w:val="20"/>
          <w:szCs w:val="20"/>
          <w:color w:val="auto"/>
        </w:rPr>
        <w:t>11.4</w:t>
      </w:r>
      <w:r>
        <w:rPr>
          <w:rFonts w:ascii="Arial" w:cs="Arial" w:eastAsia="Arial" w:hAnsi="Arial"/>
          <w:sz w:val="19"/>
          <w:szCs w:val="19"/>
          <w:color w:val="auto"/>
        </w:rPr>
        <w:t>Currency Conversion</w:t>
      </w:r>
    </w:p>
    <w:p>
      <w:pPr>
        <w:ind w:left="632"/>
        <w:spacing w:after="0"/>
        <w:rPr>
          <w:rFonts w:ascii="Arial" w:cs="Arial" w:eastAsia="Arial" w:hAnsi="Arial"/>
          <w:sz w:val="20"/>
          <w:szCs w:val="20"/>
          <w:color w:val="auto"/>
        </w:rPr>
      </w:pPr>
      <w:r>
        <w:rPr>
          <w:rFonts w:ascii="Arial" w:cs="Arial" w:eastAsia="Arial" w:hAnsi="Arial"/>
          <w:sz w:val="20"/>
          <w:szCs w:val="20"/>
          <w:color w:val="auto"/>
        </w:rPr>
        <w:t>11.5</w:t>
      </w:r>
      <w:r>
        <w:rPr>
          <w:rFonts w:ascii="Arial" w:cs="Arial" w:eastAsia="Arial" w:hAnsi="Arial"/>
          <w:sz w:val="19"/>
          <w:szCs w:val="19"/>
          <w:color w:val="auto"/>
        </w:rPr>
        <w:t>Blocked Currency</w:t>
      </w:r>
    </w:p>
    <w:p>
      <w:pPr>
        <w:ind w:left="632"/>
        <w:spacing w:after="0"/>
        <w:rPr>
          <w:rFonts w:ascii="Arial" w:cs="Arial" w:eastAsia="Arial" w:hAnsi="Arial"/>
          <w:sz w:val="20"/>
          <w:szCs w:val="20"/>
          <w:color w:val="auto"/>
        </w:rPr>
      </w:pPr>
      <w:r>
        <w:rPr>
          <w:rFonts w:ascii="Arial" w:cs="Arial" w:eastAsia="Arial" w:hAnsi="Arial"/>
          <w:sz w:val="20"/>
          <w:szCs w:val="20"/>
          <w:color w:val="auto"/>
        </w:rPr>
        <w:t>11.6</w:t>
      </w:r>
      <w:r>
        <w:rPr>
          <w:rFonts w:ascii="Arial" w:cs="Arial" w:eastAsia="Arial" w:hAnsi="Arial"/>
          <w:sz w:val="19"/>
          <w:szCs w:val="19"/>
          <w:color w:val="auto"/>
        </w:rPr>
        <w:t>Royalty Reporting</w:t>
      </w:r>
    </w:p>
    <w:p>
      <w:pPr>
        <w:ind w:left="632"/>
        <w:spacing w:after="0"/>
        <w:rPr>
          <w:rFonts w:ascii="Arial" w:cs="Arial" w:eastAsia="Arial" w:hAnsi="Arial"/>
          <w:sz w:val="20"/>
          <w:szCs w:val="20"/>
          <w:color w:val="auto"/>
        </w:rPr>
      </w:pPr>
      <w:r>
        <w:rPr>
          <w:rFonts w:ascii="Arial" w:cs="Arial" w:eastAsia="Arial" w:hAnsi="Arial"/>
          <w:sz w:val="20"/>
          <w:szCs w:val="20"/>
          <w:color w:val="auto"/>
        </w:rPr>
        <w:t>11.7</w:t>
      </w:r>
      <w:r>
        <w:rPr>
          <w:rFonts w:ascii="Arial" w:cs="Arial" w:eastAsia="Arial" w:hAnsi="Arial"/>
          <w:sz w:val="19"/>
          <w:szCs w:val="19"/>
          <w:color w:val="auto"/>
        </w:rPr>
        <w:t>Reimbursement</w:t>
      </w:r>
    </w:p>
    <w:p>
      <w:pPr>
        <w:ind w:left="632" w:hanging="632"/>
        <w:spacing w:after="0" w:line="225" w:lineRule="auto"/>
        <w:tabs>
          <w:tab w:leader="none" w:pos="632" w:val="left"/>
        </w:tabs>
        <w:numPr>
          <w:ilvl w:val="0"/>
          <w:numId w:val="50"/>
        </w:numPr>
        <w:rPr>
          <w:rFonts w:ascii="Arial" w:cs="Arial" w:eastAsia="Arial" w:hAnsi="Arial"/>
          <w:sz w:val="20"/>
          <w:szCs w:val="20"/>
          <w:color w:val="auto"/>
        </w:rPr>
      </w:pPr>
      <w:r>
        <w:rPr>
          <w:rFonts w:ascii="Arial" w:cs="Arial" w:eastAsia="Arial" w:hAnsi="Arial"/>
          <w:sz w:val="20"/>
          <w:szCs w:val="20"/>
          <w:color w:val="auto"/>
        </w:rPr>
        <w:t>Taxes</w:t>
      </w:r>
    </w:p>
    <w:p>
      <w:pPr>
        <w:ind w:left="632"/>
        <w:spacing w:after="0"/>
        <w:rPr>
          <w:rFonts w:ascii="Arial" w:cs="Arial" w:eastAsia="Arial" w:hAnsi="Arial"/>
          <w:sz w:val="20"/>
          <w:szCs w:val="20"/>
          <w:color w:val="auto"/>
        </w:rPr>
      </w:pPr>
      <w:r>
        <w:rPr>
          <w:rFonts w:ascii="Arial" w:cs="Arial" w:eastAsia="Arial" w:hAnsi="Arial"/>
          <w:sz w:val="20"/>
          <w:szCs w:val="20"/>
          <w:color w:val="auto"/>
        </w:rPr>
        <w:t>12.1</w:t>
      </w:r>
      <w:r>
        <w:rPr>
          <w:rFonts w:ascii="Arial" w:cs="Arial" w:eastAsia="Arial" w:hAnsi="Arial"/>
          <w:sz w:val="19"/>
          <w:szCs w:val="19"/>
          <w:color w:val="auto"/>
        </w:rPr>
        <w:t>Indirect Taxes</w:t>
      </w:r>
    </w:p>
    <w:p>
      <w:pPr>
        <w:ind w:left="632"/>
        <w:spacing w:after="0"/>
        <w:rPr>
          <w:rFonts w:ascii="Arial" w:cs="Arial" w:eastAsia="Arial" w:hAnsi="Arial"/>
          <w:sz w:val="20"/>
          <w:szCs w:val="20"/>
          <w:color w:val="auto"/>
        </w:rPr>
      </w:pPr>
      <w:r>
        <w:rPr>
          <w:rFonts w:ascii="Arial" w:cs="Arial" w:eastAsia="Arial" w:hAnsi="Arial"/>
          <w:sz w:val="20"/>
          <w:szCs w:val="20"/>
          <w:color w:val="auto"/>
        </w:rPr>
        <w:t>12.2</w:t>
      </w:r>
      <w:r>
        <w:rPr>
          <w:rFonts w:ascii="Arial" w:cs="Arial" w:eastAsia="Arial" w:hAnsi="Arial"/>
          <w:sz w:val="19"/>
          <w:szCs w:val="19"/>
          <w:color w:val="auto"/>
        </w:rPr>
        <w:t>Tax Withholding</w:t>
      </w:r>
    </w:p>
    <w:p>
      <w:pPr>
        <w:ind w:left="632"/>
        <w:spacing w:after="0"/>
        <w:rPr>
          <w:rFonts w:ascii="Arial" w:cs="Arial" w:eastAsia="Arial" w:hAnsi="Arial"/>
          <w:sz w:val="20"/>
          <w:szCs w:val="20"/>
          <w:color w:val="auto"/>
        </w:rPr>
      </w:pPr>
      <w:r>
        <w:rPr>
          <w:rFonts w:ascii="Arial" w:cs="Arial" w:eastAsia="Arial" w:hAnsi="Arial"/>
          <w:sz w:val="20"/>
          <w:szCs w:val="20"/>
          <w:color w:val="auto"/>
        </w:rPr>
        <w:t>12.3</w:t>
      </w:r>
      <w:r>
        <w:rPr>
          <w:rFonts w:ascii="Arial" w:cs="Arial" w:eastAsia="Arial" w:hAnsi="Arial"/>
          <w:sz w:val="19"/>
          <w:szCs w:val="19"/>
          <w:color w:val="auto"/>
        </w:rPr>
        <w:t>Assistance</w:t>
      </w:r>
    </w:p>
    <w:p>
      <w:pPr>
        <w:ind w:left="632"/>
        <w:spacing w:after="0"/>
        <w:rPr>
          <w:rFonts w:ascii="Arial" w:cs="Arial" w:eastAsia="Arial" w:hAnsi="Arial"/>
          <w:sz w:val="20"/>
          <w:szCs w:val="20"/>
          <w:color w:val="auto"/>
        </w:rPr>
      </w:pPr>
      <w:r>
        <w:rPr>
          <w:rFonts w:ascii="Arial" w:cs="Arial" w:eastAsia="Arial" w:hAnsi="Arial"/>
          <w:sz w:val="20"/>
          <w:szCs w:val="20"/>
          <w:color w:val="auto"/>
        </w:rPr>
        <w:t>12.4</w:t>
      </w:r>
      <w:r>
        <w:rPr>
          <w:rFonts w:ascii="Arial" w:cs="Arial" w:eastAsia="Arial" w:hAnsi="Arial"/>
          <w:sz w:val="19"/>
          <w:szCs w:val="19"/>
          <w:color w:val="auto"/>
        </w:rPr>
        <w:t>Tax Documentation</w:t>
      </w:r>
    </w:p>
    <w:p>
      <w:pPr>
        <w:ind w:left="632"/>
        <w:spacing w:after="0"/>
        <w:rPr>
          <w:rFonts w:ascii="Arial" w:cs="Arial" w:eastAsia="Arial" w:hAnsi="Arial"/>
          <w:sz w:val="20"/>
          <w:szCs w:val="20"/>
          <w:color w:val="auto"/>
        </w:rPr>
      </w:pPr>
      <w:r>
        <w:rPr>
          <w:rFonts w:ascii="Arial" w:cs="Arial" w:eastAsia="Arial" w:hAnsi="Arial"/>
          <w:sz w:val="20"/>
          <w:szCs w:val="20"/>
          <w:color w:val="auto"/>
        </w:rPr>
        <w:t>12.5</w:t>
      </w:r>
      <w:r>
        <w:rPr>
          <w:rFonts w:ascii="Arial" w:cs="Arial" w:eastAsia="Arial" w:hAnsi="Arial"/>
          <w:sz w:val="19"/>
          <w:szCs w:val="19"/>
          <w:color w:val="auto"/>
        </w:rPr>
        <w:t>Tax Information.</w:t>
      </w:r>
    </w:p>
    <w:p>
      <w:pPr>
        <w:ind w:left="632" w:hanging="632"/>
        <w:spacing w:after="0" w:line="225" w:lineRule="auto"/>
        <w:tabs>
          <w:tab w:leader="none" w:pos="632" w:val="left"/>
        </w:tabs>
        <w:numPr>
          <w:ilvl w:val="0"/>
          <w:numId w:val="50"/>
        </w:numPr>
        <w:rPr>
          <w:rFonts w:ascii="Arial" w:cs="Arial" w:eastAsia="Arial" w:hAnsi="Arial"/>
          <w:sz w:val="20"/>
          <w:szCs w:val="20"/>
          <w:color w:val="auto"/>
        </w:rPr>
      </w:pPr>
      <w:r>
        <w:rPr>
          <w:rFonts w:ascii="Arial" w:cs="Arial" w:eastAsia="Arial" w:hAnsi="Arial"/>
          <w:sz w:val="20"/>
          <w:szCs w:val="20"/>
          <w:color w:val="auto"/>
        </w:rPr>
        <w:t>Auditing</w:t>
      </w:r>
    </w:p>
    <w:p>
      <w:pPr>
        <w:ind w:left="632"/>
        <w:spacing w:after="0"/>
        <w:rPr>
          <w:rFonts w:ascii="Arial" w:cs="Arial" w:eastAsia="Arial" w:hAnsi="Arial"/>
          <w:sz w:val="20"/>
          <w:szCs w:val="20"/>
          <w:color w:val="auto"/>
        </w:rPr>
      </w:pPr>
      <w:r>
        <w:rPr>
          <w:rFonts w:ascii="Arial" w:cs="Arial" w:eastAsia="Arial" w:hAnsi="Arial"/>
          <w:sz w:val="20"/>
          <w:szCs w:val="20"/>
          <w:color w:val="auto"/>
        </w:rPr>
        <w:t>13.1</w:t>
      </w:r>
      <w:r>
        <w:rPr>
          <w:rFonts w:ascii="Arial" w:cs="Arial" w:eastAsia="Arial" w:hAnsi="Arial"/>
          <w:sz w:val="19"/>
          <w:szCs w:val="19"/>
          <w:color w:val="auto"/>
        </w:rPr>
        <w:t>Atea Right to Audit</w:t>
      </w:r>
    </w:p>
    <w:p>
      <w:pPr>
        <w:ind w:left="632"/>
        <w:spacing w:after="0"/>
        <w:rPr>
          <w:rFonts w:ascii="Arial" w:cs="Arial" w:eastAsia="Arial" w:hAnsi="Arial"/>
          <w:sz w:val="20"/>
          <w:szCs w:val="20"/>
          <w:color w:val="auto"/>
        </w:rPr>
      </w:pPr>
      <w:r>
        <w:rPr>
          <w:rFonts w:ascii="Arial" w:cs="Arial" w:eastAsia="Arial" w:hAnsi="Arial"/>
          <w:sz w:val="20"/>
          <w:szCs w:val="20"/>
          <w:color w:val="auto"/>
        </w:rPr>
        <w:t>13.2</w:t>
      </w:r>
      <w:r>
        <w:rPr>
          <w:rFonts w:ascii="Arial" w:cs="Arial" w:eastAsia="Arial" w:hAnsi="Arial"/>
          <w:sz w:val="19"/>
          <w:szCs w:val="19"/>
          <w:color w:val="auto"/>
        </w:rPr>
        <w:t>Audit Reports</w:t>
      </w:r>
    </w:p>
    <w:p>
      <w:pPr>
        <w:ind w:left="632"/>
        <w:spacing w:after="0"/>
        <w:rPr>
          <w:rFonts w:ascii="Arial" w:cs="Arial" w:eastAsia="Arial" w:hAnsi="Arial"/>
          <w:sz w:val="20"/>
          <w:szCs w:val="20"/>
          <w:color w:val="auto"/>
        </w:rPr>
      </w:pPr>
      <w:r>
        <w:rPr>
          <w:rFonts w:ascii="Arial" w:cs="Arial" w:eastAsia="Arial" w:hAnsi="Arial"/>
          <w:sz w:val="20"/>
          <w:szCs w:val="20"/>
          <w:color w:val="auto"/>
        </w:rPr>
        <w:t>13.3</w:t>
      </w:r>
      <w:r>
        <w:rPr>
          <w:rFonts w:ascii="Arial" w:cs="Arial" w:eastAsia="Arial" w:hAnsi="Arial"/>
          <w:sz w:val="19"/>
          <w:szCs w:val="19"/>
          <w:color w:val="auto"/>
        </w:rPr>
        <w:t>Over-or Underpayment</w:t>
      </w:r>
    </w:p>
    <w:p>
      <w:pPr>
        <w:ind w:left="632" w:hanging="632"/>
        <w:spacing w:after="0" w:line="225" w:lineRule="auto"/>
        <w:tabs>
          <w:tab w:leader="none" w:pos="632"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Intellectual Property</w:t>
      </w:r>
    </w:p>
    <w:p>
      <w:pPr>
        <w:ind w:left="632"/>
        <w:spacing w:after="0"/>
        <w:rPr>
          <w:rFonts w:ascii="Arial" w:cs="Arial" w:eastAsia="Arial" w:hAnsi="Arial"/>
          <w:sz w:val="20"/>
          <w:szCs w:val="20"/>
          <w:color w:val="auto"/>
        </w:rPr>
      </w:pPr>
      <w:r>
        <w:rPr>
          <w:rFonts w:ascii="Arial" w:cs="Arial" w:eastAsia="Arial" w:hAnsi="Arial"/>
          <w:sz w:val="20"/>
          <w:szCs w:val="20"/>
          <w:color w:val="auto"/>
        </w:rPr>
        <w:t>14.1</w:t>
      </w:r>
      <w:r>
        <w:rPr>
          <w:rFonts w:ascii="Arial" w:cs="Arial" w:eastAsia="Arial" w:hAnsi="Arial"/>
          <w:sz w:val="19"/>
          <w:szCs w:val="19"/>
          <w:color w:val="auto"/>
        </w:rPr>
        <w:t>Ownership of Inventions and Collaboration Know-How</w:t>
      </w:r>
    </w:p>
    <w:p>
      <w:pPr>
        <w:ind w:left="632"/>
        <w:spacing w:after="0"/>
        <w:rPr>
          <w:rFonts w:ascii="Arial" w:cs="Arial" w:eastAsia="Arial" w:hAnsi="Arial"/>
          <w:sz w:val="20"/>
          <w:szCs w:val="20"/>
          <w:color w:val="auto"/>
        </w:rPr>
      </w:pPr>
      <w:r>
        <w:rPr>
          <w:rFonts w:ascii="Arial" w:cs="Arial" w:eastAsia="Arial" w:hAnsi="Arial"/>
          <w:sz w:val="20"/>
          <w:szCs w:val="20"/>
          <w:color w:val="auto"/>
        </w:rPr>
        <w:t>14.2</w:t>
      </w:r>
      <w:r>
        <w:rPr>
          <w:rFonts w:ascii="Arial" w:cs="Arial" w:eastAsia="Arial" w:hAnsi="Arial"/>
          <w:sz w:val="19"/>
          <w:szCs w:val="19"/>
          <w:color w:val="auto"/>
        </w:rPr>
        <w:t>German Statute on Employee Inventions</w:t>
      </w:r>
    </w:p>
    <w:p>
      <w:pPr>
        <w:ind w:left="632"/>
        <w:spacing w:after="0"/>
        <w:rPr>
          <w:rFonts w:ascii="Arial" w:cs="Arial" w:eastAsia="Arial" w:hAnsi="Arial"/>
          <w:sz w:val="20"/>
          <w:szCs w:val="20"/>
          <w:color w:val="auto"/>
        </w:rPr>
      </w:pPr>
      <w:r>
        <w:rPr>
          <w:rFonts w:ascii="Arial" w:cs="Arial" w:eastAsia="Arial" w:hAnsi="Arial"/>
          <w:sz w:val="20"/>
          <w:szCs w:val="20"/>
          <w:color w:val="auto"/>
        </w:rPr>
        <w:t>14.3</w:t>
      </w:r>
      <w:r>
        <w:rPr>
          <w:rFonts w:ascii="Arial" w:cs="Arial" w:eastAsia="Arial" w:hAnsi="Arial"/>
          <w:sz w:val="19"/>
          <w:szCs w:val="19"/>
          <w:color w:val="auto"/>
        </w:rPr>
        <w:t>Trademarks</w:t>
      </w:r>
    </w:p>
    <w:p>
      <w:pPr>
        <w:ind w:left="632"/>
        <w:spacing w:after="0"/>
        <w:rPr>
          <w:rFonts w:ascii="Arial" w:cs="Arial" w:eastAsia="Arial" w:hAnsi="Arial"/>
          <w:sz w:val="20"/>
          <w:szCs w:val="20"/>
          <w:color w:val="auto"/>
        </w:rPr>
      </w:pPr>
      <w:r>
        <w:rPr>
          <w:rFonts w:ascii="Arial" w:cs="Arial" w:eastAsia="Arial" w:hAnsi="Arial"/>
          <w:sz w:val="20"/>
          <w:szCs w:val="20"/>
          <w:color w:val="auto"/>
        </w:rPr>
        <w:t>14.4</w:t>
      </w:r>
      <w:r>
        <w:rPr>
          <w:rFonts w:ascii="Arial" w:cs="Arial" w:eastAsia="Arial" w:hAnsi="Arial"/>
          <w:sz w:val="19"/>
          <w:szCs w:val="19"/>
          <w:color w:val="auto"/>
        </w:rPr>
        <w:t>Prosecution of Atea Patent Rights</w:t>
      </w:r>
    </w:p>
    <w:p>
      <w:pPr>
        <w:ind w:left="632"/>
        <w:spacing w:after="0"/>
        <w:rPr>
          <w:rFonts w:ascii="Arial" w:cs="Arial" w:eastAsia="Arial" w:hAnsi="Arial"/>
          <w:sz w:val="20"/>
          <w:szCs w:val="20"/>
          <w:color w:val="auto"/>
        </w:rPr>
      </w:pPr>
      <w:r>
        <w:rPr>
          <w:rFonts w:ascii="Arial" w:cs="Arial" w:eastAsia="Arial" w:hAnsi="Arial"/>
          <w:sz w:val="20"/>
          <w:szCs w:val="20"/>
          <w:color w:val="auto"/>
        </w:rPr>
        <w:t>14.5</w:t>
      </w:r>
      <w:r>
        <w:rPr>
          <w:rFonts w:ascii="Arial" w:cs="Arial" w:eastAsia="Arial" w:hAnsi="Arial"/>
          <w:sz w:val="19"/>
          <w:szCs w:val="19"/>
          <w:color w:val="auto"/>
        </w:rPr>
        <w:t>Abandonment of Atea Patent Rights</w:t>
      </w:r>
    </w:p>
    <w:p>
      <w:pPr>
        <w:ind w:left="632"/>
        <w:spacing w:after="0"/>
        <w:rPr>
          <w:rFonts w:ascii="Arial" w:cs="Arial" w:eastAsia="Arial" w:hAnsi="Arial"/>
          <w:sz w:val="20"/>
          <w:szCs w:val="20"/>
          <w:color w:val="auto"/>
        </w:rPr>
      </w:pPr>
      <w:r>
        <w:rPr>
          <w:rFonts w:ascii="Arial" w:cs="Arial" w:eastAsia="Arial" w:hAnsi="Arial"/>
          <w:sz w:val="20"/>
          <w:szCs w:val="20"/>
          <w:color w:val="auto"/>
        </w:rPr>
        <w:t>14.6</w:t>
      </w:r>
      <w:r>
        <w:rPr>
          <w:rFonts w:ascii="Arial" w:cs="Arial" w:eastAsia="Arial" w:hAnsi="Arial"/>
          <w:sz w:val="19"/>
          <w:szCs w:val="19"/>
          <w:color w:val="auto"/>
        </w:rPr>
        <w:t>Prosecution of Roche Patent Rights Claiming Roche Inventions</w:t>
      </w:r>
    </w:p>
    <w:p>
      <w:pPr>
        <w:ind w:left="632"/>
        <w:spacing w:after="0"/>
        <w:rPr>
          <w:rFonts w:ascii="Arial" w:cs="Arial" w:eastAsia="Arial" w:hAnsi="Arial"/>
          <w:sz w:val="20"/>
          <w:szCs w:val="20"/>
          <w:color w:val="auto"/>
        </w:rPr>
      </w:pPr>
      <w:r>
        <w:rPr>
          <w:rFonts w:ascii="Arial" w:cs="Arial" w:eastAsia="Arial" w:hAnsi="Arial"/>
          <w:sz w:val="20"/>
          <w:szCs w:val="20"/>
          <w:color w:val="auto"/>
        </w:rPr>
        <w:t>14.7</w:t>
      </w:r>
      <w:r>
        <w:rPr>
          <w:rFonts w:ascii="Arial" w:cs="Arial" w:eastAsia="Arial" w:hAnsi="Arial"/>
          <w:sz w:val="19"/>
          <w:szCs w:val="19"/>
          <w:color w:val="auto"/>
        </w:rPr>
        <w:t>Abandonment of Roche Patent Rights Claiming Roche Inventions</w:t>
      </w:r>
    </w:p>
    <w:p>
      <w:pPr>
        <w:ind w:left="632"/>
        <w:spacing w:after="0"/>
        <w:rPr>
          <w:rFonts w:ascii="Arial" w:cs="Arial" w:eastAsia="Arial" w:hAnsi="Arial"/>
          <w:sz w:val="20"/>
          <w:szCs w:val="20"/>
          <w:color w:val="auto"/>
        </w:rPr>
      </w:pPr>
      <w:r>
        <w:rPr>
          <w:rFonts w:ascii="Arial" w:cs="Arial" w:eastAsia="Arial" w:hAnsi="Arial"/>
          <w:sz w:val="20"/>
          <w:szCs w:val="20"/>
          <w:color w:val="auto"/>
        </w:rPr>
        <w:t>14.8</w:t>
      </w:r>
      <w:r>
        <w:rPr>
          <w:rFonts w:ascii="Arial" w:cs="Arial" w:eastAsia="Arial" w:hAnsi="Arial"/>
          <w:sz w:val="19"/>
          <w:szCs w:val="19"/>
          <w:color w:val="auto"/>
        </w:rPr>
        <w:t>Prosecution of Joint Patent Rights</w:t>
      </w:r>
    </w:p>
    <w:p>
      <w:pPr>
        <w:ind w:left="632"/>
        <w:spacing w:after="0"/>
        <w:rPr>
          <w:rFonts w:ascii="Arial" w:cs="Arial" w:eastAsia="Arial" w:hAnsi="Arial"/>
          <w:sz w:val="20"/>
          <w:szCs w:val="20"/>
          <w:color w:val="auto"/>
        </w:rPr>
      </w:pPr>
      <w:r>
        <w:rPr>
          <w:rFonts w:ascii="Arial" w:cs="Arial" w:eastAsia="Arial" w:hAnsi="Arial"/>
          <w:sz w:val="20"/>
          <w:szCs w:val="20"/>
          <w:color w:val="auto"/>
        </w:rPr>
        <w:t>14.9</w:t>
      </w:r>
      <w:r>
        <w:rPr>
          <w:rFonts w:ascii="Arial" w:cs="Arial" w:eastAsia="Arial" w:hAnsi="Arial"/>
          <w:sz w:val="19"/>
          <w:szCs w:val="19"/>
          <w:color w:val="auto"/>
        </w:rPr>
        <w:t>Abandonment of Joint Patent Rights</w:t>
      </w:r>
    </w:p>
    <w:p>
      <w:pPr>
        <w:ind w:left="632"/>
        <w:spacing w:after="0"/>
        <w:rPr>
          <w:rFonts w:ascii="Arial" w:cs="Arial" w:eastAsia="Arial" w:hAnsi="Arial"/>
          <w:sz w:val="20"/>
          <w:szCs w:val="20"/>
          <w:color w:val="auto"/>
        </w:rPr>
      </w:pPr>
      <w:r>
        <w:rPr>
          <w:rFonts w:ascii="Arial" w:cs="Arial" w:eastAsia="Arial" w:hAnsi="Arial"/>
          <w:sz w:val="20"/>
          <w:szCs w:val="20"/>
          <w:color w:val="auto"/>
        </w:rPr>
        <w:t>14.10</w:t>
      </w:r>
      <w:r>
        <w:rPr>
          <w:rFonts w:ascii="Arial" w:cs="Arial" w:eastAsia="Arial" w:hAnsi="Arial"/>
          <w:sz w:val="19"/>
          <w:szCs w:val="19"/>
          <w:color w:val="auto"/>
        </w:rPr>
        <w:t>Patent Coordination Team</w:t>
      </w:r>
    </w:p>
    <w:p>
      <w:pPr>
        <w:ind w:left="632"/>
        <w:spacing w:after="0"/>
        <w:rPr>
          <w:rFonts w:ascii="Arial" w:cs="Arial" w:eastAsia="Arial" w:hAnsi="Arial"/>
          <w:sz w:val="20"/>
          <w:szCs w:val="20"/>
          <w:color w:val="auto"/>
        </w:rPr>
      </w:pPr>
      <w:r>
        <w:rPr>
          <w:rFonts w:ascii="Arial" w:cs="Arial" w:eastAsia="Arial" w:hAnsi="Arial"/>
          <w:sz w:val="20"/>
          <w:szCs w:val="20"/>
          <w:color w:val="auto"/>
        </w:rPr>
        <w:t>14.11</w:t>
      </w:r>
      <w:r>
        <w:rPr>
          <w:rFonts w:ascii="Arial" w:cs="Arial" w:eastAsia="Arial" w:hAnsi="Arial"/>
          <w:sz w:val="19"/>
          <w:szCs w:val="19"/>
          <w:color w:val="auto"/>
        </w:rPr>
        <w:t>[***]</w:t>
      </w:r>
    </w:p>
    <w:p>
      <w:pPr>
        <w:ind w:left="632"/>
        <w:spacing w:after="0"/>
        <w:rPr>
          <w:rFonts w:ascii="Arial" w:cs="Arial" w:eastAsia="Arial" w:hAnsi="Arial"/>
          <w:sz w:val="20"/>
          <w:szCs w:val="20"/>
          <w:color w:val="auto"/>
        </w:rPr>
      </w:pPr>
      <w:r>
        <w:rPr>
          <w:rFonts w:ascii="Arial" w:cs="Arial" w:eastAsia="Arial" w:hAnsi="Arial"/>
          <w:sz w:val="20"/>
          <w:szCs w:val="20"/>
          <w:color w:val="auto"/>
        </w:rPr>
        <w:t>14.12</w:t>
      </w:r>
      <w:r>
        <w:rPr>
          <w:rFonts w:ascii="Arial" w:cs="Arial" w:eastAsia="Arial" w:hAnsi="Arial"/>
          <w:sz w:val="19"/>
          <w:szCs w:val="19"/>
          <w:color w:val="auto"/>
        </w:rPr>
        <w:t>CREATE Act</w:t>
      </w:r>
    </w:p>
    <w:p>
      <w:pPr>
        <w:ind w:left="632"/>
        <w:spacing w:after="0"/>
        <w:rPr>
          <w:rFonts w:ascii="Arial" w:cs="Arial" w:eastAsia="Arial" w:hAnsi="Arial"/>
          <w:sz w:val="20"/>
          <w:szCs w:val="20"/>
          <w:color w:val="auto"/>
        </w:rPr>
      </w:pPr>
      <w:r>
        <w:rPr>
          <w:rFonts w:ascii="Arial" w:cs="Arial" w:eastAsia="Arial" w:hAnsi="Arial"/>
          <w:sz w:val="20"/>
          <w:szCs w:val="20"/>
          <w:color w:val="auto"/>
        </w:rPr>
        <w:t>14.13</w:t>
      </w:r>
      <w:r>
        <w:rPr>
          <w:rFonts w:ascii="Arial" w:cs="Arial" w:eastAsia="Arial" w:hAnsi="Arial"/>
          <w:sz w:val="19"/>
          <w:szCs w:val="19"/>
          <w:color w:val="auto"/>
        </w:rPr>
        <w:t>Infringement</w:t>
      </w:r>
    </w:p>
    <w:p>
      <w:pPr>
        <w:ind w:left="632"/>
        <w:spacing w:after="0"/>
        <w:rPr>
          <w:rFonts w:ascii="Arial" w:cs="Arial" w:eastAsia="Arial" w:hAnsi="Arial"/>
          <w:sz w:val="20"/>
          <w:szCs w:val="20"/>
          <w:color w:val="auto"/>
        </w:rPr>
      </w:pPr>
      <w:r>
        <w:rPr>
          <w:rFonts w:ascii="Arial" w:cs="Arial" w:eastAsia="Arial" w:hAnsi="Arial"/>
          <w:sz w:val="20"/>
          <w:szCs w:val="20"/>
          <w:color w:val="auto"/>
        </w:rPr>
        <w:t>14.14</w:t>
      </w:r>
      <w:r>
        <w:rPr>
          <w:rFonts w:ascii="Arial" w:cs="Arial" w:eastAsia="Arial" w:hAnsi="Arial"/>
          <w:sz w:val="19"/>
          <w:szCs w:val="19"/>
          <w:color w:val="auto"/>
        </w:rPr>
        <w:t>Defense</w:t>
      </w:r>
    </w:p>
    <w:p>
      <w:pPr>
        <w:ind w:left="632"/>
        <w:spacing w:after="0"/>
        <w:rPr>
          <w:rFonts w:ascii="Arial" w:cs="Arial" w:eastAsia="Arial" w:hAnsi="Arial"/>
          <w:sz w:val="20"/>
          <w:szCs w:val="20"/>
          <w:color w:val="auto"/>
        </w:rPr>
      </w:pPr>
      <w:r>
        <w:rPr>
          <w:rFonts w:ascii="Arial" w:cs="Arial" w:eastAsia="Arial" w:hAnsi="Arial"/>
          <w:sz w:val="20"/>
          <w:szCs w:val="20"/>
          <w:color w:val="auto"/>
        </w:rPr>
        <w:t>14.15</w:t>
      </w:r>
      <w:r>
        <w:rPr>
          <w:rFonts w:ascii="Arial" w:cs="Arial" w:eastAsia="Arial" w:hAnsi="Arial"/>
          <w:sz w:val="19"/>
          <w:szCs w:val="19"/>
          <w:color w:val="auto"/>
        </w:rPr>
        <w:t>Third Party Licenses</w:t>
      </w:r>
    </w:p>
    <w:p>
      <w:pPr>
        <w:ind w:left="632"/>
        <w:spacing w:after="0"/>
        <w:rPr>
          <w:rFonts w:ascii="Arial" w:cs="Arial" w:eastAsia="Arial" w:hAnsi="Arial"/>
          <w:sz w:val="20"/>
          <w:szCs w:val="20"/>
          <w:color w:val="auto"/>
        </w:rPr>
      </w:pPr>
      <w:r>
        <w:rPr>
          <w:rFonts w:ascii="Arial" w:cs="Arial" w:eastAsia="Arial" w:hAnsi="Arial"/>
          <w:sz w:val="20"/>
          <w:szCs w:val="20"/>
          <w:color w:val="auto"/>
        </w:rPr>
        <w:t>14.16</w:t>
      </w:r>
      <w:r>
        <w:rPr>
          <w:rFonts w:ascii="Arial" w:cs="Arial" w:eastAsia="Arial" w:hAnsi="Arial"/>
          <w:sz w:val="19"/>
          <w:szCs w:val="19"/>
          <w:color w:val="auto"/>
        </w:rPr>
        <w:t>Common Interest Disclosures</w:t>
      </w:r>
    </w:p>
    <w:p>
      <w:pPr>
        <w:ind w:left="632"/>
        <w:spacing w:after="0"/>
        <w:rPr>
          <w:rFonts w:ascii="Arial" w:cs="Arial" w:eastAsia="Arial" w:hAnsi="Arial"/>
          <w:sz w:val="20"/>
          <w:szCs w:val="20"/>
          <w:color w:val="auto"/>
        </w:rPr>
      </w:pPr>
      <w:r>
        <w:rPr>
          <w:rFonts w:ascii="Arial" w:cs="Arial" w:eastAsia="Arial" w:hAnsi="Arial"/>
          <w:sz w:val="20"/>
          <w:szCs w:val="20"/>
          <w:color w:val="auto"/>
        </w:rPr>
        <w:t>14.17</w:t>
      </w:r>
      <w:r>
        <w:rPr>
          <w:rFonts w:ascii="Arial" w:cs="Arial" w:eastAsia="Arial" w:hAnsi="Arial"/>
          <w:sz w:val="19"/>
          <w:szCs w:val="19"/>
          <w:color w:val="auto"/>
        </w:rPr>
        <w:t>Hatch-Waxman</w:t>
      </w:r>
    </w:p>
    <w:p>
      <w:pPr>
        <w:ind w:left="632"/>
        <w:spacing w:after="0"/>
        <w:rPr>
          <w:rFonts w:ascii="Arial" w:cs="Arial" w:eastAsia="Arial" w:hAnsi="Arial"/>
          <w:sz w:val="20"/>
          <w:szCs w:val="20"/>
          <w:color w:val="auto"/>
        </w:rPr>
      </w:pPr>
      <w:r>
        <w:rPr>
          <w:rFonts w:ascii="Arial" w:cs="Arial" w:eastAsia="Arial" w:hAnsi="Arial"/>
          <w:sz w:val="20"/>
          <w:szCs w:val="20"/>
          <w:color w:val="auto"/>
        </w:rPr>
        <w:t>14.18</w:t>
      </w:r>
      <w:r>
        <w:rPr>
          <w:rFonts w:ascii="Arial" w:cs="Arial" w:eastAsia="Arial" w:hAnsi="Arial"/>
          <w:sz w:val="19"/>
          <w:szCs w:val="19"/>
          <w:color w:val="auto"/>
        </w:rPr>
        <w:t>Patent Term Extensions</w:t>
      </w:r>
    </w:p>
    <w:p>
      <w:pPr>
        <w:ind w:left="632" w:hanging="632"/>
        <w:spacing w:after="0" w:line="225" w:lineRule="auto"/>
        <w:tabs>
          <w:tab w:leader="none" w:pos="632"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Representations and Warranties</w:t>
      </w:r>
    </w:p>
    <w:p>
      <w:pPr>
        <w:ind w:left="632"/>
        <w:spacing w:after="0"/>
        <w:rPr>
          <w:rFonts w:ascii="Arial" w:cs="Arial" w:eastAsia="Arial" w:hAnsi="Arial"/>
          <w:sz w:val="20"/>
          <w:szCs w:val="20"/>
          <w:color w:val="auto"/>
        </w:rPr>
      </w:pPr>
      <w:r>
        <w:rPr>
          <w:rFonts w:ascii="Arial" w:cs="Arial" w:eastAsia="Arial" w:hAnsi="Arial"/>
          <w:sz w:val="20"/>
          <w:szCs w:val="20"/>
          <w:color w:val="auto"/>
        </w:rPr>
        <w:t>15.1</w:t>
      </w:r>
      <w:r>
        <w:rPr>
          <w:rFonts w:ascii="Arial" w:cs="Arial" w:eastAsia="Arial" w:hAnsi="Arial"/>
          <w:sz w:val="19"/>
          <w:szCs w:val="19"/>
          <w:color w:val="auto"/>
        </w:rPr>
        <w:t>Atea Representations and Warranties.</w:t>
      </w:r>
    </w:p>
    <w:p>
      <w:pPr>
        <w:ind w:left="632"/>
        <w:spacing w:after="0"/>
        <w:rPr>
          <w:rFonts w:ascii="Arial" w:cs="Arial" w:eastAsia="Arial" w:hAnsi="Arial"/>
          <w:sz w:val="20"/>
          <w:szCs w:val="20"/>
          <w:color w:val="auto"/>
        </w:rPr>
      </w:pPr>
      <w:r>
        <w:rPr>
          <w:rFonts w:ascii="Arial" w:cs="Arial" w:eastAsia="Arial" w:hAnsi="Arial"/>
          <w:sz w:val="20"/>
          <w:szCs w:val="20"/>
          <w:color w:val="auto"/>
        </w:rPr>
        <w:t>15.2</w:t>
      </w:r>
      <w:r>
        <w:rPr>
          <w:rFonts w:ascii="Arial" w:cs="Arial" w:eastAsia="Arial" w:hAnsi="Arial"/>
          <w:sz w:val="19"/>
          <w:szCs w:val="19"/>
          <w:color w:val="auto"/>
        </w:rPr>
        <w:t>Mutual Representations and Warranties</w:t>
      </w:r>
    </w:p>
    <w:p>
      <w:pPr>
        <w:ind w:left="632"/>
        <w:spacing w:after="0"/>
        <w:rPr>
          <w:rFonts w:ascii="Arial" w:cs="Arial" w:eastAsia="Arial" w:hAnsi="Arial"/>
          <w:sz w:val="20"/>
          <w:szCs w:val="20"/>
          <w:color w:val="auto"/>
        </w:rPr>
      </w:pPr>
      <w:r>
        <w:rPr>
          <w:rFonts w:ascii="Arial" w:cs="Arial" w:eastAsia="Arial" w:hAnsi="Arial"/>
          <w:sz w:val="20"/>
          <w:szCs w:val="20"/>
          <w:color w:val="auto"/>
        </w:rPr>
        <w:t>15.3</w:t>
      </w:r>
      <w:r>
        <w:rPr>
          <w:rFonts w:ascii="Arial" w:cs="Arial" w:eastAsia="Arial" w:hAnsi="Arial"/>
          <w:sz w:val="19"/>
          <w:szCs w:val="19"/>
          <w:color w:val="auto"/>
        </w:rPr>
        <w:t>No Other Representations and Warranties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31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32</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32</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34</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34</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34</w:t>
      </w:r>
    </w:p>
    <w:p>
      <w:pPr>
        <w:spacing w:after="0"/>
        <w:rPr>
          <w:sz w:val="20"/>
          <w:szCs w:val="20"/>
          <w:color w:val="auto"/>
        </w:rPr>
      </w:pPr>
      <w:r>
        <w:rPr>
          <w:rFonts w:ascii="Arial" w:cs="Arial" w:eastAsia="Arial" w:hAnsi="Arial"/>
          <w:sz w:val="19"/>
          <w:szCs w:val="19"/>
          <w:color w:val="auto"/>
        </w:rPr>
        <w:t>35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36</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36</w:t>
      </w:r>
    </w:p>
    <w:p>
      <w:pPr>
        <w:spacing w:after="0"/>
        <w:rPr>
          <w:sz w:val="20"/>
          <w:szCs w:val="20"/>
          <w:color w:val="auto"/>
        </w:rPr>
      </w:pPr>
      <w:r>
        <w:rPr>
          <w:rFonts w:ascii="Arial" w:cs="Arial" w:eastAsia="Arial" w:hAnsi="Arial"/>
          <w:sz w:val="19"/>
          <w:szCs w:val="19"/>
          <w:color w:val="auto"/>
        </w:rPr>
        <w:t>36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37</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37</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37</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37</w:t>
      </w:r>
    </w:p>
    <w:p>
      <w:pPr>
        <w:spacing w:after="0"/>
        <w:rPr>
          <w:sz w:val="20"/>
          <w:szCs w:val="20"/>
          <w:color w:val="auto"/>
        </w:rPr>
      </w:pPr>
      <w:r>
        <w:rPr>
          <w:rFonts w:ascii="Arial" w:cs="Arial" w:eastAsia="Arial" w:hAnsi="Arial"/>
          <w:sz w:val="19"/>
          <w:szCs w:val="19"/>
          <w:color w:val="auto"/>
        </w:rPr>
        <w:t>37</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37</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38</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38</w:t>
      </w:r>
    </w:p>
    <w:p>
      <w:pPr>
        <w:spacing w:after="0"/>
        <w:rPr>
          <w:sz w:val="20"/>
          <w:szCs w:val="20"/>
          <w:color w:val="auto"/>
        </w:rPr>
      </w:pPr>
      <w:r>
        <w:rPr>
          <w:rFonts w:ascii="Arial" w:cs="Arial" w:eastAsia="Arial" w:hAnsi="Arial"/>
          <w:sz w:val="19"/>
          <w:szCs w:val="19"/>
          <w:color w:val="auto"/>
        </w:rPr>
        <w:t>38</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38</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39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44</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44</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45</w:t>
      </w:r>
    </w:p>
    <w:p>
      <w:pPr>
        <w:spacing w:after="0"/>
        <w:rPr>
          <w:sz w:val="20"/>
          <w:szCs w:val="20"/>
          <w:color w:val="auto"/>
        </w:rPr>
      </w:pPr>
      <w:r>
        <w:rPr>
          <w:rFonts w:ascii="Arial" w:cs="Arial" w:eastAsia="Arial" w:hAnsi="Arial"/>
          <w:sz w:val="19"/>
          <w:szCs w:val="19"/>
          <w:color w:val="auto"/>
        </w:rPr>
        <w:t>45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47</w:t>
      </w:r>
    </w:p>
    <w:p>
      <w:pPr>
        <w:spacing w:after="0" w:line="200" w:lineRule="exact"/>
        <w:rPr>
          <w:sz w:val="20"/>
          <w:szCs w:val="20"/>
          <w:color w:val="auto"/>
        </w:rPr>
      </w:pPr>
    </w:p>
    <w:p>
      <w:pPr>
        <w:sectPr>
          <w:pgSz w:w="11900" w:h="16838" w:orient="portrait"/>
          <w:cols w:equalWidth="0" w:num="2">
            <w:col w:w="10292" w:space="720"/>
            <w:col w:w="220"/>
          </w:cols>
          <w:pgMar w:left="328" w:top="338"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0892"/>
        <w:spacing w:after="0"/>
        <w:rPr>
          <w:sz w:val="20"/>
          <w:szCs w:val="20"/>
          <w:color w:val="auto"/>
        </w:rPr>
      </w:pPr>
      <w:r>
        <w:rPr>
          <w:rFonts w:ascii="Arial" w:cs="Arial" w:eastAsia="Arial" w:hAnsi="Arial"/>
          <w:sz w:val="19"/>
          <w:szCs w:val="19"/>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38" w:right="339" w:bottom="1440" w:gutter="0" w:footer="0" w:header="0"/>
          <w:type w:val="continuous"/>
        </w:sectPr>
      </w:pPr>
    </w:p>
    <w:bookmarkStart w:id="94" w:name="page95"/>
    <w:bookmarkEnd w:id="94"/>
    <w:p>
      <w:pPr>
        <w:ind w:left="632" w:hanging="632"/>
        <w:spacing w:after="0"/>
        <w:tabs>
          <w:tab w:leader="none" w:pos="632"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Indemnification</w:t>
      </w:r>
    </w:p>
    <w:p>
      <w:pPr>
        <w:ind w:left="632"/>
        <w:spacing w:after="0"/>
        <w:rPr>
          <w:rFonts w:ascii="Arial" w:cs="Arial" w:eastAsia="Arial" w:hAnsi="Arial"/>
          <w:sz w:val="20"/>
          <w:szCs w:val="20"/>
          <w:color w:val="auto"/>
        </w:rPr>
      </w:pPr>
      <w:r>
        <w:rPr>
          <w:rFonts w:ascii="Arial" w:cs="Arial" w:eastAsia="Arial" w:hAnsi="Arial"/>
          <w:sz w:val="20"/>
          <w:szCs w:val="20"/>
          <w:color w:val="auto"/>
        </w:rPr>
        <w:t>16.1</w:t>
      </w:r>
      <w:r>
        <w:rPr>
          <w:rFonts w:ascii="Arial" w:cs="Arial" w:eastAsia="Arial" w:hAnsi="Arial"/>
          <w:sz w:val="19"/>
          <w:szCs w:val="19"/>
          <w:color w:val="auto"/>
        </w:rPr>
        <w:t>Indemnification by Roche</w:t>
      </w:r>
    </w:p>
    <w:p>
      <w:pPr>
        <w:ind w:left="632"/>
        <w:spacing w:after="0"/>
        <w:rPr>
          <w:rFonts w:ascii="Arial" w:cs="Arial" w:eastAsia="Arial" w:hAnsi="Arial"/>
          <w:sz w:val="20"/>
          <w:szCs w:val="20"/>
          <w:color w:val="auto"/>
        </w:rPr>
      </w:pPr>
      <w:r>
        <w:rPr>
          <w:rFonts w:ascii="Arial" w:cs="Arial" w:eastAsia="Arial" w:hAnsi="Arial"/>
          <w:sz w:val="20"/>
          <w:szCs w:val="20"/>
          <w:color w:val="auto"/>
        </w:rPr>
        <w:t>16.2</w:t>
      </w:r>
      <w:r>
        <w:rPr>
          <w:rFonts w:ascii="Arial" w:cs="Arial" w:eastAsia="Arial" w:hAnsi="Arial"/>
          <w:sz w:val="19"/>
          <w:szCs w:val="19"/>
          <w:color w:val="auto"/>
        </w:rPr>
        <w:t>Indemnification by Atea</w:t>
      </w:r>
    </w:p>
    <w:p>
      <w:pPr>
        <w:ind w:left="632"/>
        <w:spacing w:after="0"/>
        <w:rPr>
          <w:rFonts w:ascii="Arial" w:cs="Arial" w:eastAsia="Arial" w:hAnsi="Arial"/>
          <w:sz w:val="20"/>
          <w:szCs w:val="20"/>
          <w:color w:val="auto"/>
        </w:rPr>
      </w:pPr>
      <w:r>
        <w:rPr>
          <w:rFonts w:ascii="Arial" w:cs="Arial" w:eastAsia="Arial" w:hAnsi="Arial"/>
          <w:sz w:val="20"/>
          <w:szCs w:val="20"/>
          <w:color w:val="auto"/>
        </w:rPr>
        <w:t>16.3</w:t>
      </w:r>
      <w:r>
        <w:rPr>
          <w:rFonts w:ascii="Arial" w:cs="Arial" w:eastAsia="Arial" w:hAnsi="Arial"/>
          <w:sz w:val="19"/>
          <w:szCs w:val="19"/>
          <w:color w:val="auto"/>
        </w:rPr>
        <w:t>Procedure</w:t>
      </w:r>
    </w:p>
    <w:p>
      <w:pPr>
        <w:ind w:left="632" w:hanging="632"/>
        <w:spacing w:after="0" w:line="225" w:lineRule="auto"/>
        <w:tabs>
          <w:tab w:leader="none" w:pos="632"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Liability</w:t>
      </w:r>
    </w:p>
    <w:p>
      <w:pPr>
        <w:ind w:left="632"/>
        <w:spacing w:after="0"/>
        <w:rPr>
          <w:rFonts w:ascii="Arial" w:cs="Arial" w:eastAsia="Arial" w:hAnsi="Arial"/>
          <w:sz w:val="20"/>
          <w:szCs w:val="20"/>
          <w:color w:val="auto"/>
        </w:rPr>
      </w:pPr>
      <w:r>
        <w:rPr>
          <w:rFonts w:ascii="Arial" w:cs="Arial" w:eastAsia="Arial" w:hAnsi="Arial"/>
          <w:sz w:val="20"/>
          <w:szCs w:val="20"/>
          <w:color w:val="auto"/>
        </w:rPr>
        <w:t>17.1</w:t>
      </w:r>
      <w:r>
        <w:rPr>
          <w:rFonts w:ascii="Arial" w:cs="Arial" w:eastAsia="Arial" w:hAnsi="Arial"/>
          <w:sz w:val="19"/>
          <w:szCs w:val="19"/>
          <w:color w:val="auto"/>
        </w:rPr>
        <w:t>Limitation of Liability</w:t>
      </w:r>
    </w:p>
    <w:p>
      <w:pPr>
        <w:ind w:left="632" w:hanging="632"/>
        <w:spacing w:after="0" w:line="225" w:lineRule="auto"/>
        <w:tabs>
          <w:tab w:leader="none" w:pos="632" w:val="left"/>
        </w:tabs>
        <w:numPr>
          <w:ilvl w:val="0"/>
          <w:numId w:val="51"/>
        </w:numPr>
        <w:rPr>
          <w:rFonts w:ascii="Arial" w:cs="Arial" w:eastAsia="Arial" w:hAnsi="Arial"/>
          <w:sz w:val="20"/>
          <w:szCs w:val="20"/>
          <w:color w:val="auto"/>
        </w:rPr>
      </w:pPr>
      <w:r>
        <w:rPr>
          <w:rFonts w:ascii="Arial" w:cs="Arial" w:eastAsia="Arial" w:hAnsi="Arial"/>
          <w:sz w:val="20"/>
          <w:szCs w:val="20"/>
          <w:color w:val="auto"/>
        </w:rPr>
        <w:t>Obligation Not to Disclose Confidential Information</w:t>
      </w:r>
    </w:p>
    <w:p>
      <w:pPr>
        <w:ind w:left="632"/>
        <w:spacing w:after="0"/>
        <w:rPr>
          <w:rFonts w:ascii="Arial" w:cs="Arial" w:eastAsia="Arial" w:hAnsi="Arial"/>
          <w:sz w:val="20"/>
          <w:szCs w:val="20"/>
          <w:color w:val="auto"/>
        </w:rPr>
      </w:pPr>
      <w:r>
        <w:rPr>
          <w:rFonts w:ascii="Arial" w:cs="Arial" w:eastAsia="Arial" w:hAnsi="Arial"/>
          <w:sz w:val="20"/>
          <w:szCs w:val="20"/>
          <w:color w:val="auto"/>
        </w:rPr>
        <w:t>18.1</w:t>
      </w:r>
      <w:r>
        <w:rPr>
          <w:rFonts w:ascii="Arial" w:cs="Arial" w:eastAsia="Arial" w:hAnsi="Arial"/>
          <w:sz w:val="19"/>
          <w:szCs w:val="19"/>
          <w:color w:val="auto"/>
        </w:rPr>
        <w:t>Non-Use and Non-Disclosure</w:t>
      </w:r>
    </w:p>
    <w:p>
      <w:pPr>
        <w:ind w:left="632"/>
        <w:spacing w:after="0"/>
        <w:rPr>
          <w:rFonts w:ascii="Arial" w:cs="Arial" w:eastAsia="Arial" w:hAnsi="Arial"/>
          <w:sz w:val="20"/>
          <w:szCs w:val="20"/>
          <w:color w:val="auto"/>
        </w:rPr>
      </w:pPr>
      <w:r>
        <w:rPr>
          <w:rFonts w:ascii="Arial" w:cs="Arial" w:eastAsia="Arial" w:hAnsi="Arial"/>
          <w:sz w:val="20"/>
          <w:szCs w:val="20"/>
          <w:color w:val="auto"/>
        </w:rPr>
        <w:t>18.2</w:t>
      </w:r>
      <w:r>
        <w:rPr>
          <w:rFonts w:ascii="Arial" w:cs="Arial" w:eastAsia="Arial" w:hAnsi="Arial"/>
          <w:sz w:val="19"/>
          <w:szCs w:val="19"/>
          <w:color w:val="auto"/>
        </w:rPr>
        <w:t>Permitted Disclosure</w:t>
      </w:r>
    </w:p>
    <w:p>
      <w:pPr>
        <w:ind w:left="632"/>
        <w:spacing w:after="0"/>
        <w:rPr>
          <w:rFonts w:ascii="Arial" w:cs="Arial" w:eastAsia="Arial" w:hAnsi="Arial"/>
          <w:sz w:val="20"/>
          <w:szCs w:val="20"/>
          <w:color w:val="auto"/>
        </w:rPr>
      </w:pPr>
      <w:r>
        <w:rPr>
          <w:rFonts w:ascii="Arial" w:cs="Arial" w:eastAsia="Arial" w:hAnsi="Arial"/>
          <w:sz w:val="20"/>
          <w:szCs w:val="20"/>
          <w:color w:val="auto"/>
        </w:rPr>
        <w:t>18.3</w:t>
      </w:r>
      <w:r>
        <w:rPr>
          <w:rFonts w:ascii="Arial" w:cs="Arial" w:eastAsia="Arial" w:hAnsi="Arial"/>
          <w:sz w:val="19"/>
          <w:szCs w:val="19"/>
          <w:color w:val="auto"/>
        </w:rPr>
        <w:t>Press Releases</w:t>
      </w:r>
    </w:p>
    <w:p>
      <w:pPr>
        <w:ind w:left="632"/>
        <w:spacing w:after="0"/>
        <w:rPr>
          <w:rFonts w:ascii="Arial" w:cs="Arial" w:eastAsia="Arial" w:hAnsi="Arial"/>
          <w:sz w:val="20"/>
          <w:szCs w:val="20"/>
          <w:color w:val="auto"/>
        </w:rPr>
      </w:pPr>
      <w:r>
        <w:rPr>
          <w:rFonts w:ascii="Arial" w:cs="Arial" w:eastAsia="Arial" w:hAnsi="Arial"/>
          <w:sz w:val="20"/>
          <w:szCs w:val="20"/>
          <w:color w:val="auto"/>
        </w:rPr>
        <w:t>18.4</w:t>
      </w:r>
      <w:r>
        <w:rPr>
          <w:rFonts w:ascii="Arial" w:cs="Arial" w:eastAsia="Arial" w:hAnsi="Arial"/>
          <w:sz w:val="19"/>
          <w:szCs w:val="19"/>
          <w:color w:val="auto"/>
        </w:rPr>
        <w:t>Publications</w:t>
      </w:r>
    </w:p>
    <w:p>
      <w:pPr>
        <w:ind w:left="632"/>
        <w:spacing w:after="0"/>
        <w:rPr>
          <w:rFonts w:ascii="Arial" w:cs="Arial" w:eastAsia="Arial" w:hAnsi="Arial"/>
          <w:sz w:val="20"/>
          <w:szCs w:val="20"/>
          <w:color w:val="auto"/>
        </w:rPr>
      </w:pPr>
      <w:r>
        <w:rPr>
          <w:rFonts w:ascii="Arial" w:cs="Arial" w:eastAsia="Arial" w:hAnsi="Arial"/>
          <w:sz w:val="20"/>
          <w:szCs w:val="20"/>
          <w:color w:val="auto"/>
        </w:rPr>
        <w:t>18.5</w:t>
      </w:r>
      <w:r>
        <w:rPr>
          <w:rFonts w:ascii="Arial" w:cs="Arial" w:eastAsia="Arial" w:hAnsi="Arial"/>
          <w:sz w:val="19"/>
          <w:szCs w:val="19"/>
          <w:color w:val="auto"/>
        </w:rPr>
        <w:t>Commercial Considerations</w:t>
      </w:r>
    </w:p>
    <w:p>
      <w:pPr>
        <w:ind w:left="632"/>
        <w:spacing w:after="0"/>
        <w:rPr>
          <w:rFonts w:ascii="Arial" w:cs="Arial" w:eastAsia="Arial" w:hAnsi="Arial"/>
          <w:sz w:val="20"/>
          <w:szCs w:val="20"/>
          <w:color w:val="auto"/>
        </w:rPr>
      </w:pPr>
      <w:r>
        <w:rPr>
          <w:rFonts w:ascii="Arial" w:cs="Arial" w:eastAsia="Arial" w:hAnsi="Arial"/>
          <w:sz w:val="20"/>
          <w:szCs w:val="20"/>
          <w:color w:val="auto"/>
        </w:rPr>
        <w:t>18.6</w:t>
      </w:r>
      <w:r>
        <w:rPr>
          <w:rFonts w:ascii="Arial" w:cs="Arial" w:eastAsia="Arial" w:hAnsi="Arial"/>
          <w:sz w:val="19"/>
          <w:szCs w:val="19"/>
          <w:color w:val="auto"/>
        </w:rPr>
        <w:t>Complying with Applicable Law or Judicial Process</w:t>
      </w:r>
    </w:p>
    <w:p>
      <w:pPr>
        <w:ind w:left="632" w:hanging="632"/>
        <w:spacing w:after="0" w:line="225" w:lineRule="auto"/>
        <w:tabs>
          <w:tab w:leader="none" w:pos="632" w:val="left"/>
        </w:tabs>
        <w:numPr>
          <w:ilvl w:val="0"/>
          <w:numId w:val="51"/>
        </w:numPr>
        <w:rPr>
          <w:rFonts w:ascii="Arial" w:cs="Arial" w:eastAsia="Arial" w:hAnsi="Arial"/>
          <w:sz w:val="20"/>
          <w:szCs w:val="20"/>
          <w:color w:val="auto"/>
        </w:rPr>
      </w:pPr>
      <w:r>
        <w:rPr>
          <w:rFonts w:ascii="Arial" w:cs="Arial" w:eastAsia="Arial" w:hAnsi="Arial"/>
          <w:sz w:val="20"/>
          <w:szCs w:val="20"/>
          <w:color w:val="auto"/>
        </w:rPr>
        <w:t>Term and Termination</w:t>
      </w:r>
    </w:p>
    <w:p>
      <w:pPr>
        <w:ind w:left="632"/>
        <w:spacing w:after="0"/>
        <w:rPr>
          <w:rFonts w:ascii="Arial" w:cs="Arial" w:eastAsia="Arial" w:hAnsi="Arial"/>
          <w:sz w:val="20"/>
          <w:szCs w:val="20"/>
          <w:color w:val="auto"/>
        </w:rPr>
      </w:pPr>
      <w:r>
        <w:rPr>
          <w:rFonts w:ascii="Arial" w:cs="Arial" w:eastAsia="Arial" w:hAnsi="Arial"/>
          <w:sz w:val="20"/>
          <w:szCs w:val="20"/>
          <w:color w:val="auto"/>
        </w:rPr>
        <w:t>19.1</w:t>
      </w:r>
      <w:r>
        <w:rPr>
          <w:rFonts w:ascii="Arial" w:cs="Arial" w:eastAsia="Arial" w:hAnsi="Arial"/>
          <w:sz w:val="19"/>
          <w:szCs w:val="19"/>
          <w:color w:val="auto"/>
        </w:rPr>
        <w:t>Commencement and Term</w:t>
      </w:r>
    </w:p>
    <w:p>
      <w:pPr>
        <w:ind w:left="632"/>
        <w:spacing w:after="0"/>
        <w:rPr>
          <w:rFonts w:ascii="Arial" w:cs="Arial" w:eastAsia="Arial" w:hAnsi="Arial"/>
          <w:sz w:val="20"/>
          <w:szCs w:val="20"/>
          <w:color w:val="auto"/>
        </w:rPr>
      </w:pPr>
      <w:r>
        <w:rPr>
          <w:rFonts w:ascii="Arial" w:cs="Arial" w:eastAsia="Arial" w:hAnsi="Arial"/>
          <w:sz w:val="20"/>
          <w:szCs w:val="20"/>
          <w:color w:val="auto"/>
        </w:rPr>
        <w:t>19.2</w:t>
      </w:r>
      <w:r>
        <w:rPr>
          <w:rFonts w:ascii="Arial" w:cs="Arial" w:eastAsia="Arial" w:hAnsi="Arial"/>
          <w:sz w:val="19"/>
          <w:szCs w:val="19"/>
          <w:color w:val="auto"/>
        </w:rPr>
        <w:t>Termination</w:t>
      </w:r>
    </w:p>
    <w:p>
      <w:pPr>
        <w:ind w:left="632"/>
        <w:spacing w:after="0"/>
        <w:rPr>
          <w:rFonts w:ascii="Arial" w:cs="Arial" w:eastAsia="Arial" w:hAnsi="Arial"/>
          <w:sz w:val="20"/>
          <w:szCs w:val="20"/>
          <w:color w:val="auto"/>
        </w:rPr>
      </w:pPr>
      <w:r>
        <w:rPr>
          <w:rFonts w:ascii="Arial" w:cs="Arial" w:eastAsia="Arial" w:hAnsi="Arial"/>
          <w:sz w:val="20"/>
          <w:szCs w:val="20"/>
          <w:color w:val="auto"/>
        </w:rPr>
        <w:t>19.3</w:t>
      </w:r>
      <w:r>
        <w:rPr>
          <w:rFonts w:ascii="Arial" w:cs="Arial" w:eastAsia="Arial" w:hAnsi="Arial"/>
          <w:sz w:val="19"/>
          <w:szCs w:val="19"/>
          <w:color w:val="auto"/>
        </w:rPr>
        <w:t>Consequences of Termination</w:t>
      </w:r>
    </w:p>
    <w:p>
      <w:pPr>
        <w:ind w:left="632"/>
        <w:spacing w:after="0"/>
        <w:rPr>
          <w:rFonts w:ascii="Arial" w:cs="Arial" w:eastAsia="Arial" w:hAnsi="Arial"/>
          <w:sz w:val="20"/>
          <w:szCs w:val="20"/>
          <w:color w:val="auto"/>
        </w:rPr>
      </w:pPr>
      <w:r>
        <w:rPr>
          <w:rFonts w:ascii="Arial" w:cs="Arial" w:eastAsia="Arial" w:hAnsi="Arial"/>
          <w:sz w:val="20"/>
          <w:szCs w:val="20"/>
          <w:color w:val="auto"/>
        </w:rPr>
        <w:t>19.4</w:t>
      </w:r>
      <w:r>
        <w:rPr>
          <w:rFonts w:ascii="Arial" w:cs="Arial" w:eastAsia="Arial" w:hAnsi="Arial"/>
          <w:sz w:val="19"/>
          <w:szCs w:val="19"/>
          <w:color w:val="auto"/>
        </w:rPr>
        <w:t>Survival</w:t>
      </w:r>
    </w:p>
    <w:p>
      <w:pPr>
        <w:ind w:left="632" w:hanging="632"/>
        <w:spacing w:after="0" w:line="225" w:lineRule="auto"/>
        <w:tabs>
          <w:tab w:leader="none" w:pos="632" w:val="left"/>
        </w:tabs>
        <w:numPr>
          <w:ilvl w:val="0"/>
          <w:numId w:val="51"/>
        </w:numPr>
        <w:rPr>
          <w:rFonts w:ascii="Arial" w:cs="Arial" w:eastAsia="Arial" w:hAnsi="Arial"/>
          <w:sz w:val="20"/>
          <w:szCs w:val="20"/>
          <w:color w:val="auto"/>
        </w:rPr>
      </w:pPr>
      <w:r>
        <w:rPr>
          <w:rFonts w:ascii="Arial" w:cs="Arial" w:eastAsia="Arial" w:hAnsi="Arial"/>
          <w:sz w:val="20"/>
          <w:szCs w:val="20"/>
          <w:color w:val="auto"/>
        </w:rPr>
        <w:t>Bankruptcy</w:t>
      </w:r>
    </w:p>
    <w:p>
      <w:pPr>
        <w:ind w:left="632" w:hanging="632"/>
        <w:spacing w:after="0" w:line="225" w:lineRule="auto"/>
        <w:tabs>
          <w:tab w:leader="none" w:pos="632" w:val="left"/>
        </w:tabs>
        <w:numPr>
          <w:ilvl w:val="0"/>
          <w:numId w:val="51"/>
        </w:numPr>
        <w:rPr>
          <w:rFonts w:ascii="Arial" w:cs="Arial" w:eastAsia="Arial" w:hAnsi="Arial"/>
          <w:sz w:val="20"/>
          <w:szCs w:val="20"/>
          <w:color w:val="auto"/>
        </w:rPr>
      </w:pPr>
      <w:r>
        <w:rPr>
          <w:rFonts w:ascii="Arial" w:cs="Arial" w:eastAsia="Arial" w:hAnsi="Arial"/>
          <w:sz w:val="20"/>
          <w:szCs w:val="20"/>
          <w:color w:val="auto"/>
        </w:rPr>
        <w:t>Miscellaneous</w:t>
      </w:r>
    </w:p>
    <w:p>
      <w:pPr>
        <w:ind w:left="632"/>
        <w:spacing w:after="0"/>
        <w:rPr>
          <w:rFonts w:ascii="Arial" w:cs="Arial" w:eastAsia="Arial" w:hAnsi="Arial"/>
          <w:sz w:val="20"/>
          <w:szCs w:val="20"/>
          <w:color w:val="auto"/>
        </w:rPr>
      </w:pPr>
      <w:r>
        <w:rPr>
          <w:rFonts w:ascii="Arial" w:cs="Arial" w:eastAsia="Arial" w:hAnsi="Arial"/>
          <w:sz w:val="20"/>
          <w:szCs w:val="20"/>
          <w:color w:val="auto"/>
        </w:rPr>
        <w:t>21.1</w:t>
      </w:r>
      <w:r>
        <w:rPr>
          <w:rFonts w:ascii="Arial" w:cs="Arial" w:eastAsia="Arial" w:hAnsi="Arial"/>
          <w:sz w:val="19"/>
          <w:szCs w:val="19"/>
          <w:color w:val="auto"/>
        </w:rPr>
        <w:t>Governing Law</w:t>
      </w:r>
    </w:p>
    <w:p>
      <w:pPr>
        <w:ind w:left="632"/>
        <w:spacing w:after="0"/>
        <w:rPr>
          <w:rFonts w:ascii="Arial" w:cs="Arial" w:eastAsia="Arial" w:hAnsi="Arial"/>
          <w:sz w:val="20"/>
          <w:szCs w:val="20"/>
          <w:color w:val="auto"/>
        </w:rPr>
      </w:pPr>
      <w:r>
        <w:rPr>
          <w:rFonts w:ascii="Arial" w:cs="Arial" w:eastAsia="Arial" w:hAnsi="Arial"/>
          <w:sz w:val="20"/>
          <w:szCs w:val="20"/>
          <w:color w:val="auto"/>
        </w:rPr>
        <w:t>21.2</w:t>
      </w:r>
      <w:r>
        <w:rPr>
          <w:rFonts w:ascii="Arial" w:cs="Arial" w:eastAsia="Arial" w:hAnsi="Arial"/>
          <w:sz w:val="19"/>
          <w:szCs w:val="19"/>
          <w:color w:val="auto"/>
        </w:rPr>
        <w:t>Disputes</w:t>
      </w:r>
    </w:p>
    <w:p>
      <w:pPr>
        <w:ind w:left="632"/>
        <w:spacing w:after="0"/>
        <w:rPr>
          <w:rFonts w:ascii="Arial" w:cs="Arial" w:eastAsia="Arial" w:hAnsi="Arial"/>
          <w:sz w:val="20"/>
          <w:szCs w:val="20"/>
          <w:color w:val="auto"/>
        </w:rPr>
      </w:pPr>
      <w:r>
        <w:rPr>
          <w:rFonts w:ascii="Arial" w:cs="Arial" w:eastAsia="Arial" w:hAnsi="Arial"/>
          <w:sz w:val="20"/>
          <w:szCs w:val="20"/>
          <w:color w:val="auto"/>
        </w:rPr>
        <w:t>21.3</w:t>
      </w:r>
      <w:r>
        <w:rPr>
          <w:rFonts w:ascii="Arial" w:cs="Arial" w:eastAsia="Arial" w:hAnsi="Arial"/>
          <w:sz w:val="19"/>
          <w:szCs w:val="19"/>
          <w:color w:val="auto"/>
        </w:rPr>
        <w:t>Arbitration</w:t>
      </w:r>
    </w:p>
    <w:p>
      <w:pPr>
        <w:ind w:left="632"/>
        <w:spacing w:after="0"/>
        <w:rPr>
          <w:rFonts w:ascii="Arial" w:cs="Arial" w:eastAsia="Arial" w:hAnsi="Arial"/>
          <w:sz w:val="20"/>
          <w:szCs w:val="20"/>
          <w:color w:val="auto"/>
        </w:rPr>
      </w:pPr>
      <w:r>
        <w:rPr>
          <w:rFonts w:ascii="Arial" w:cs="Arial" w:eastAsia="Arial" w:hAnsi="Arial"/>
          <w:sz w:val="20"/>
          <w:szCs w:val="20"/>
          <w:color w:val="auto"/>
        </w:rPr>
        <w:t>21.4</w:t>
      </w:r>
      <w:r>
        <w:rPr>
          <w:rFonts w:ascii="Arial" w:cs="Arial" w:eastAsia="Arial" w:hAnsi="Arial"/>
          <w:sz w:val="19"/>
          <w:szCs w:val="19"/>
          <w:color w:val="auto"/>
        </w:rPr>
        <w:t>Assignment</w:t>
      </w:r>
    </w:p>
    <w:p>
      <w:pPr>
        <w:ind w:left="632"/>
        <w:spacing w:after="0"/>
        <w:rPr>
          <w:rFonts w:ascii="Arial" w:cs="Arial" w:eastAsia="Arial" w:hAnsi="Arial"/>
          <w:sz w:val="20"/>
          <w:szCs w:val="20"/>
          <w:color w:val="auto"/>
        </w:rPr>
      </w:pPr>
      <w:r>
        <w:rPr>
          <w:rFonts w:ascii="Arial" w:cs="Arial" w:eastAsia="Arial" w:hAnsi="Arial"/>
          <w:sz w:val="20"/>
          <w:szCs w:val="20"/>
          <w:color w:val="auto"/>
        </w:rPr>
        <w:t>21.5</w:t>
      </w:r>
      <w:r>
        <w:rPr>
          <w:rFonts w:ascii="Arial" w:cs="Arial" w:eastAsia="Arial" w:hAnsi="Arial"/>
          <w:sz w:val="19"/>
          <w:szCs w:val="19"/>
          <w:color w:val="auto"/>
        </w:rPr>
        <w:t>Effects of Change of Control</w:t>
      </w:r>
    </w:p>
    <w:p>
      <w:pPr>
        <w:ind w:left="632"/>
        <w:spacing w:after="0"/>
        <w:rPr>
          <w:rFonts w:ascii="Arial" w:cs="Arial" w:eastAsia="Arial" w:hAnsi="Arial"/>
          <w:sz w:val="20"/>
          <w:szCs w:val="20"/>
          <w:color w:val="auto"/>
        </w:rPr>
      </w:pPr>
      <w:r>
        <w:rPr>
          <w:rFonts w:ascii="Arial" w:cs="Arial" w:eastAsia="Arial" w:hAnsi="Arial"/>
          <w:sz w:val="20"/>
          <w:szCs w:val="20"/>
          <w:color w:val="auto"/>
        </w:rPr>
        <w:t>21.6</w:t>
      </w:r>
      <w:r>
        <w:rPr>
          <w:rFonts w:ascii="Arial" w:cs="Arial" w:eastAsia="Arial" w:hAnsi="Arial"/>
          <w:sz w:val="19"/>
          <w:szCs w:val="19"/>
          <w:color w:val="auto"/>
        </w:rPr>
        <w:t>Independent Contractor</w:t>
      </w:r>
    </w:p>
    <w:p>
      <w:pPr>
        <w:ind w:left="632"/>
        <w:spacing w:after="0"/>
        <w:rPr>
          <w:rFonts w:ascii="Arial" w:cs="Arial" w:eastAsia="Arial" w:hAnsi="Arial"/>
          <w:sz w:val="20"/>
          <w:szCs w:val="20"/>
          <w:color w:val="auto"/>
        </w:rPr>
      </w:pPr>
      <w:r>
        <w:rPr>
          <w:rFonts w:ascii="Arial" w:cs="Arial" w:eastAsia="Arial" w:hAnsi="Arial"/>
          <w:sz w:val="20"/>
          <w:szCs w:val="20"/>
          <w:color w:val="auto"/>
        </w:rPr>
        <w:t>21.7</w:t>
      </w:r>
      <w:r>
        <w:rPr>
          <w:rFonts w:ascii="Arial" w:cs="Arial" w:eastAsia="Arial" w:hAnsi="Arial"/>
          <w:sz w:val="19"/>
          <w:szCs w:val="19"/>
          <w:color w:val="auto"/>
        </w:rPr>
        <w:t>Unenforceable Provisions and Severability</w:t>
      </w:r>
    </w:p>
    <w:p>
      <w:pPr>
        <w:ind w:left="632"/>
        <w:spacing w:after="0"/>
        <w:rPr>
          <w:rFonts w:ascii="Arial" w:cs="Arial" w:eastAsia="Arial" w:hAnsi="Arial"/>
          <w:sz w:val="20"/>
          <w:szCs w:val="20"/>
          <w:color w:val="auto"/>
        </w:rPr>
      </w:pPr>
      <w:r>
        <w:rPr>
          <w:rFonts w:ascii="Arial" w:cs="Arial" w:eastAsia="Arial" w:hAnsi="Arial"/>
          <w:sz w:val="20"/>
          <w:szCs w:val="20"/>
          <w:color w:val="auto"/>
        </w:rPr>
        <w:t>21.8</w:t>
      </w:r>
      <w:r>
        <w:rPr>
          <w:rFonts w:ascii="Arial" w:cs="Arial" w:eastAsia="Arial" w:hAnsi="Arial"/>
          <w:sz w:val="19"/>
          <w:szCs w:val="19"/>
          <w:color w:val="auto"/>
        </w:rPr>
        <w:t>Waiver</w:t>
      </w:r>
    </w:p>
    <w:p>
      <w:pPr>
        <w:ind w:left="632"/>
        <w:spacing w:after="0"/>
        <w:rPr>
          <w:rFonts w:ascii="Arial" w:cs="Arial" w:eastAsia="Arial" w:hAnsi="Arial"/>
          <w:sz w:val="20"/>
          <w:szCs w:val="20"/>
          <w:color w:val="auto"/>
        </w:rPr>
      </w:pPr>
      <w:r>
        <w:rPr>
          <w:rFonts w:ascii="Arial" w:cs="Arial" w:eastAsia="Arial" w:hAnsi="Arial"/>
          <w:sz w:val="20"/>
          <w:szCs w:val="20"/>
          <w:color w:val="auto"/>
        </w:rPr>
        <w:t>21.9</w:t>
      </w:r>
      <w:r>
        <w:rPr>
          <w:rFonts w:ascii="Arial" w:cs="Arial" w:eastAsia="Arial" w:hAnsi="Arial"/>
          <w:sz w:val="19"/>
          <w:szCs w:val="19"/>
          <w:color w:val="auto"/>
        </w:rPr>
        <w:t>Interpretation</w:t>
      </w:r>
    </w:p>
    <w:p>
      <w:pPr>
        <w:ind w:left="632"/>
        <w:spacing w:after="0"/>
        <w:rPr>
          <w:rFonts w:ascii="Arial" w:cs="Arial" w:eastAsia="Arial" w:hAnsi="Arial"/>
          <w:sz w:val="20"/>
          <w:szCs w:val="20"/>
          <w:color w:val="auto"/>
        </w:rPr>
      </w:pPr>
      <w:r>
        <w:rPr>
          <w:rFonts w:ascii="Arial" w:cs="Arial" w:eastAsia="Arial" w:hAnsi="Arial"/>
          <w:sz w:val="20"/>
          <w:szCs w:val="20"/>
          <w:color w:val="auto"/>
        </w:rPr>
        <w:t>21.10</w:t>
      </w:r>
      <w:r>
        <w:rPr>
          <w:rFonts w:ascii="Arial" w:cs="Arial" w:eastAsia="Arial" w:hAnsi="Arial"/>
          <w:sz w:val="19"/>
          <w:szCs w:val="19"/>
          <w:color w:val="auto"/>
        </w:rPr>
        <w:t>Entire Understanding</w:t>
      </w:r>
    </w:p>
    <w:p>
      <w:pPr>
        <w:ind w:left="632"/>
        <w:spacing w:after="0"/>
        <w:rPr>
          <w:rFonts w:ascii="Arial" w:cs="Arial" w:eastAsia="Arial" w:hAnsi="Arial"/>
          <w:sz w:val="20"/>
          <w:szCs w:val="20"/>
          <w:color w:val="auto"/>
        </w:rPr>
      </w:pPr>
      <w:r>
        <w:rPr>
          <w:rFonts w:ascii="Arial" w:cs="Arial" w:eastAsia="Arial" w:hAnsi="Arial"/>
          <w:sz w:val="20"/>
          <w:szCs w:val="20"/>
          <w:color w:val="auto"/>
        </w:rPr>
        <w:t>21.11</w:t>
      </w:r>
      <w:r>
        <w:rPr>
          <w:rFonts w:ascii="Arial" w:cs="Arial" w:eastAsia="Arial" w:hAnsi="Arial"/>
          <w:sz w:val="19"/>
          <w:szCs w:val="19"/>
          <w:color w:val="auto"/>
        </w:rPr>
        <w:t>Amendments</w:t>
      </w:r>
    </w:p>
    <w:p>
      <w:pPr>
        <w:ind w:left="632"/>
        <w:spacing w:after="0"/>
        <w:rPr>
          <w:rFonts w:ascii="Arial" w:cs="Arial" w:eastAsia="Arial" w:hAnsi="Arial"/>
          <w:sz w:val="20"/>
          <w:szCs w:val="20"/>
          <w:color w:val="auto"/>
        </w:rPr>
      </w:pPr>
      <w:r>
        <w:rPr>
          <w:rFonts w:ascii="Arial" w:cs="Arial" w:eastAsia="Arial" w:hAnsi="Arial"/>
          <w:sz w:val="20"/>
          <w:szCs w:val="20"/>
          <w:color w:val="auto"/>
        </w:rPr>
        <w:t>21.12</w:t>
      </w:r>
      <w:r>
        <w:rPr>
          <w:rFonts w:ascii="Arial" w:cs="Arial" w:eastAsia="Arial" w:hAnsi="Arial"/>
          <w:sz w:val="19"/>
          <w:szCs w:val="19"/>
          <w:color w:val="auto"/>
        </w:rPr>
        <w:t>Invoices</w:t>
      </w:r>
    </w:p>
    <w:p>
      <w:pPr>
        <w:ind w:left="632"/>
        <w:spacing w:after="0"/>
        <w:rPr>
          <w:rFonts w:ascii="Arial" w:cs="Arial" w:eastAsia="Arial" w:hAnsi="Arial"/>
          <w:sz w:val="20"/>
          <w:szCs w:val="20"/>
          <w:color w:val="auto"/>
        </w:rPr>
      </w:pPr>
      <w:r>
        <w:rPr>
          <w:rFonts w:ascii="Arial" w:cs="Arial" w:eastAsia="Arial" w:hAnsi="Arial"/>
          <w:sz w:val="20"/>
          <w:szCs w:val="20"/>
          <w:color w:val="auto"/>
        </w:rPr>
        <w:t>21.13</w:t>
      </w:r>
      <w:r>
        <w:rPr>
          <w:rFonts w:ascii="Arial" w:cs="Arial" w:eastAsia="Arial" w:hAnsi="Arial"/>
          <w:sz w:val="19"/>
          <w:szCs w:val="19"/>
          <w:color w:val="auto"/>
        </w:rPr>
        <w:t>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48</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48</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48</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48</w:t>
      </w:r>
    </w:p>
    <w:p>
      <w:pPr>
        <w:spacing w:after="0"/>
        <w:rPr>
          <w:sz w:val="20"/>
          <w:szCs w:val="20"/>
          <w:color w:val="auto"/>
        </w:rPr>
      </w:pPr>
      <w:r>
        <w:rPr>
          <w:rFonts w:ascii="Arial" w:cs="Arial" w:eastAsia="Arial" w:hAnsi="Arial"/>
          <w:sz w:val="19"/>
          <w:szCs w:val="19"/>
          <w:color w:val="auto"/>
        </w:rPr>
        <w:t>48</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48</w:t>
      </w:r>
    </w:p>
    <w:p>
      <w:pPr>
        <w:spacing w:after="0"/>
        <w:rPr>
          <w:sz w:val="20"/>
          <w:szCs w:val="20"/>
          <w:color w:val="auto"/>
        </w:rPr>
      </w:pPr>
      <w:r>
        <w:rPr>
          <w:rFonts w:ascii="Arial" w:cs="Arial" w:eastAsia="Arial" w:hAnsi="Arial"/>
          <w:sz w:val="19"/>
          <w:szCs w:val="19"/>
          <w:color w:val="auto"/>
        </w:rPr>
        <w:t>49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49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50</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50</w:t>
      </w:r>
    </w:p>
    <w:p>
      <w:pPr>
        <w:spacing w:after="0"/>
        <w:rPr>
          <w:sz w:val="20"/>
          <w:szCs w:val="20"/>
          <w:color w:val="auto"/>
        </w:rPr>
      </w:pPr>
      <w:r>
        <w:rPr>
          <w:rFonts w:ascii="Arial" w:cs="Arial" w:eastAsia="Arial" w:hAnsi="Arial"/>
          <w:sz w:val="19"/>
          <w:szCs w:val="19"/>
          <w:color w:val="auto"/>
        </w:rPr>
        <w:t>50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51</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51</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55</w:t>
      </w:r>
    </w:p>
    <w:p>
      <w:pPr>
        <w:spacing w:after="0" w:line="237" w:lineRule="auto"/>
        <w:rPr>
          <w:sz w:val="20"/>
          <w:szCs w:val="20"/>
          <w:color w:val="auto"/>
        </w:rPr>
      </w:pPr>
      <w:r>
        <w:rPr>
          <w:rFonts w:ascii="Arial" w:cs="Arial" w:eastAsia="Arial" w:hAnsi="Arial"/>
          <w:sz w:val="19"/>
          <w:szCs w:val="19"/>
          <w:color w:val="auto"/>
        </w:rPr>
        <w:t>55</w:t>
      </w:r>
    </w:p>
    <w:p>
      <w:pPr>
        <w:spacing w:after="0"/>
        <w:rPr>
          <w:sz w:val="20"/>
          <w:szCs w:val="20"/>
          <w:color w:val="auto"/>
        </w:rPr>
      </w:pPr>
      <w:r>
        <w:rPr>
          <w:rFonts w:ascii="Arial" w:cs="Arial" w:eastAsia="Arial" w:hAnsi="Arial"/>
          <w:sz w:val="19"/>
          <w:szCs w:val="19"/>
          <w:color w:val="auto"/>
        </w:rPr>
        <w:t>55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56</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57</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57</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57</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200" w:lineRule="exact"/>
        <w:rPr>
          <w:sz w:val="20"/>
          <w:szCs w:val="20"/>
          <w:color w:val="auto"/>
        </w:rPr>
      </w:pPr>
    </w:p>
    <w:p>
      <w:pPr>
        <w:sectPr>
          <w:pgSz w:w="11900" w:h="16838" w:orient="portrait"/>
          <w:cols w:equalWidth="0" w:num="2">
            <w:col w:w="10292" w:space="720"/>
            <w:col w:w="220"/>
          </w:cols>
          <w:pgMar w:left="328"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852"/>
        <w:spacing w:after="0"/>
        <w:rPr>
          <w:sz w:val="20"/>
          <w:szCs w:val="20"/>
          <w:color w:val="auto"/>
        </w:rPr>
      </w:pPr>
      <w:r>
        <w:rPr>
          <w:rFonts w:ascii="Arial" w:cs="Arial" w:eastAsia="Arial" w:hAnsi="Arial"/>
          <w:sz w:val="19"/>
          <w:szCs w:val="19"/>
          <w:color w:val="auto"/>
        </w:rPr>
        <w:t>- vi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38" w:right="3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License Agreement</w:t>
      </w:r>
    </w:p>
    <w:p>
      <w:pPr>
        <w:spacing w:after="0" w:line="200" w:lineRule="exact"/>
        <w:rPr>
          <w:sz w:val="20"/>
          <w:szCs w:val="20"/>
          <w:color w:val="auto"/>
        </w:rPr>
      </w:pPr>
    </w:p>
    <w:p>
      <w:pPr>
        <w:spacing w:after="0" w:line="28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WHEREAS, Atea has discovered proprietary compounds with antiviral activity, including compound known as AT-527 and potential back-up compounds, and possesses proprietary technology and intellectual property rights relating thereto; and</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WHEREAS, Roche has expertise in the research, development, manufacture and commercialization of pharmaceutical and diagnostic products; and</w:t>
      </w:r>
    </w:p>
    <w:p>
      <w:pPr>
        <w:spacing w:after="0" w:line="23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WHEREAS, Roche wishes to develop for commercialization such compounds and explore their potential applications in various therapeutic areas; and</w:t>
      </w:r>
    </w:p>
    <w:p>
      <w:pPr>
        <w:spacing w:after="0" w:line="23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WHEREAS, Atea is willing to grant to Roche exclusive rights to use certain of its intellectual property rights to research, develop, register, use, import, export, market, distribute, and sell Compounds, Products and Companion Diagnostics in the Roche Territory for use in the Field, non-exclusive rights to make, import, and export Compounds, Products and Companion Diagnostics in the Field in the Territory for use in the Field, and non-exclusive rights to research and develop Compounds, Products and Companion Diagnostics in the Atea Territory for use in the Field (as such terms are respectively defined below), as contemplated herein; and</w:t>
      </w:r>
    </w:p>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WHEREAS, Roche and Atea agree that Roche and Atea will perform certain activities to develop, manufacture and commercialize Compounds and Products, as contemplated herein.</w:t>
      </w:r>
    </w:p>
    <w:p>
      <w:pPr>
        <w:spacing w:after="0" w:line="23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NOW, THEREFORE, in consideration of the mutual covenants and promises contained in this Agreement and other good and valuable consideration, the receipt and sufficiency of which are hereby acknowledged, the Parties hereto, intending to be legally bound, do hereby agree as follows:</w:t>
      </w:r>
    </w:p>
    <w:p>
      <w:pPr>
        <w:spacing w:after="0" w:line="200" w:lineRule="exact"/>
        <w:rPr>
          <w:sz w:val="20"/>
          <w:szCs w:val="20"/>
          <w:color w:val="auto"/>
        </w:rPr>
      </w:pPr>
    </w:p>
    <w:p>
      <w:pPr>
        <w:spacing w:after="0" w:line="230"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As used in this Agreement, the following terms, whether used in the singular or plural, shall have the following meanings:</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Accounting Standards</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“Accounting Standards” shall mean with respect to a given Party, its Affiliate, or its Sublicensee, either (a) IFRS or (b) United States generally accepted accounting principles (GAAP), in either case, as currently used at the applicable time by, and as consistently applied by, such applicable Party or its Affiliate or Sublicensee.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Affiliate</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“Affiliate” shall mean any individual, corporation, association or other business entity that directly or indirectly controls, is controlled by, or is under common control with the Party in question. As used in this definition of “Affiliate,” the term “control” shall mean the direct or indirect ownership of more than fifty percent (&gt;50%) of the stock having the right to vote for directors thereof or the ability to otherwise control the management of the corporation or other business entity whether through the ownership of voting securities, by contract, resolution, regulation or otherwise. Anything to the contrary in this paragraph notwithstanding,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6" w:name="page97"/>
    <w:bookmarkEnd w:id="96"/>
    <w:p>
      <w:pPr>
        <w:spacing w:after="0"/>
        <w:tabs>
          <w:tab w:leader="none" w:pos="68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9"/>
          <w:szCs w:val="19"/>
          <w:b w:val="1"/>
          <w:bCs w:val="1"/>
          <w:color w:val="auto"/>
        </w:rPr>
        <w:t>Agreement</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“Agreement” shall mean this document including any and all appendices and amendments to it as may be added or amended from time to time in accordance with the provisions of this Agreement.</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Agreement Term</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“Agreement Term” shall mean the period of time commencing on the Effective Date and, unless this Agreement is terminated sooner as provided in Article 19, expiring on the date when no royalty or other payment obligations under this Agreement are or will become due.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b w:val="1"/>
          <w:bCs w:val="1"/>
          <w:color w:val="auto"/>
        </w:rPr>
        <w:t>API</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“API” shall mean the Compound as pharmaceutically active agent that is used for manufacturing the Product.</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9"/>
          <w:szCs w:val="19"/>
          <w:b w:val="1"/>
          <w:bCs w:val="1"/>
          <w:color w:val="auto"/>
        </w:rPr>
        <w:t>Applicable Law</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term “Applicable Law” shall mean any law, statute, ordinance, code, rule or regulation that has been enacted by a government authority (including without limitation, any Regulatory Authority) and is in force as of the Effective Date or comes into force during the Agreement Term, in each case to the extent that the same is applicable to the performance by the Parties of their respective obligations under this Agreement.</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9"/>
          <w:szCs w:val="19"/>
          <w:b w:val="1"/>
          <w:bCs w:val="1"/>
          <w:color w:val="auto"/>
        </w:rPr>
        <w:t>Atea Base Patent Rights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“Atea Base Patent Rights” shall mean Patent Rights in the Territory that are Controlled by Atea at the Effective Date, said Patent Rights being exhaustively listed in Appendix 1.7.</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9"/>
          <w:szCs w:val="19"/>
          <w:b w:val="1"/>
          <w:bCs w:val="1"/>
          <w:color w:val="auto"/>
        </w:rPr>
        <w:t>Atea Know-How</w:t>
      </w:r>
    </w:p>
    <w:p>
      <w:pPr>
        <w:spacing w:after="0" w:line="10"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The term “Atea Know-How” shall mean the Know-How that Atea Controls at the Effective Date and during the Agreement Term relating to or arising from the discovery, manufacture, development or commercialization of or necessary or reasonably useful to discover, manufacture, develop or commercialize a Product.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9"/>
          <w:szCs w:val="19"/>
          <w:b w:val="1"/>
          <w:bCs w:val="1"/>
          <w:color w:val="auto"/>
        </w:rPr>
        <w:t>Atea Ongoing Studies</w:t>
      </w:r>
    </w:p>
    <w:p>
      <w:pPr>
        <w:spacing w:after="0" w:line="1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term “Atea Ongoing Studies” shall mean the non-clinical studies and Clinical Studies that are being conducted by Atea with respect to Compounds and Products as of the Effective Date, [***]. The Atea Ongoing Studies are described in Appendix 1.9.</w:t>
      </w:r>
    </w:p>
    <w:p>
      <w:pPr>
        <w:spacing w:after="0" w:line="1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9"/>
          <w:szCs w:val="19"/>
          <w:b w:val="1"/>
          <w:bCs w:val="1"/>
          <w:color w:val="auto"/>
        </w:rPr>
        <w:t>Atea Patent Rights</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“Atea Patent Rights” shall mean the Patent Rights that Atea Controls, relating to or arising from the discovery, manufacture, development or commercialization of or Covering a Product. The term Atea Patent Rights shall include Atea Base Patent Rights.</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9"/>
          <w:szCs w:val="19"/>
          <w:b w:val="1"/>
          <w:bCs w:val="1"/>
          <w:color w:val="auto"/>
        </w:rPr>
        <w:t>Atea Territory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“Atea Territory” shall mean the US.</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b w:val="1"/>
          <w:bCs w:val="1"/>
          <w:color w:val="auto"/>
        </w:rPr>
        <w:t>Back-Up Compound</w:t>
      </w:r>
    </w:p>
    <w:p>
      <w:pPr>
        <w:spacing w:after="0" w:line="235" w:lineRule="auto"/>
        <w:rPr>
          <w:sz w:val="20"/>
          <w:szCs w:val="20"/>
          <w:color w:val="auto"/>
        </w:rPr>
      </w:pPr>
      <w:r>
        <w:rPr>
          <w:rFonts w:ascii="Arial" w:cs="Arial" w:eastAsia="Arial" w:hAnsi="Arial"/>
          <w:sz w:val="20"/>
          <w:szCs w:val="20"/>
          <w:color w:val="auto"/>
        </w:rPr>
        <w:t>The term “Back-Up Compound” shall mean a molecule other than the Lead Compound, [***] and that:</w:t>
      </w:r>
    </w:p>
    <w:p>
      <w:pPr>
        <w:ind w:left="840" w:hanging="414"/>
        <w:spacing w:after="0" w:line="226" w:lineRule="auto"/>
        <w:tabs>
          <w:tab w:leader="none" w:pos="8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 [***], or (ii) has [***]; and/or</w:t>
      </w:r>
    </w:p>
    <w:p>
      <w:pPr>
        <w:ind w:left="840" w:hanging="414"/>
        <w:spacing w:after="0"/>
        <w:tabs>
          <w:tab w:leader="none" w:pos="8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is an [***] of a compound described in subclause (a) above,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50" w:lineRule="exact"/>
        <w:rPr>
          <w:rFonts w:ascii="Arial" w:cs="Arial" w:eastAsia="Arial" w:hAnsi="Arial"/>
          <w:sz w:val="20"/>
          <w:szCs w:val="20"/>
          <w:color w:val="auto"/>
        </w:rPr>
      </w:pPr>
    </w:p>
    <w:p>
      <w:pPr>
        <w:ind w:left="5560" w:hanging="112"/>
        <w:spacing w:after="0"/>
        <w:tabs>
          <w:tab w:leader="none" w:pos="5560" w:val="left"/>
        </w:tabs>
        <w:numPr>
          <w:ilvl w:val="1"/>
          <w:numId w:val="53"/>
        </w:numPr>
        <w:rPr>
          <w:rFonts w:ascii="Arial" w:cs="Arial" w:eastAsia="Arial" w:hAnsi="Arial"/>
          <w:sz w:val="20"/>
          <w:szCs w:val="20"/>
          <w:color w:val="auto"/>
        </w:rPr>
      </w:pPr>
      <w:r>
        <w:rPr>
          <w:rFonts w:ascii="Arial" w:cs="Arial" w:eastAsia="Arial" w:hAnsi="Arial"/>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7" w:name="page98"/>
    <w:bookmarkEnd w:id="97"/>
    <w:p>
      <w:pPr>
        <w:jc w:val="both"/>
        <w:spacing w:after="0" w:line="236" w:lineRule="auto"/>
        <w:rPr>
          <w:sz w:val="20"/>
          <w:szCs w:val="20"/>
          <w:color w:val="auto"/>
        </w:rPr>
      </w:pPr>
      <w:r>
        <w:rPr>
          <w:rFonts w:ascii="Arial" w:cs="Arial" w:eastAsia="Arial" w:hAnsi="Arial"/>
          <w:sz w:val="20"/>
          <w:szCs w:val="20"/>
          <w:color w:val="auto"/>
        </w:rPr>
        <w:t>in each case a) and b), that was generated by or on behalf of Atea, or that is otherwise proprietary to and Controlled by Atea, at the Effective Date or during the Agreement Term.</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9"/>
          <w:szCs w:val="19"/>
          <w:b w:val="1"/>
          <w:bCs w:val="1"/>
          <w:color w:val="auto"/>
        </w:rPr>
        <w:t>Calendar Quarter</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“Calendar Quarter” shall mean each period of three (3) consecutive calendar months, ending March 31, June 30, September 30, and December 31.</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9"/>
          <w:szCs w:val="19"/>
          <w:b w:val="1"/>
          <w:bCs w:val="1"/>
          <w:color w:val="auto"/>
        </w:rPr>
        <w:t>Calendar Year</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“Calendar Year” shall mean the period of time beginning on January 1 and ending December 31, except for the first year which shall begin on the Effective Date and end on December 31.</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9"/>
          <w:szCs w:val="19"/>
          <w:b w:val="1"/>
          <w:bCs w:val="1"/>
          <w:color w:val="auto"/>
        </w:rPr>
        <w:t>cGMP</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color w:val="auto"/>
        </w:rPr>
        <w:t>cGMP</w:t>
      </w:r>
      <w:r>
        <w:rPr>
          <w:rFonts w:ascii="Arial" w:cs="Arial" w:eastAsia="Arial" w:hAnsi="Arial"/>
          <w:sz w:val="20"/>
          <w:szCs w:val="20"/>
          <w:color w:val="auto"/>
        </w:rPr>
        <w:t>” means the regulatory requirements for current good manufacturing practices promulgated by the FDA under the FD&amp;C Act, 21 C.F.R. §§ 210, 211 and 600 et seq. and under the PHS Act, 21 C.F.R. §§ 600-610, as the same may be amended from time to time and with respect to the Product, the corresponding or similar laws, rules and regulations of those jurisdictions in which the Product is sold.</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9"/>
          <w:szCs w:val="19"/>
          <w:b w:val="1"/>
          <w:bCs w:val="1"/>
          <w:color w:val="auto"/>
        </w:rPr>
        <w:t>Change of Control</w:t>
      </w:r>
    </w:p>
    <w:p>
      <w:pPr>
        <w:spacing w:after="0" w:line="1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term “Change of Control” shall mean, with respect to a Party: (a) the acquisition by any Third Party of beneficial ownership of fifty percent (50%) or more of the then outstanding common shares or voting power of such Party, other than acquisitions by employee benefit plans sponsored or maintained by such Party; (b) the consummation of a business combination involving such Party, unless, following such business combination, the stockholders of such Party immediately prior to such business combination beneficially own directly or indirectly more than fifty percent (50%) of the then outstanding common shares or voting power of the entity resulting from such business combination; or (c) the sale of all or substantially all of such Party’s assets or business relating to the subject matter of the Agreement; provided, however, that notwithstanding (a) through (c) above, a sale or issuance of a Party’s securities in an equity financing for capital raising purposes, including a public offering of securities, shall not constitute a Change of Control.</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9"/>
          <w:szCs w:val="19"/>
          <w:b w:val="1"/>
          <w:bCs w:val="1"/>
          <w:color w:val="auto"/>
        </w:rPr>
        <w:t>Change of Control Group</w:t>
      </w:r>
    </w:p>
    <w:p>
      <w:pPr>
        <w:spacing w:after="0" w:line="1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term “Change of Control Group” shall mean with respect to a Party, the person or entity, or group of persons or entities, that is the acquirer of, or a successor to, a Party in connection with a Change of Control, together with affiliates of such persons or entities that are not Affiliates of such Party immediately prior to the completion of such Change of Control of such Party.</w:t>
      </w:r>
    </w:p>
    <w:p>
      <w:pPr>
        <w:spacing w:after="0" w:line="16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9"/>
          <w:szCs w:val="19"/>
          <w:b w:val="1"/>
          <w:bCs w:val="1"/>
          <w:color w:val="auto"/>
        </w:rPr>
        <w:t>Clinical Study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“Clinical Study” shall mean a Phase I Study, Phase II Study or a Phase III Study, as applicable.</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9"/>
          <w:szCs w:val="19"/>
          <w:b w:val="1"/>
          <w:bCs w:val="1"/>
          <w:color w:val="auto"/>
        </w:rPr>
        <w:t>CMO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“CMO” shall mean a Third Party contract manufacturing organization.</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1.20</w:t>
      </w:r>
      <w:r>
        <w:rPr>
          <w:sz w:val="20"/>
          <w:szCs w:val="20"/>
          <w:color w:val="auto"/>
        </w:rPr>
        <w:tab/>
      </w:r>
      <w:r>
        <w:rPr>
          <w:rFonts w:ascii="Arial" w:cs="Arial" w:eastAsia="Arial" w:hAnsi="Arial"/>
          <w:sz w:val="19"/>
          <w:szCs w:val="19"/>
          <w:b w:val="1"/>
          <w:bCs w:val="1"/>
          <w:color w:val="auto"/>
        </w:rPr>
        <w:t>Combination Product</w:t>
      </w:r>
    </w:p>
    <w:p>
      <w:pPr>
        <w:spacing w:after="0" w:line="235" w:lineRule="auto"/>
        <w:rPr>
          <w:sz w:val="20"/>
          <w:szCs w:val="20"/>
          <w:color w:val="auto"/>
        </w:rPr>
      </w:pPr>
      <w:r>
        <w:rPr>
          <w:rFonts w:ascii="Arial" w:cs="Arial" w:eastAsia="Arial" w:hAnsi="Arial"/>
          <w:sz w:val="20"/>
          <w:szCs w:val="20"/>
          <w:color w:val="auto"/>
        </w:rPr>
        <w:t>The term “Combination Product” shall mean</w:t>
      </w:r>
    </w:p>
    <w:p>
      <w:pPr>
        <w:spacing w:after="0" w:line="1" w:lineRule="exact"/>
        <w:rPr>
          <w:sz w:val="20"/>
          <w:szCs w:val="20"/>
          <w:color w:val="auto"/>
        </w:rPr>
      </w:pPr>
    </w:p>
    <w:p>
      <w:pPr>
        <w:ind w:left="420" w:hanging="412"/>
        <w:spacing w:after="0" w:line="236" w:lineRule="auto"/>
        <w:tabs>
          <w:tab w:leader="none" w:pos="4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 single pharmaceutical formulation containing as its active ingredients both a Compound and one or more other therapeutically or prophylactically active ingredients,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7" w:lineRule="exact"/>
        <w:rPr>
          <w:rFonts w:ascii="Arial" w:cs="Arial" w:eastAsia="Arial" w:hAnsi="Arial"/>
          <w:sz w:val="20"/>
          <w:szCs w:val="20"/>
          <w:color w:val="auto"/>
        </w:rPr>
      </w:pPr>
    </w:p>
    <w:p>
      <w:pPr>
        <w:ind w:left="5560" w:hanging="112"/>
        <w:spacing w:after="0"/>
        <w:tabs>
          <w:tab w:leader="none" w:pos="5560" w:val="left"/>
        </w:tabs>
        <w:numPr>
          <w:ilvl w:val="1"/>
          <w:numId w:val="54"/>
        </w:numPr>
        <w:rPr>
          <w:rFonts w:ascii="Arial" w:cs="Arial" w:eastAsia="Arial" w:hAnsi="Arial"/>
          <w:sz w:val="20"/>
          <w:szCs w:val="20"/>
          <w:color w:val="auto"/>
        </w:rPr>
      </w:pPr>
      <w:r>
        <w:rPr>
          <w:rFonts w:ascii="Arial" w:cs="Arial" w:eastAsia="Arial" w:hAnsi="Arial"/>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98" w:name="page99"/>
    <w:bookmarkEnd w:id="98"/>
    <w:p>
      <w:pPr>
        <w:ind w:left="420" w:hanging="412"/>
        <w:spacing w:after="0"/>
        <w:tabs>
          <w:tab w:leader="none" w:pos="4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or</w:t>
      </w:r>
    </w:p>
    <w:p>
      <w:pPr>
        <w:ind w:left="420" w:hanging="412"/>
        <w:spacing w:after="0" w:line="225" w:lineRule="auto"/>
        <w:tabs>
          <w:tab w:leader="none" w:pos="4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t>
      </w:r>
    </w:p>
    <w:p>
      <w:pPr>
        <w:jc w:val="both"/>
        <w:spacing w:after="0" w:line="236" w:lineRule="auto"/>
        <w:rPr>
          <w:sz w:val="20"/>
          <w:szCs w:val="20"/>
          <w:color w:val="auto"/>
        </w:rPr>
      </w:pPr>
      <w:r>
        <w:rPr>
          <w:rFonts w:ascii="Arial" w:cs="Arial" w:eastAsia="Arial" w:hAnsi="Arial"/>
          <w:sz w:val="20"/>
          <w:szCs w:val="20"/>
          <w:color w:val="auto"/>
        </w:rPr>
        <w:t>in each case, including all dosage forms, formulations, presentations, line extensions, and package configurations. All references to Product in this Agreement shall be deemed to include Combination Product.</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9"/>
          <w:szCs w:val="19"/>
          <w:b w:val="1"/>
          <w:bCs w:val="1"/>
          <w:color w:val="auto"/>
        </w:rPr>
        <w:t>Commercially Reasonable Efforts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“Commercially Reasonable Efforts” shall mean, [***]. It is understood that such product potential may change from time to time based upon changing scientific, business and marketing and return on investment considerations.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9"/>
          <w:szCs w:val="19"/>
          <w:b w:val="1"/>
          <w:bCs w:val="1"/>
          <w:color w:val="auto"/>
        </w:rPr>
        <w:t>Companion Diagnostic</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“Companion Diagnostic” shall mean any product that is used for predicting or monitoring the response of a human being to treatment with a Product [***].</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9"/>
          <w:szCs w:val="19"/>
          <w:b w:val="1"/>
          <w:bCs w:val="1"/>
          <w:color w:val="auto"/>
        </w:rPr>
        <w:t>Completion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“Completion” shall mean the availability of the final study report.</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9"/>
          <w:szCs w:val="19"/>
          <w:b w:val="1"/>
          <w:bCs w:val="1"/>
          <w:color w:val="auto"/>
        </w:rPr>
        <w:t>Composition of Matter Claim</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“Composition of Matter Claim” shall mean, for a given Product in a given country of the Territory, a Valid Claim of an Atea Patent Right that Covers the Compound per se that is included in such Product.</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9"/>
          <w:szCs w:val="19"/>
          <w:b w:val="1"/>
          <w:bCs w:val="1"/>
          <w:color w:val="auto"/>
        </w:rPr>
        <w:t>Compound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“Compound” shall mean the Lead Compound and each Back-up Compound.</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19"/>
          <w:szCs w:val="19"/>
          <w:b w:val="1"/>
          <w:bCs w:val="1"/>
          <w:color w:val="auto"/>
        </w:rPr>
        <w:t>Compulsory Sublicense Compensation</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“Compulsory Sublicense Compensation” shall mean, for a given country or region in the Territory, the compensation paid to Roche by a Third Party (a “</w:t>
      </w:r>
      <w:r>
        <w:rPr>
          <w:rFonts w:ascii="Arial" w:cs="Arial" w:eastAsia="Arial" w:hAnsi="Arial"/>
          <w:sz w:val="20"/>
          <w:szCs w:val="20"/>
          <w:b w:val="1"/>
          <w:bCs w:val="1"/>
          <w:color w:val="auto"/>
        </w:rPr>
        <w:t>Compulsory Sublicensee</w:t>
      </w:r>
      <w:r>
        <w:rPr>
          <w:rFonts w:ascii="Arial" w:cs="Arial" w:eastAsia="Arial" w:hAnsi="Arial"/>
          <w:sz w:val="20"/>
          <w:szCs w:val="20"/>
          <w:color w:val="auto"/>
        </w:rPr>
        <w:t>”) under a license or sublicense of Atea Patent Rights and Joint Patent Rights granted to the Compulsory Sublicensee (the “</w:t>
      </w:r>
      <w:r>
        <w:rPr>
          <w:rFonts w:ascii="Arial" w:cs="Arial" w:eastAsia="Arial" w:hAnsi="Arial"/>
          <w:sz w:val="20"/>
          <w:szCs w:val="20"/>
          <w:b w:val="1"/>
          <w:bCs w:val="1"/>
          <w:color w:val="auto"/>
        </w:rPr>
        <w:t>Compulsory Sublicense</w:t>
      </w:r>
      <w:r>
        <w:rPr>
          <w:rFonts w:ascii="Arial" w:cs="Arial" w:eastAsia="Arial" w:hAnsi="Arial"/>
          <w:sz w:val="20"/>
          <w:szCs w:val="20"/>
          <w:color w:val="auto"/>
        </w:rPr>
        <w:t>”) through the order, decree or grant of a governmental authority having competent jurisdiction in such country or region, authorizing such Third Party to manufacture, use, sell, offer for sale, import or export a Product in such country or region.</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19"/>
          <w:szCs w:val="19"/>
          <w:b w:val="1"/>
          <w:bCs w:val="1"/>
          <w:color w:val="auto"/>
        </w:rPr>
        <w:t>Confidential Information</w:t>
      </w:r>
    </w:p>
    <w:p>
      <w:pPr>
        <w:spacing w:after="0" w:line="10"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The term “Confidential Information” shall mean any and all information, data or know-how (including Know-How), whether technical or non-technical, oral or written, that is disclosed by one Party or its Affiliates (“</w:t>
      </w:r>
      <w:r>
        <w:rPr>
          <w:rFonts w:ascii="Arial" w:cs="Arial" w:eastAsia="Arial" w:hAnsi="Arial"/>
          <w:sz w:val="20"/>
          <w:szCs w:val="20"/>
          <w:b w:val="1"/>
          <w:bCs w:val="1"/>
          <w:color w:val="auto"/>
        </w:rPr>
        <w:t>Disclosing Party</w:t>
      </w:r>
      <w:r>
        <w:rPr>
          <w:rFonts w:ascii="Arial" w:cs="Arial" w:eastAsia="Arial" w:hAnsi="Arial"/>
          <w:sz w:val="20"/>
          <w:szCs w:val="20"/>
          <w:color w:val="auto"/>
        </w:rPr>
        <w:t>”) to the other Party or its Affiliates (“</w:t>
      </w:r>
      <w:r>
        <w:rPr>
          <w:rFonts w:ascii="Arial" w:cs="Arial" w:eastAsia="Arial" w:hAnsi="Arial"/>
          <w:sz w:val="20"/>
          <w:szCs w:val="20"/>
          <w:b w:val="1"/>
          <w:bCs w:val="1"/>
          <w:color w:val="auto"/>
        </w:rPr>
        <w:t>Receiving Party</w:t>
      </w:r>
      <w:r>
        <w:rPr>
          <w:rFonts w:ascii="Arial" w:cs="Arial" w:eastAsia="Arial" w:hAnsi="Arial"/>
          <w:sz w:val="20"/>
          <w:szCs w:val="20"/>
          <w:color w:val="auto"/>
        </w:rPr>
        <w:t>”). Confidential Information shall not include any information, data or know-how that:</w:t>
      </w:r>
    </w:p>
    <w:p>
      <w:pPr>
        <w:spacing w:after="0" w:line="1" w:lineRule="exact"/>
        <w:rPr>
          <w:sz w:val="20"/>
          <w:szCs w:val="20"/>
          <w:color w:val="auto"/>
        </w:rPr>
      </w:pPr>
    </w:p>
    <w:p>
      <w:pPr>
        <w:ind w:left="1000" w:right="20" w:hanging="574"/>
        <w:spacing w:after="0" w:line="225" w:lineRule="auto"/>
        <w:tabs>
          <w:tab w:leader="none" w:pos="10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was generally available to the public at the time of disclosure, or becomes available to the public after disclosure by the Disclosing Party other than through fault (whether by action or inaction) of the Receiving Party or its Affiliates,</w:t>
      </w:r>
    </w:p>
    <w:p>
      <w:pPr>
        <w:ind w:left="1000" w:hanging="574"/>
        <w:spacing w:after="0" w:line="225" w:lineRule="auto"/>
        <w:tabs>
          <w:tab w:leader="none" w:pos="10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can be evidenced by written records to have been already known to the Receiving Party or its Affiliates prior to its receipt from the Disclosing Party without obligations of confidentiality,</w:t>
      </w:r>
    </w:p>
    <w:p>
      <w:pPr>
        <w:ind w:left="1000" w:hanging="574"/>
        <w:spacing w:after="0"/>
        <w:tabs>
          <w:tab w:leader="none" w:pos="10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is obtained at any time lawfully from a Third Party under circumstances permitting its use or disclosure,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560" w:hanging="112"/>
        <w:spacing w:after="0"/>
        <w:tabs>
          <w:tab w:leader="none" w:pos="5560" w:val="left"/>
        </w:tabs>
        <w:numPr>
          <w:ilvl w:val="1"/>
          <w:numId w:val="56"/>
        </w:numPr>
        <w:rPr>
          <w:rFonts w:ascii="Arial" w:cs="Arial" w:eastAsia="Arial" w:hAnsi="Arial"/>
          <w:sz w:val="20"/>
          <w:szCs w:val="20"/>
          <w:color w:val="auto"/>
        </w:rPr>
      </w:pPr>
      <w:r>
        <w:rPr>
          <w:rFonts w:ascii="Arial" w:cs="Arial" w:eastAsia="Arial" w:hAnsi="Arial"/>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9" w:name="page100"/>
    <w:bookmarkEnd w:id="99"/>
    <w:p>
      <w:pPr>
        <w:ind w:left="1000" w:hanging="574"/>
        <w:spacing w:after="0" w:line="225" w:lineRule="auto"/>
        <w:tabs>
          <w:tab w:leader="none" w:pos="10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is developed independently by the Receiving Party or its Affiliates as evidenced by written records other than through knowledge of Confidential Information of the Disclosing Party, or</w:t>
      </w:r>
    </w:p>
    <w:p>
      <w:pPr>
        <w:ind w:left="1000" w:hanging="574"/>
        <w:spacing w:after="0"/>
        <w:tabs>
          <w:tab w:leader="none" w:pos="10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is approved in writing by the Disclosing Party for release by the Receiving Party.</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terms of this Agreement shall be considered Confidential Information of both Parties. For purposes of this Agreement, Confidential Information of a Party shall include any information disclosed by or on behalf of such Party pursuant to the Non-Disclosure Agreement between the Parties dated [***] (the “</w:t>
      </w:r>
      <w:r>
        <w:rPr>
          <w:rFonts w:ascii="Arial" w:cs="Arial" w:eastAsia="Arial" w:hAnsi="Arial"/>
          <w:sz w:val="20"/>
          <w:szCs w:val="20"/>
          <w:b w:val="1"/>
          <w:bCs w:val="1"/>
          <w:color w:val="auto"/>
        </w:rPr>
        <w:t>NDA</w:t>
      </w:r>
      <w:r>
        <w:rPr>
          <w:rFonts w:ascii="Arial" w:cs="Arial" w:eastAsia="Arial" w:hAnsi="Arial"/>
          <w:sz w:val="20"/>
          <w:szCs w:val="20"/>
          <w:color w:val="auto"/>
        </w:rPr>
        <w: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1.28</w:t>
      </w:r>
      <w:r>
        <w:rPr>
          <w:sz w:val="20"/>
          <w:szCs w:val="20"/>
          <w:color w:val="auto"/>
        </w:rPr>
        <w:tab/>
      </w:r>
      <w:r>
        <w:rPr>
          <w:rFonts w:ascii="Arial" w:cs="Arial" w:eastAsia="Arial" w:hAnsi="Arial"/>
          <w:sz w:val="19"/>
          <w:szCs w:val="19"/>
          <w:b w:val="1"/>
          <w:bCs w:val="1"/>
          <w:color w:val="auto"/>
        </w:rPr>
        <w:t>Continuation Election Notice</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The term “Continuation Election Notice” shall mean the notice Atea provides to Roche under Section 19.3.1 describing (i) Atea’s </w:t>
      </w:r>
      <w:r>
        <w:rPr>
          <w:rFonts w:ascii="Arial" w:cs="Arial" w:eastAsia="Arial" w:hAnsi="Arial"/>
          <w:sz w:val="20"/>
          <w:szCs w:val="20"/>
          <w:i w:val="1"/>
          <w:iCs w:val="1"/>
          <w:color w:val="auto"/>
        </w:rPr>
        <w:t xml:space="preserve">bona fide </w:t>
      </w:r>
      <w:r>
        <w:rPr>
          <w:rFonts w:ascii="Arial" w:cs="Arial" w:eastAsia="Arial" w:hAnsi="Arial"/>
          <w:sz w:val="20"/>
          <w:szCs w:val="20"/>
          <w:color w:val="auto"/>
        </w:rPr>
        <w:t>intentions to continue ongoing development and commercialization of Product(s) and (ii) Atea’s request for Roche’s</w:t>
      </w:r>
      <w:r>
        <w:rPr>
          <w:rFonts w:ascii="Arial" w:cs="Arial" w:eastAsia="Arial" w:hAnsi="Arial"/>
          <w:sz w:val="20"/>
          <w:szCs w:val="20"/>
          <w:i w:val="1"/>
          <w:iCs w:val="1"/>
          <w:color w:val="auto"/>
        </w:rPr>
        <w:t xml:space="preserve"> </w:t>
      </w:r>
      <w:r>
        <w:rPr>
          <w:rFonts w:ascii="Arial" w:cs="Arial" w:eastAsia="Arial" w:hAnsi="Arial"/>
          <w:sz w:val="20"/>
          <w:szCs w:val="20"/>
          <w:color w:val="auto"/>
        </w:rPr>
        <w:t>continuation of activities during the termination period or transfer of the data, material and information relating to the Product(s) in accordance with Section 19.3.1.</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1.29</w:t>
      </w:r>
      <w:r>
        <w:rPr>
          <w:sz w:val="20"/>
          <w:szCs w:val="20"/>
          <w:color w:val="auto"/>
        </w:rPr>
        <w:tab/>
      </w:r>
      <w:r>
        <w:rPr>
          <w:rFonts w:ascii="Arial" w:cs="Arial" w:eastAsia="Arial" w:hAnsi="Arial"/>
          <w:sz w:val="19"/>
          <w:szCs w:val="19"/>
          <w:b w:val="1"/>
          <w:bCs w:val="1"/>
          <w:color w:val="auto"/>
        </w:rPr>
        <w:t>Control</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“Control” shall mean (as an adjective or as a verb including conjugations and variations such as “Controls” “Controlled” or “Controlling”) (a) with respect to Patent Rights or Know-How, the possession by a Party of the ability to grant a license or sublicense of such Patent Rights or Know-How without violating the terms of any agreement or arrangement between such Party and any other party and (b) with respect to proprietary materials, the possession by a Party of the ability to supply such proprietary materials to the other Party as provided herein without violating the terms of any agreement or arrangement between such Party and any other party.</w:t>
      </w:r>
    </w:p>
    <w:p>
      <w:pPr>
        <w:spacing w:after="0" w:line="171"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1.30</w:t>
      </w:r>
      <w:r>
        <w:rPr>
          <w:sz w:val="20"/>
          <w:szCs w:val="20"/>
          <w:color w:val="auto"/>
        </w:rPr>
        <w:tab/>
      </w:r>
      <w:r>
        <w:rPr>
          <w:rFonts w:ascii="Arial" w:cs="Arial" w:eastAsia="Arial" w:hAnsi="Arial"/>
          <w:sz w:val="19"/>
          <w:szCs w:val="19"/>
          <w:b w:val="1"/>
          <w:bCs w:val="1"/>
          <w:color w:val="auto"/>
        </w:rPr>
        <w:t>Cover</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term “Cover” shall mean (as an adjective or as a verb including conjugations and variations such as “Covered,” “Coverage” or “Covering”) that the developing, making, using, offering for sale, promoting, selling, exporting or importing of a given compound, formulation or product would infringe a Valid Claim in the absence of a license under or ownership of Patent Rights including such Valid Claim under this Agreement. [***]</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9"/>
          <w:szCs w:val="19"/>
          <w:b w:val="1"/>
          <w:bCs w:val="1"/>
          <w:color w:val="auto"/>
        </w:rPr>
        <w:t>COVID19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“COVID19” shall mean the disease caused by the causative agent SARS-CoV-2.</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9"/>
          <w:szCs w:val="19"/>
          <w:b w:val="1"/>
          <w:bCs w:val="1"/>
          <w:color w:val="auto"/>
        </w:rPr>
        <w:t>Drug Product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“Drug Product” shall mean a Product formulated and filled (if applicable) that meets the applicable Specifications.</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9"/>
          <w:szCs w:val="19"/>
          <w:b w:val="1"/>
          <w:bCs w:val="1"/>
          <w:color w:val="auto"/>
        </w:rPr>
        <w:t>Drug Substance</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“Drug Substance” shall mean drug substance of Product in formulated bulk form that meets the applicable Specifications.</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9"/>
          <w:szCs w:val="19"/>
          <w:b w:val="1"/>
          <w:bCs w:val="1"/>
          <w:color w:val="auto"/>
        </w:rPr>
        <w:t>Effective Date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“Effective Date” shall mean October 21, 2020.</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1.35</w:t>
        <w:tab/>
        <w:t>EU</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“EU” shall mean the European Union and all its then-current member countries but including in any case [***] regardless of whether they are then-current member countries.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0" w:name="page101"/>
    <w:bookmarkEnd w:id="100"/>
    <w:p>
      <w:pPr>
        <w:spacing w:after="0"/>
        <w:tabs>
          <w:tab w:leader="none" w:pos="68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19"/>
          <w:szCs w:val="19"/>
          <w:b w:val="1"/>
          <w:bCs w:val="1"/>
          <w:color w:val="auto"/>
        </w:rPr>
        <w:t>Excluded Claim</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“Excluded Claim” shall mean a dispute, controversy or claim between the Parties that concerns (a) [***], or (b) [***].</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1.37</w:t>
      </w:r>
      <w:r>
        <w:rPr>
          <w:sz w:val="20"/>
          <w:szCs w:val="20"/>
          <w:color w:val="auto"/>
        </w:rPr>
        <w:tab/>
      </w:r>
      <w:r>
        <w:rPr>
          <w:rFonts w:ascii="Arial" w:cs="Arial" w:eastAsia="Arial" w:hAnsi="Arial"/>
          <w:sz w:val="19"/>
          <w:szCs w:val="19"/>
          <w:b w:val="1"/>
          <w:bCs w:val="1"/>
          <w:color w:val="auto"/>
        </w:rPr>
        <w:t>Expert</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“Expert” shall mean a person with no less than [***] years of pharmaceutical industry experience and commercial expertise having occupied at least [***] but excluding [***]. Such person shall be fluent in the English language.</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9"/>
          <w:szCs w:val="19"/>
          <w:b w:val="1"/>
          <w:bCs w:val="1"/>
          <w:color w:val="auto"/>
        </w:rPr>
        <w:t>FDA</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“FDA” shall mean the Food and Drug Administration of the United States of America.</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1.39</w:t>
      </w:r>
      <w:r>
        <w:rPr>
          <w:sz w:val="20"/>
          <w:szCs w:val="20"/>
          <w:color w:val="auto"/>
        </w:rPr>
        <w:tab/>
      </w:r>
      <w:r>
        <w:rPr>
          <w:rFonts w:ascii="Arial" w:cs="Arial" w:eastAsia="Arial" w:hAnsi="Arial"/>
          <w:sz w:val="19"/>
          <w:szCs w:val="19"/>
          <w:b w:val="1"/>
          <w:bCs w:val="1"/>
          <w:color w:val="auto"/>
        </w:rPr>
        <w:t>FDCA</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“FDCA” shall mean the Food, Drug and Cosmetics Act.</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1.40</w:t>
      </w:r>
      <w:r>
        <w:rPr>
          <w:sz w:val="20"/>
          <w:szCs w:val="20"/>
          <w:color w:val="auto"/>
        </w:rPr>
        <w:tab/>
      </w:r>
      <w:r>
        <w:rPr>
          <w:rFonts w:ascii="Arial" w:cs="Arial" w:eastAsia="Arial" w:hAnsi="Arial"/>
          <w:sz w:val="19"/>
          <w:szCs w:val="19"/>
          <w:b w:val="1"/>
          <w:bCs w:val="1"/>
          <w:color w:val="auto"/>
        </w:rPr>
        <w:t>Field</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“Field” shall mean all pharmaceutical, medical and diagnostic uses, excluding the HCV Combination Use with respect to a Lead Compound, (the “</w:t>
      </w:r>
      <w:r>
        <w:rPr>
          <w:rFonts w:ascii="Arial" w:cs="Arial" w:eastAsia="Arial" w:hAnsi="Arial"/>
          <w:sz w:val="20"/>
          <w:szCs w:val="20"/>
          <w:b w:val="1"/>
          <w:bCs w:val="1"/>
          <w:color w:val="auto"/>
        </w:rPr>
        <w:t>Excluded Field</w:t>
      </w:r>
      <w:r>
        <w:rPr>
          <w:rFonts w:ascii="Arial" w:cs="Arial" w:eastAsia="Arial" w:hAnsi="Arial"/>
          <w:sz w:val="20"/>
          <w:szCs w:val="20"/>
          <w:color w:val="auto"/>
        </w:rPr>
        <w:t>”).</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19"/>
          <w:szCs w:val="19"/>
          <w:b w:val="1"/>
          <w:bCs w:val="1"/>
          <w:color w:val="auto"/>
        </w:rPr>
        <w:t>First Commercial Sale</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term “First Commercial Sale” shall mean, on a country-by-country basis, the first invoiced sale of the Product to a Third Party by the Roche Group in a country following the receipt of any Regulatory Approval required for the sale of such Product in such country, or if no such Regulatory Approval is required, the date of the first invoiced sale of a Product to a Third Party by the Roche Group in such country.</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9"/>
          <w:szCs w:val="19"/>
          <w:b w:val="1"/>
          <w:bCs w:val="1"/>
          <w:color w:val="auto"/>
        </w:rPr>
        <w:t>First Generation Process</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“First Generation Process” shall mean the manufacturing process for Drug Substance that is used by Atea at the Effective Date for development purposes, [***].</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1.43</w:t>
        <w:tab/>
        <w:t>FTE</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“FTE” shall mean a full-time equivalent person-year, based upon a total of no less than [***] working hours per year, undertaken in connection with the conduct of research in the development or manufacturing activities under this Agreement. [***].</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9"/>
          <w:szCs w:val="19"/>
          <w:b w:val="1"/>
          <w:bCs w:val="1"/>
          <w:color w:val="auto"/>
        </w:rPr>
        <w:t>FTE Costs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“FTE Costs” shall mean an amount equal to the product of the applicable standard internal FTE rate (for employees or contract personnel. as applicable) and the number of FTEs performing the applicable activity under and in accordance with the applicable Global Development Plan and the number of FTEs performing the applicable activity included in the definition of Fully Burdened Manufacturing Cost (Section 1.45). The applicable FTE rate for each activity shall be consistent for each Party’s internal FTE rate as consistently applied across such Party’s respective functions, [***]. [***]</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9"/>
          <w:szCs w:val="19"/>
          <w:b w:val="1"/>
          <w:bCs w:val="1"/>
          <w:color w:val="auto"/>
        </w:rPr>
        <w:t>Fully Burdened Manufacturing Cost</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“Fully Burdened Manufacturing Cost” shall mean with respect to a Product and a Party, the consolidated fully-burdened cost incurred by such Party or any of its Affiliates in manufacturing such Product ([***] ) in accordance with this Agreement and calculated using the relevant Party’s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Accounting Standards, in bulk, vialed or finished product form as the case may be, including: (a) [***], (i) [***] (ii) [***]; and (b)</w:t>
      </w:r>
    </w:p>
    <w:p>
      <w:pPr>
        <w:spacing w:after="0"/>
        <w:rPr>
          <w:sz w:val="20"/>
          <w:szCs w:val="20"/>
          <w:color w:val="auto"/>
        </w:rPr>
      </w:pPr>
      <w:r>
        <w:rPr>
          <w:rFonts w:ascii="Arial" w:cs="Arial" w:eastAsia="Arial" w:hAnsi="Arial"/>
          <w:sz w:val="20"/>
          <w:szCs w:val="20"/>
          <w:color w:val="auto"/>
        </w:rPr>
        <w:t>[***]: [***].</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19"/>
          <w:szCs w:val="19"/>
          <w:b w:val="1"/>
          <w:bCs w:val="1"/>
          <w:color w:val="auto"/>
        </w:rPr>
        <w:t>Generic Product</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“Generic Product” shall mean a product that is not produced, licensed or owned by the Roche Group that (i) contains a pharmaceutically active ingredient that is the same as the Compound in the Product which is approved through in reliance, in whole or in part, on the prior Regulatory Approval (or on safety or efficacy data submitted in support of the prior Regulatory Approval) of such Product, pursuant to Section 505(j) of the Act (21 U.S.C. 355(j)), or for countries outside the US, any international equivalent laws, and (ii) has the same or substantially the same labelling as the applicable Product for at least one indication of such Product.</w:t>
      </w:r>
    </w:p>
    <w:p>
      <w:pPr>
        <w:spacing w:after="0" w:line="171"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9"/>
          <w:szCs w:val="19"/>
          <w:b w:val="1"/>
          <w:bCs w:val="1"/>
          <w:color w:val="auto"/>
        </w:rPr>
        <w:t>Global Development Plan</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“Global Development Plan” shall mean the plan of Clinical Studies intended to support Regulatory Approval of the Products in the Field and in the Territory, [***]. The initial Global Development Plan is as attached in Appendix 1.47.</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19"/>
          <w:szCs w:val="19"/>
          <w:b w:val="1"/>
          <w:bCs w:val="1"/>
          <w:color w:val="auto"/>
        </w:rPr>
        <w:t>Global Development Plan Budget</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“Global Development Plan Budget” shall mean the non-binding, forecasted annual budget for the development activities under the Global Development Plan, [***].</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9"/>
          <w:szCs w:val="19"/>
          <w:b w:val="1"/>
          <w:bCs w:val="1"/>
          <w:color w:val="auto"/>
        </w:rPr>
        <w:t>Handle</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“Handle” shall mean preparing, filing, prosecuting (including interferences, reissue, re-examination, post-grant reviews, inter-partes reviews, derivation proceedings, opposition and invalidation proceedings) and maintaining.</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1.50</w:t>
      </w:r>
      <w:r>
        <w:rPr>
          <w:sz w:val="20"/>
          <w:szCs w:val="20"/>
          <w:color w:val="auto"/>
        </w:rPr>
        <w:tab/>
      </w:r>
      <w:r>
        <w:rPr>
          <w:rFonts w:ascii="Arial" w:cs="Arial" w:eastAsia="Arial" w:hAnsi="Arial"/>
          <w:sz w:val="19"/>
          <w:szCs w:val="19"/>
          <w:b w:val="1"/>
          <w:bCs w:val="1"/>
          <w:color w:val="auto"/>
        </w:rPr>
        <w:t>HCV Combination Use</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“HCV Combination Use” shall mean pharmaceutical, medical or diagnostic use of a Compound solely (a) for the hepatitis C virus (“</w:t>
      </w:r>
      <w:r>
        <w:rPr>
          <w:rFonts w:ascii="Arial" w:cs="Arial" w:eastAsia="Arial" w:hAnsi="Arial"/>
          <w:sz w:val="20"/>
          <w:szCs w:val="20"/>
          <w:b w:val="1"/>
          <w:bCs w:val="1"/>
          <w:color w:val="auto"/>
        </w:rPr>
        <w:t>HCV</w:t>
      </w:r>
      <w:r>
        <w:rPr>
          <w:rFonts w:ascii="Arial" w:cs="Arial" w:eastAsia="Arial" w:hAnsi="Arial"/>
          <w:sz w:val="20"/>
          <w:szCs w:val="20"/>
          <w:color w:val="auto"/>
        </w:rPr>
        <w:t>”) Indication and (b) where the Compound is used in a product [***].</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1.51</w:t>
      </w:r>
      <w:r>
        <w:rPr>
          <w:sz w:val="20"/>
          <w:szCs w:val="20"/>
          <w:color w:val="auto"/>
        </w:rPr>
        <w:tab/>
      </w:r>
      <w:r>
        <w:rPr>
          <w:rFonts w:ascii="Arial" w:cs="Arial" w:eastAsia="Arial" w:hAnsi="Arial"/>
          <w:sz w:val="19"/>
          <w:szCs w:val="19"/>
          <w:b w:val="1"/>
          <w:bCs w:val="1"/>
          <w:color w:val="auto"/>
        </w:rPr>
        <w:t>HCV Combination Use Studies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“HCV Combination Studies” shall mean non-clinical studies, Clinical Studies, Post-Approval Commitment Studies and Phase IV Studies conducted by Atea that relate solely to the HCV Combination Use, [***].</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9"/>
          <w:szCs w:val="19"/>
          <w:b w:val="1"/>
          <w:bCs w:val="1"/>
          <w:color w:val="auto"/>
        </w:rPr>
        <w:t>Hospitalized Patients</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“Hospitalized Patients” shall mean patients that are treated in hospital institutions providing acute, in-patient medical and surgical treatment and nursing care.</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9"/>
          <w:szCs w:val="19"/>
          <w:b w:val="1"/>
          <w:bCs w:val="1"/>
          <w:color w:val="auto"/>
        </w:rPr>
        <w:t>IFRS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“IFRS” shall mean International Financial Reporting Standards.</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1.54</w:t>
      </w:r>
      <w:r>
        <w:rPr>
          <w:sz w:val="20"/>
          <w:szCs w:val="20"/>
          <w:color w:val="auto"/>
        </w:rPr>
        <w:tab/>
      </w:r>
      <w:r>
        <w:rPr>
          <w:rFonts w:ascii="Arial" w:cs="Arial" w:eastAsia="Arial" w:hAnsi="Arial"/>
          <w:sz w:val="19"/>
          <w:szCs w:val="19"/>
          <w:b w:val="1"/>
          <w:bCs w:val="1"/>
          <w:color w:val="auto"/>
        </w:rPr>
        <w:t>IND</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“IND” shall mean an application as defined in the FDCA and applicable regulations promulgated by the FDA, or the equivalent application to the equivalent agency in any other country or group of countries, the filing of which is necessary to commence clinical testing of the Products in humans.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2" w:name="page103"/>
    <w:bookmarkEnd w:id="102"/>
    <w:p>
      <w:pPr>
        <w:spacing w:after="0"/>
        <w:tabs>
          <w:tab w:leader="none" w:pos="680" w:val="left"/>
        </w:tabs>
        <w:rPr>
          <w:sz w:val="20"/>
          <w:szCs w:val="20"/>
          <w:color w:val="auto"/>
        </w:rPr>
      </w:pPr>
      <w:r>
        <w:rPr>
          <w:rFonts w:ascii="Arial" w:cs="Arial" w:eastAsia="Arial" w:hAnsi="Arial"/>
          <w:sz w:val="20"/>
          <w:szCs w:val="20"/>
          <w:b w:val="1"/>
          <w:bCs w:val="1"/>
          <w:color w:val="auto"/>
        </w:rPr>
        <w:t>1.55</w:t>
      </w:r>
      <w:r>
        <w:rPr>
          <w:sz w:val="20"/>
          <w:szCs w:val="20"/>
          <w:color w:val="auto"/>
        </w:rPr>
        <w:tab/>
      </w:r>
      <w:r>
        <w:rPr>
          <w:rFonts w:ascii="Arial" w:cs="Arial" w:eastAsia="Arial" w:hAnsi="Arial"/>
          <w:sz w:val="19"/>
          <w:szCs w:val="19"/>
          <w:b w:val="1"/>
          <w:bCs w:val="1"/>
          <w:color w:val="auto"/>
        </w:rPr>
        <w:t>Indication</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“Indication” shall mean a disease (i) for which the Product is indicated for treatment or prophylaxis and (ii) for Products for which Regulatory Approval has been obtained, that is described in the Product label as required by the Regulatory Approval granted by the applicable Regulatory Authority.</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1.56</w:t>
      </w:r>
      <w:r>
        <w:rPr>
          <w:sz w:val="20"/>
          <w:szCs w:val="20"/>
          <w:color w:val="auto"/>
        </w:rPr>
        <w:tab/>
      </w:r>
      <w:r>
        <w:rPr>
          <w:rFonts w:ascii="Arial" w:cs="Arial" w:eastAsia="Arial" w:hAnsi="Arial"/>
          <w:sz w:val="19"/>
          <w:szCs w:val="19"/>
          <w:b w:val="1"/>
          <w:bCs w:val="1"/>
          <w:color w:val="auto"/>
        </w:rPr>
        <w:t>Indirect Taxes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“Indirect Taxes” shall mean customs, duties, value added taxes, excise taxes, use taxes and sales taxes, consumption taxes and other similar taxes.</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1.57</w:t>
      </w:r>
      <w:r>
        <w:rPr>
          <w:sz w:val="20"/>
          <w:szCs w:val="20"/>
          <w:color w:val="auto"/>
        </w:rPr>
        <w:tab/>
      </w:r>
      <w:r>
        <w:rPr>
          <w:rFonts w:ascii="Arial" w:cs="Arial" w:eastAsia="Arial" w:hAnsi="Arial"/>
          <w:sz w:val="19"/>
          <w:szCs w:val="19"/>
          <w:b w:val="1"/>
          <w:bCs w:val="1"/>
          <w:color w:val="auto"/>
        </w:rPr>
        <w:t>Initial Year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“Initial Year” shall mean the twelve-month period beginning on the Effective Date.</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1.58</w:t>
      </w:r>
      <w:r>
        <w:rPr>
          <w:sz w:val="20"/>
          <w:szCs w:val="20"/>
          <w:color w:val="auto"/>
        </w:rPr>
        <w:tab/>
      </w:r>
      <w:r>
        <w:rPr>
          <w:rFonts w:ascii="Arial" w:cs="Arial" w:eastAsia="Arial" w:hAnsi="Arial"/>
          <w:sz w:val="19"/>
          <w:szCs w:val="19"/>
          <w:b w:val="1"/>
          <w:bCs w:val="1"/>
          <w:color w:val="auto"/>
        </w:rPr>
        <w:t>Initiation</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“Initiation” shall mean the date that a human is first dosed with the Product in a Clinical Study in the Field approved by the respective Regulatory Authority.</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1.59</w:t>
      </w:r>
      <w:r>
        <w:rPr>
          <w:sz w:val="20"/>
          <w:szCs w:val="20"/>
          <w:color w:val="auto"/>
        </w:rPr>
        <w:tab/>
      </w:r>
      <w:r>
        <w:rPr>
          <w:rFonts w:ascii="Arial" w:cs="Arial" w:eastAsia="Arial" w:hAnsi="Arial"/>
          <w:sz w:val="19"/>
          <w:szCs w:val="19"/>
          <w:b w:val="1"/>
          <w:bCs w:val="1"/>
          <w:color w:val="auto"/>
        </w:rPr>
        <w:t>Insolvency Event</w:t>
      </w:r>
    </w:p>
    <w:p>
      <w:pPr>
        <w:spacing w:after="0" w:line="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term “Insolvency Event” shall mean circumstances under which a Party (i) has a receiver or similar officer appointed over all or a material part of its assets or undertaking; (ii) passes a resolution for winding-up (other than a winding-up for the purpose of, or in connection with, any solvent amalgamation or reconstruction) or a court makes an order to that effect or a court makes an order for administration (or any equivalent order in any jurisdiction), which order is not dismissed within thirty (30) days;</w:t>
      </w:r>
    </w:p>
    <w:p>
      <w:pPr>
        <w:spacing w:after="0" w:line="1" w:lineRule="exact"/>
        <w:rPr>
          <w:sz w:val="20"/>
          <w:szCs w:val="20"/>
          <w:color w:val="auto"/>
        </w:rPr>
      </w:pPr>
    </w:p>
    <w:p>
      <w:pPr>
        <w:ind w:firstLine="8"/>
        <w:spacing w:after="0" w:line="236" w:lineRule="auto"/>
        <w:tabs>
          <w:tab w:leader="none" w:pos="336" w:val="left"/>
        </w:tabs>
        <w:numPr>
          <w:ilvl w:val="0"/>
          <w:numId w:val="58"/>
        </w:numPr>
        <w:rPr>
          <w:rFonts w:ascii="Arial" w:cs="Arial" w:eastAsia="Arial" w:hAnsi="Arial"/>
          <w:sz w:val="20"/>
          <w:szCs w:val="20"/>
          <w:color w:val="auto"/>
        </w:rPr>
      </w:pPr>
      <w:r>
        <w:rPr>
          <w:rFonts w:ascii="Arial" w:cs="Arial" w:eastAsia="Arial" w:hAnsi="Arial"/>
          <w:sz w:val="20"/>
          <w:szCs w:val="20"/>
          <w:color w:val="auto"/>
        </w:rPr>
        <w:t>enters into any composition or arrangement with its creditors (other than relating to a solvent restructuring); (iv) ceases to carry on business; (v) is unable to pay its debts as they become due in the ordinary course of business.</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1.60</w:t>
      </w:r>
      <w:r>
        <w:rPr>
          <w:sz w:val="20"/>
          <w:szCs w:val="20"/>
          <w:color w:val="auto"/>
        </w:rPr>
        <w:tab/>
      </w:r>
      <w:r>
        <w:rPr>
          <w:rFonts w:ascii="Arial" w:cs="Arial" w:eastAsia="Arial" w:hAnsi="Arial"/>
          <w:sz w:val="19"/>
          <w:szCs w:val="19"/>
          <w:b w:val="1"/>
          <w:bCs w:val="1"/>
          <w:color w:val="auto"/>
        </w:rPr>
        <w:t>Invention</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term “Invention” shall mean an invention that is conceived or first reduced to practice in connection with any activity carried out pursuant to this Agreement. Under this definition, an Invention may be made by employees of Atea solely or jointly with a Third Party (an “</w:t>
      </w:r>
      <w:r>
        <w:rPr>
          <w:rFonts w:ascii="Arial" w:cs="Arial" w:eastAsia="Arial" w:hAnsi="Arial"/>
          <w:sz w:val="20"/>
          <w:szCs w:val="20"/>
          <w:b w:val="1"/>
          <w:bCs w:val="1"/>
          <w:color w:val="auto"/>
        </w:rPr>
        <w:t>Atea Invention</w:t>
      </w:r>
      <w:r>
        <w:rPr>
          <w:rFonts w:ascii="Arial" w:cs="Arial" w:eastAsia="Arial" w:hAnsi="Arial"/>
          <w:sz w:val="20"/>
          <w:szCs w:val="20"/>
          <w:color w:val="auto"/>
        </w:rPr>
        <w:t>”), by employees of the Roche Group solely or jointly with a Third Party (a “</w:t>
      </w:r>
      <w:r>
        <w:rPr>
          <w:rFonts w:ascii="Arial" w:cs="Arial" w:eastAsia="Arial" w:hAnsi="Arial"/>
          <w:sz w:val="20"/>
          <w:szCs w:val="20"/>
          <w:b w:val="1"/>
          <w:bCs w:val="1"/>
          <w:color w:val="auto"/>
        </w:rPr>
        <w:t>Roche Invention</w:t>
      </w:r>
      <w:r>
        <w:rPr>
          <w:rFonts w:ascii="Arial" w:cs="Arial" w:eastAsia="Arial" w:hAnsi="Arial"/>
          <w:sz w:val="20"/>
          <w:szCs w:val="20"/>
          <w:color w:val="auto"/>
        </w:rPr>
        <w:t>”), or jointly by employees of Atea and employees of the Roche Group with or without a Third Party (a “</w:t>
      </w:r>
      <w:r>
        <w:rPr>
          <w:rFonts w:ascii="Arial" w:cs="Arial" w:eastAsia="Arial" w:hAnsi="Arial"/>
          <w:sz w:val="20"/>
          <w:szCs w:val="20"/>
          <w:b w:val="1"/>
          <w:bCs w:val="1"/>
          <w:color w:val="auto"/>
        </w:rPr>
        <w:t>Joint Invention</w:t>
      </w:r>
      <w:r>
        <w:rPr>
          <w:rFonts w:ascii="Arial" w:cs="Arial" w:eastAsia="Arial" w:hAnsi="Arial"/>
          <w:sz w:val="20"/>
          <w:szCs w:val="20"/>
          <w:color w:val="auto"/>
        </w:rPr>
        <w:t>”).</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1.61</w:t>
      </w:r>
      <w:r>
        <w:rPr>
          <w:sz w:val="20"/>
          <w:szCs w:val="20"/>
          <w:color w:val="auto"/>
        </w:rPr>
        <w:tab/>
      </w:r>
      <w:r>
        <w:rPr>
          <w:rFonts w:ascii="Arial" w:cs="Arial" w:eastAsia="Arial" w:hAnsi="Arial"/>
          <w:sz w:val="19"/>
          <w:szCs w:val="19"/>
          <w:b w:val="1"/>
          <w:bCs w:val="1"/>
          <w:color w:val="auto"/>
        </w:rPr>
        <w:t>Joint Know-How</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“Joint Know-How” shall mean Know-How that is made jointly by employees of Atea and the Roche Group, with or without a Third Party in connection with any activity carried out pursuant to this Agreement.</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9"/>
          <w:szCs w:val="19"/>
          <w:b w:val="1"/>
          <w:bCs w:val="1"/>
          <w:color w:val="auto"/>
        </w:rPr>
        <w:t>Joint Patent Rights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“Joint Patent Rights” shall mean all Patent Rights Covering a Joint Invention.</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19"/>
          <w:szCs w:val="19"/>
          <w:b w:val="1"/>
          <w:bCs w:val="1"/>
          <w:color w:val="auto"/>
        </w:rPr>
        <w:t>JOT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“JOT” shall mean a joint operating team described in Section 5.8.</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1.64</w:t>
      </w:r>
      <w:r>
        <w:rPr>
          <w:sz w:val="20"/>
          <w:szCs w:val="20"/>
          <w:color w:val="auto"/>
        </w:rPr>
        <w:tab/>
      </w:r>
      <w:r>
        <w:rPr>
          <w:rFonts w:ascii="Arial" w:cs="Arial" w:eastAsia="Arial" w:hAnsi="Arial"/>
          <w:sz w:val="19"/>
          <w:szCs w:val="19"/>
          <w:b w:val="1"/>
          <w:bCs w:val="1"/>
          <w:color w:val="auto"/>
        </w:rPr>
        <w:t>JSC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“JSC” shall mean the joint steering committee described in Article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3" w:name="page104"/>
    <w:bookmarkEnd w:id="103"/>
    <w:p>
      <w:pPr>
        <w:spacing w:after="0"/>
        <w:tabs>
          <w:tab w:leader="none" w:pos="68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19"/>
          <w:szCs w:val="19"/>
          <w:b w:val="1"/>
          <w:bCs w:val="1"/>
          <w:color w:val="auto"/>
        </w:rPr>
        <w:t>Know-How</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term “Know-How” shall mean data, knowledge and information, including materials, samples, chemical manufacturing data, toxicological data, pharmacological data, preclinical and clinical data, assays, platforms, formulations, specifications, quality control testing data, that are confidential and necessary or useful for the discovery, manufacture, development or commercialization of Products.</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1.66</w:t>
      </w:r>
      <w:r>
        <w:rPr>
          <w:sz w:val="20"/>
          <w:szCs w:val="20"/>
          <w:color w:val="auto"/>
        </w:rPr>
        <w:tab/>
      </w:r>
      <w:r>
        <w:rPr>
          <w:rFonts w:ascii="Arial" w:cs="Arial" w:eastAsia="Arial" w:hAnsi="Arial"/>
          <w:sz w:val="19"/>
          <w:szCs w:val="19"/>
          <w:b w:val="1"/>
          <w:bCs w:val="1"/>
          <w:color w:val="auto"/>
        </w:rPr>
        <w:t>Lead Compound</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“Lead Compound” shall mean Atea’s proprietary compound AT-511 currently under development by Atea, as set forth in Appendix 1.66, or [***] AT-527 currently under development by Atea, [***].</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1.67</w:t>
      </w:r>
      <w:r>
        <w:rPr>
          <w:sz w:val="20"/>
          <w:szCs w:val="20"/>
          <w:color w:val="auto"/>
        </w:rPr>
        <w:tab/>
      </w:r>
      <w:r>
        <w:rPr>
          <w:rFonts w:ascii="Arial" w:cs="Arial" w:eastAsia="Arial" w:hAnsi="Arial"/>
          <w:sz w:val="19"/>
          <w:szCs w:val="19"/>
          <w:b w:val="1"/>
          <w:bCs w:val="1"/>
          <w:color w:val="auto"/>
        </w:rPr>
        <w:t>Lead Product</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“Lead Product” shall mean any product, including without limitation any Combination Product, containing the Lead Compound as pharmaceutically active agent, regardless of the finished form or formulation or dosage.</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1.68</w:t>
      </w:r>
      <w:r>
        <w:rPr>
          <w:sz w:val="20"/>
          <w:szCs w:val="20"/>
          <w:color w:val="auto"/>
        </w:rPr>
        <w:tab/>
      </w:r>
      <w:r>
        <w:rPr>
          <w:rFonts w:ascii="Arial" w:cs="Arial" w:eastAsia="Arial" w:hAnsi="Arial"/>
          <w:sz w:val="19"/>
          <w:szCs w:val="19"/>
          <w:b w:val="1"/>
          <w:bCs w:val="1"/>
          <w:color w:val="auto"/>
        </w:rPr>
        <w:t>Manufacturing Third Party Rights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“Manufacturing Third Party Rights” means Patent Rights or other intellectual property rights of a Third Party that are necessary or useful to make Products.</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1.69</w:t>
      </w:r>
      <w:r>
        <w:rPr>
          <w:sz w:val="20"/>
          <w:szCs w:val="20"/>
          <w:color w:val="auto"/>
        </w:rPr>
        <w:tab/>
      </w:r>
      <w:r>
        <w:rPr>
          <w:rFonts w:ascii="Arial" w:cs="Arial" w:eastAsia="Arial" w:hAnsi="Arial"/>
          <w:sz w:val="19"/>
          <w:szCs w:val="19"/>
          <w:b w:val="1"/>
          <w:bCs w:val="1"/>
          <w:color w:val="auto"/>
        </w:rPr>
        <w:t>New Drug Application</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term “New Drug Application” shall mean the application, including all necessary documents, data, and other information concerning a Product, required for Regulatory Approval of the Product as a pharmaceutical product by the applicable Regulatory Authority in any country or group of countries (e.g. the marketing authorization application (MAA) with the EMA/European Commission).</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1.70</w:t>
      </w:r>
      <w:r>
        <w:rPr>
          <w:sz w:val="20"/>
          <w:szCs w:val="20"/>
          <w:color w:val="auto"/>
        </w:rPr>
        <w:tab/>
      </w:r>
      <w:r>
        <w:rPr>
          <w:rFonts w:ascii="Arial" w:cs="Arial" w:eastAsia="Arial" w:hAnsi="Arial"/>
          <w:sz w:val="19"/>
          <w:szCs w:val="19"/>
          <w:b w:val="1"/>
          <w:bCs w:val="1"/>
          <w:color w:val="auto"/>
        </w:rPr>
        <w:t>Net Sales</w:t>
      </w:r>
    </w:p>
    <w:p>
      <w:pPr>
        <w:spacing w:after="0" w:line="1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term “Net Sales” shall mean, for a Product in a particular period, the amount calculated by subtracting from the Sales of such Product for such period: (i) [***]; (ii) uncollectible amounts accrued during such period based on a proportional allocation of the total bad debts accrued during such period and not already taken as a gross-to-net deduction in accordance with the then currently used IFRS in the calculation of Sales of such Product for such period; (iii) credit card charges (including processing fees) accrued during such period on such Sales and not already taken as a gross-to-net deduction in accordance with the then currently used IFRS in the calculation of Sales of such Product for such period; and (iv) government mandated fees and taxes (excluding income or franchise taxes) and other government charges accrued during such period not already taken as a gross-to-net deduction in accordance with the then currently used IFRS in the calculation of Sales of such Product for such period, including, for example, any fees, taxes or other charges that become due in connection with any healthcare reform, change in government pricing or discounting schemes, or other action of a government or regulatory body. For clarity, no deductions taken in calculating Sales under Section 1.95 may be taken a second time in calculating Net Sales.</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9"/>
          <w:szCs w:val="19"/>
          <w:b w:val="1"/>
          <w:bCs w:val="1"/>
          <w:color w:val="auto"/>
        </w:rPr>
        <w:t>Non-Manufacturing Third Party Rights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“Non-Manufacturing Third Party Rights” means Third Party Patent Rights or other intellectual property rights that are necessary or useful to develop, use or sell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4" w:name="page105"/>
    <w:bookmarkEnd w:id="104"/>
    <w:p>
      <w:pPr>
        <w:spacing w:after="0"/>
        <w:tabs>
          <w:tab w:leader="none" w:pos="680" w:val="left"/>
        </w:tabs>
        <w:rPr>
          <w:sz w:val="20"/>
          <w:szCs w:val="20"/>
          <w:color w:val="auto"/>
        </w:rPr>
      </w:pPr>
      <w:r>
        <w:rPr>
          <w:rFonts w:ascii="Arial" w:cs="Arial" w:eastAsia="Arial" w:hAnsi="Arial"/>
          <w:sz w:val="20"/>
          <w:szCs w:val="20"/>
          <w:b w:val="1"/>
          <w:bCs w:val="1"/>
          <w:color w:val="auto"/>
        </w:rPr>
        <w:t>1.72</w:t>
      </w:r>
      <w:r>
        <w:rPr>
          <w:sz w:val="20"/>
          <w:szCs w:val="20"/>
          <w:color w:val="auto"/>
        </w:rPr>
        <w:tab/>
      </w:r>
      <w:r>
        <w:rPr>
          <w:rFonts w:ascii="Arial" w:cs="Arial" w:eastAsia="Arial" w:hAnsi="Arial"/>
          <w:sz w:val="19"/>
          <w:szCs w:val="19"/>
          <w:b w:val="1"/>
          <w:bCs w:val="1"/>
          <w:color w:val="auto"/>
        </w:rPr>
        <w:t>Out of Pocket Expenses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“Out of Pocket Expenses” shall mean any [***] out-of-pocket costs or expenses paid or accrued in accordance with the applicable Accounting Standard(s), by or on behalf of a Party or any of its Affiliates during the Agreement Term that are [***] identifiable or [***] allocable to development activities for the Product, in each case in accordance with the Global Development Plan or other applicable plan or activities approved by the JOC. Subject to the foregoing and by way of example, Out of Pocket Expenses may include costs in connection with the following activities:</w:t>
      </w:r>
    </w:p>
    <w:p>
      <w:pPr>
        <w:spacing w:after="0" w:line="199" w:lineRule="exact"/>
        <w:rPr>
          <w:sz w:val="20"/>
          <w:szCs w:val="20"/>
          <w:color w:val="auto"/>
        </w:rPr>
      </w:pPr>
    </w:p>
    <w:p>
      <w:pPr>
        <w:ind w:left="840" w:hanging="414"/>
        <w:spacing w:after="0"/>
        <w:tabs>
          <w:tab w:leader="none" w:pos="8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840" w:hanging="414"/>
        <w:spacing w:after="0"/>
        <w:tabs>
          <w:tab w:leader="none" w:pos="8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840" w:hanging="414"/>
        <w:spacing w:after="0"/>
        <w:tabs>
          <w:tab w:leader="none" w:pos="8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 and</w:t>
      </w:r>
    </w:p>
    <w:p>
      <w:pPr>
        <w:spacing w:after="0" w:line="229" w:lineRule="exact"/>
        <w:rPr>
          <w:rFonts w:ascii="Arial" w:cs="Arial" w:eastAsia="Arial" w:hAnsi="Arial"/>
          <w:sz w:val="20"/>
          <w:szCs w:val="20"/>
          <w:color w:val="auto"/>
        </w:rPr>
      </w:pPr>
    </w:p>
    <w:p>
      <w:pPr>
        <w:ind w:left="840" w:hanging="414"/>
        <w:spacing w:after="0"/>
        <w:tabs>
          <w:tab w:leader="none" w:pos="8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p>
    <w:p>
      <w:pPr>
        <w:spacing w:after="0" w:line="39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1.73</w:t>
      </w:r>
      <w:r>
        <w:rPr>
          <w:sz w:val="20"/>
          <w:szCs w:val="20"/>
          <w:color w:val="auto"/>
        </w:rPr>
        <w:tab/>
      </w:r>
      <w:r>
        <w:rPr>
          <w:rFonts w:ascii="Arial" w:cs="Arial" w:eastAsia="Arial" w:hAnsi="Arial"/>
          <w:sz w:val="19"/>
          <w:szCs w:val="19"/>
          <w:b w:val="1"/>
          <w:bCs w:val="1"/>
          <w:color w:val="auto"/>
        </w:rPr>
        <w:t>Out-Patients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“Out-Patients” shall mean patients that are not treated in hospital institutions providing acute, in-patient medical and surgical treatment and nursing care.</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1.74</w:t>
      </w:r>
      <w:r>
        <w:rPr>
          <w:sz w:val="20"/>
          <w:szCs w:val="20"/>
          <w:color w:val="auto"/>
        </w:rPr>
        <w:tab/>
      </w:r>
      <w:r>
        <w:rPr>
          <w:rFonts w:ascii="Arial" w:cs="Arial" w:eastAsia="Arial" w:hAnsi="Arial"/>
          <w:sz w:val="19"/>
          <w:szCs w:val="19"/>
          <w:b w:val="1"/>
          <w:bCs w:val="1"/>
          <w:color w:val="auto"/>
        </w:rPr>
        <w:t>Party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“Party” shall mean Atea or Roche, as the case may be, and “Parties” shall mean Atea and Roche collectively.</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1.75</w:t>
      </w:r>
      <w:r>
        <w:rPr>
          <w:sz w:val="20"/>
          <w:szCs w:val="20"/>
          <w:color w:val="auto"/>
        </w:rPr>
        <w:tab/>
      </w:r>
      <w:r>
        <w:rPr>
          <w:rFonts w:ascii="Arial" w:cs="Arial" w:eastAsia="Arial" w:hAnsi="Arial"/>
          <w:sz w:val="19"/>
          <w:szCs w:val="19"/>
          <w:b w:val="1"/>
          <w:bCs w:val="1"/>
          <w:color w:val="auto"/>
        </w:rPr>
        <w:t>Patent Product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“Patent Product” shall mean any Product containing a Compound that is Covered by a Composition of Matter Claim.</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1.76</w:t>
      </w:r>
      <w:r>
        <w:rPr>
          <w:sz w:val="20"/>
          <w:szCs w:val="20"/>
          <w:color w:val="auto"/>
        </w:rPr>
        <w:tab/>
      </w:r>
      <w:r>
        <w:rPr>
          <w:rFonts w:ascii="Arial" w:cs="Arial" w:eastAsia="Arial" w:hAnsi="Arial"/>
          <w:sz w:val="19"/>
          <w:szCs w:val="19"/>
          <w:b w:val="1"/>
          <w:bCs w:val="1"/>
          <w:color w:val="auto"/>
        </w:rPr>
        <w:t>Patent Rights</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“Patent Rights” shall mean all rights under any patent or patent application, in any country of the Territory, including any patents issuing on such patent application, and further including any substitution, extension or supplementary protection certificate, reissue, reexamination, renewal, divisional, continuation or continuation-in-part of any of the foregoing.</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1.77</w:t>
      </w:r>
      <w:r>
        <w:rPr>
          <w:sz w:val="20"/>
          <w:szCs w:val="20"/>
          <w:color w:val="auto"/>
        </w:rPr>
        <w:tab/>
      </w:r>
      <w:r>
        <w:rPr>
          <w:rFonts w:ascii="Arial" w:cs="Arial" w:eastAsia="Arial" w:hAnsi="Arial"/>
          <w:sz w:val="19"/>
          <w:szCs w:val="19"/>
          <w:b w:val="1"/>
          <w:bCs w:val="1"/>
          <w:color w:val="auto"/>
        </w:rPr>
        <w:t>Phase I Study</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“Phase I Study” shall mean a human clinical trial in any country that would satisfy the requirements of 21 C.F.R. § 312.21(a) (FDCA), as amended from time to time, and the foreign equivalent thereof.</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1.78</w:t>
      </w:r>
      <w:r>
        <w:rPr>
          <w:sz w:val="20"/>
          <w:szCs w:val="20"/>
          <w:color w:val="auto"/>
        </w:rPr>
        <w:tab/>
      </w:r>
      <w:r>
        <w:rPr>
          <w:rFonts w:ascii="Arial" w:cs="Arial" w:eastAsia="Arial" w:hAnsi="Arial"/>
          <w:sz w:val="19"/>
          <w:szCs w:val="19"/>
          <w:b w:val="1"/>
          <w:bCs w:val="1"/>
          <w:color w:val="auto"/>
        </w:rPr>
        <w:t>Phase II Study</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“Phase II Study” shall mean a human clinical trial, for which the primary endpoints include a determination of dose ranges or a preliminary determination of efficacy in patients being studied as described in 21 C.F.R. § 312.21(b) (FDCA), as amended from time to time, and the foreign equivalent thereof.</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1.79</w:t>
      </w:r>
      <w:r>
        <w:rPr>
          <w:sz w:val="20"/>
          <w:szCs w:val="20"/>
          <w:color w:val="auto"/>
        </w:rPr>
        <w:tab/>
      </w:r>
      <w:r>
        <w:rPr>
          <w:rFonts w:ascii="Arial" w:cs="Arial" w:eastAsia="Arial" w:hAnsi="Arial"/>
          <w:sz w:val="19"/>
          <w:szCs w:val="19"/>
          <w:b w:val="1"/>
          <w:bCs w:val="1"/>
          <w:color w:val="auto"/>
        </w:rPr>
        <w:t>Phase III Study</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“Phase III Study” shall mean a human clinical trial that is prospectively designed to demonstrate statistically whether a product is safe and effective for use in humans in a manner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5" w:name="page106"/>
    <w:bookmarkEnd w:id="105"/>
    <w:p>
      <w:pPr>
        <w:jc w:val="both"/>
        <w:spacing w:after="0" w:line="236" w:lineRule="auto"/>
        <w:rPr>
          <w:sz w:val="20"/>
          <w:szCs w:val="20"/>
          <w:color w:val="auto"/>
        </w:rPr>
      </w:pPr>
      <w:r>
        <w:rPr>
          <w:rFonts w:ascii="Arial" w:cs="Arial" w:eastAsia="Arial" w:hAnsi="Arial"/>
          <w:sz w:val="20"/>
          <w:szCs w:val="20"/>
          <w:color w:val="auto"/>
        </w:rPr>
        <w:t>sufficient to obtain regulatory approval to market such product in patients having the disease or condition being studied as described in 21 C.F.R. § 312.21(c) (FDCA), as amended from time to time, and the foreign equivalent thereof.</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1.80</w:t>
      </w:r>
      <w:r>
        <w:rPr>
          <w:sz w:val="20"/>
          <w:szCs w:val="20"/>
          <w:color w:val="auto"/>
        </w:rPr>
        <w:tab/>
      </w:r>
      <w:r>
        <w:rPr>
          <w:rFonts w:ascii="Arial" w:cs="Arial" w:eastAsia="Arial" w:hAnsi="Arial"/>
          <w:sz w:val="19"/>
          <w:szCs w:val="19"/>
          <w:b w:val="1"/>
          <w:bCs w:val="1"/>
          <w:color w:val="auto"/>
        </w:rPr>
        <w:t>Phase IV Study</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“Phase IV Study” means a human clinical study with respect to any approved Indication in a country commenced after Regulatory Approval for that Indication has been received for such product in such Indication in such country, excluding Post-Approval Commitment Studies.</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1.81</w:t>
      </w:r>
      <w:r>
        <w:rPr>
          <w:sz w:val="20"/>
          <w:szCs w:val="20"/>
          <w:color w:val="auto"/>
        </w:rPr>
        <w:tab/>
      </w:r>
      <w:r>
        <w:rPr>
          <w:rFonts w:ascii="Arial" w:cs="Arial" w:eastAsia="Arial" w:hAnsi="Arial"/>
          <w:sz w:val="19"/>
          <w:szCs w:val="19"/>
          <w:b w:val="1"/>
          <w:bCs w:val="1"/>
          <w:color w:val="auto"/>
        </w:rPr>
        <w:t>Post-Approval Commitment Studies</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“Post-Approval Commitment Studies” means clinical studies mandated by a Regulatory Authority to be performed after Regulatory Approval of a Product, as a condition of such Regulatory Approval.</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1.82</w:t>
      </w:r>
      <w:r>
        <w:rPr>
          <w:sz w:val="20"/>
          <w:szCs w:val="20"/>
          <w:color w:val="auto"/>
        </w:rPr>
        <w:tab/>
      </w:r>
      <w:r>
        <w:rPr>
          <w:rFonts w:ascii="Arial" w:cs="Arial" w:eastAsia="Arial" w:hAnsi="Arial"/>
          <w:sz w:val="19"/>
          <w:szCs w:val="19"/>
          <w:b w:val="1"/>
          <w:bCs w:val="1"/>
          <w:color w:val="auto"/>
        </w:rPr>
        <w:t>Product</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“Product” shall mean any product, including without limitation any Combination Product, containing a Compound as a pharmaceutically active agent, regardless of their finished forms or formulations or dosages. One Product may be distinguished from another Product by the Compound being a distinctive active pharmaceutical ingredient. In the instance where more than one distinctive active pharmaceutical ingredient is contained in a Compound, one Product may be distinguished from another Product if at least one of the distinctive active pharmaceutical ingredients is different.</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19"/>
          <w:szCs w:val="19"/>
          <w:b w:val="1"/>
          <w:bCs w:val="1"/>
          <w:color w:val="auto"/>
        </w:rPr>
        <w:t>Qualifying Second Generation Batch</w:t>
      </w:r>
    </w:p>
    <w:p>
      <w:pPr>
        <w:spacing w:after="0" w:line="235" w:lineRule="auto"/>
        <w:rPr>
          <w:sz w:val="20"/>
          <w:szCs w:val="20"/>
          <w:color w:val="auto"/>
        </w:rPr>
      </w:pPr>
      <w:r>
        <w:rPr>
          <w:rFonts w:ascii="Arial" w:cs="Arial" w:eastAsia="Arial" w:hAnsi="Arial"/>
          <w:sz w:val="20"/>
          <w:szCs w:val="20"/>
          <w:color w:val="auto"/>
        </w:rPr>
        <w:t>The term “Qualifying Second Generation Batch” shall mean the manufacture using the Second Generation Process of at least</w:t>
      </w:r>
    </w:p>
    <w:p>
      <w:pPr>
        <w:spacing w:after="0" w:line="1" w:lineRule="exact"/>
        <w:rPr>
          <w:sz w:val="20"/>
          <w:szCs w:val="20"/>
          <w:color w:val="auto"/>
        </w:rPr>
      </w:pPr>
    </w:p>
    <w:p>
      <w:pPr>
        <w:jc w:val="both"/>
        <w:ind w:right="20" w:firstLine="8"/>
        <w:spacing w:after="0" w:line="230" w:lineRule="auto"/>
        <w:tabs>
          <w:tab w:leader="none" w:pos="431" w:val="left"/>
        </w:tabs>
        <w:numPr>
          <w:ilvl w:val="0"/>
          <w:numId w:val="60"/>
        </w:numPr>
        <w:rPr>
          <w:rFonts w:ascii="Arial" w:cs="Arial" w:eastAsia="Arial" w:hAnsi="Arial"/>
          <w:sz w:val="20"/>
          <w:szCs w:val="20"/>
          <w:color w:val="auto"/>
        </w:rPr>
      </w:pPr>
      <w:r>
        <w:rPr>
          <w:rFonts w:ascii="Arial" w:cs="Arial" w:eastAsia="Arial" w:hAnsi="Arial"/>
          <w:sz w:val="20"/>
          <w:szCs w:val="20"/>
          <w:color w:val="auto"/>
        </w:rPr>
        <w:t>of Drug Substance, which shall (i) meet the same specifications as applicable to the First Generation Process, (ii) be compliant with Roche standard GMP requirements and (iii) outline the synthesis route towards the Second Generation Process for the manufacturing of the campaign of [***] (the success criteria for such synthesis route are outlined in Appendix 8.3.3 and shall serve as orientation therefor).</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1.84</w:t>
      </w:r>
      <w:r>
        <w:rPr>
          <w:sz w:val="20"/>
          <w:szCs w:val="20"/>
          <w:color w:val="auto"/>
        </w:rPr>
        <w:tab/>
      </w:r>
      <w:r>
        <w:rPr>
          <w:rFonts w:ascii="Arial" w:cs="Arial" w:eastAsia="Arial" w:hAnsi="Arial"/>
          <w:sz w:val="19"/>
          <w:szCs w:val="19"/>
          <w:b w:val="1"/>
          <w:bCs w:val="1"/>
          <w:color w:val="auto"/>
        </w:rPr>
        <w:t>Regulatory Approval</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“Regulatory Approval” shall mean any approvals (including pricing and reimbursement approvals), licenses, registrations or authorizations by a Regulatory Authority, necessary for the manufacture and sale of a Product in the Field in a regulatory jurisdiction in the Territory.</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1.85</w:t>
      </w:r>
      <w:r>
        <w:rPr>
          <w:sz w:val="20"/>
          <w:szCs w:val="20"/>
          <w:color w:val="auto"/>
        </w:rPr>
        <w:tab/>
      </w:r>
      <w:r>
        <w:rPr>
          <w:rFonts w:ascii="Arial" w:cs="Arial" w:eastAsia="Arial" w:hAnsi="Arial"/>
          <w:sz w:val="19"/>
          <w:szCs w:val="19"/>
          <w:b w:val="1"/>
          <w:bCs w:val="1"/>
          <w:color w:val="auto"/>
        </w:rPr>
        <w:t>Regulatory Authority</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term “Regulatory Authority” shall mean any national, supranational (e.g., the European Commission, the Council of the European Union, the European Medicines Agency), regional, state or local regulatory agency, department, bureau, commission, council or other governmental entity including the FDA, in each country involved in the granting of regulatory approval (including pricing and reimbursement approvals) for the Product.</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1.86</w:t>
      </w:r>
      <w:r>
        <w:rPr>
          <w:sz w:val="20"/>
          <w:szCs w:val="20"/>
          <w:color w:val="auto"/>
        </w:rPr>
        <w:tab/>
      </w:r>
      <w:r>
        <w:rPr>
          <w:rFonts w:ascii="Arial" w:cs="Arial" w:eastAsia="Arial" w:hAnsi="Arial"/>
          <w:sz w:val="19"/>
          <w:szCs w:val="19"/>
          <w:b w:val="1"/>
          <w:bCs w:val="1"/>
          <w:color w:val="auto"/>
        </w:rPr>
        <w:t>Respective Territory</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The term “Respective Territory” shall mean the Roche Territory with respect to Roche and the Atea Territory with respect to Atea.</w:t>
      </w:r>
    </w:p>
    <w:p>
      <w:pPr>
        <w:spacing w:after="0" w:line="19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1.87</w:t>
      </w:r>
      <w:r>
        <w:rPr>
          <w:sz w:val="20"/>
          <w:szCs w:val="20"/>
          <w:color w:val="auto"/>
        </w:rPr>
        <w:tab/>
      </w:r>
      <w:r>
        <w:rPr>
          <w:rFonts w:ascii="Arial" w:cs="Arial" w:eastAsia="Arial" w:hAnsi="Arial"/>
          <w:sz w:val="19"/>
          <w:szCs w:val="19"/>
          <w:b w:val="1"/>
          <w:bCs w:val="1"/>
          <w:color w:val="auto"/>
        </w:rPr>
        <w:t>Roche Group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“Roche Group” shall mean collectively Roche, its Affiliates and its Sublicensees.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6" w:name="page107"/>
    <w:bookmarkEnd w:id="106"/>
    <w:p>
      <w:pPr>
        <w:spacing w:after="0"/>
        <w:tabs>
          <w:tab w:leader="none" w:pos="680" w:val="left"/>
        </w:tabs>
        <w:rPr>
          <w:sz w:val="20"/>
          <w:szCs w:val="20"/>
          <w:color w:val="auto"/>
        </w:rPr>
      </w:pPr>
      <w:r>
        <w:rPr>
          <w:rFonts w:ascii="Arial" w:cs="Arial" w:eastAsia="Arial" w:hAnsi="Arial"/>
          <w:sz w:val="20"/>
          <w:szCs w:val="20"/>
          <w:b w:val="1"/>
          <w:bCs w:val="1"/>
          <w:color w:val="auto"/>
        </w:rPr>
        <w:t>1.88</w:t>
      </w:r>
      <w:r>
        <w:rPr>
          <w:sz w:val="20"/>
          <w:szCs w:val="20"/>
          <w:color w:val="auto"/>
        </w:rPr>
        <w:tab/>
      </w:r>
      <w:r>
        <w:rPr>
          <w:rFonts w:ascii="Arial" w:cs="Arial" w:eastAsia="Arial" w:hAnsi="Arial"/>
          <w:sz w:val="19"/>
          <w:szCs w:val="19"/>
          <w:b w:val="1"/>
          <w:bCs w:val="1"/>
          <w:color w:val="auto"/>
        </w:rPr>
        <w:t>Roche Inability to Supply</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“Roche Inability to Supply” means, [***], Atea’s reasonable belief that Roche will be unable to deliver to Atea [***] supply of Product to meet the quantities set forth in the then-current Demand Forecast Plan for the Product allocated for commercialization purposes in the Atea Territory, despite (i) [***], and (ii) [***], and (iii) [***].</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1.89</w:t>
      </w:r>
      <w:r>
        <w:rPr>
          <w:sz w:val="20"/>
          <w:szCs w:val="20"/>
          <w:color w:val="auto"/>
        </w:rPr>
        <w:tab/>
      </w:r>
      <w:r>
        <w:rPr>
          <w:rFonts w:ascii="Arial" w:cs="Arial" w:eastAsia="Arial" w:hAnsi="Arial"/>
          <w:sz w:val="19"/>
          <w:szCs w:val="19"/>
          <w:b w:val="1"/>
          <w:bCs w:val="1"/>
          <w:color w:val="auto"/>
        </w:rPr>
        <w:t>Roche Know-How</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“Roche Know-How” shall mean all Know-How that Roche Controls during the Agreement relating to or arising from the discovery, manufacture, development or commercialization of or necessary or reasonably useful to discover, manufacture, develop or commercialize a Product.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1.90</w:t>
      </w:r>
      <w:r>
        <w:rPr>
          <w:sz w:val="20"/>
          <w:szCs w:val="20"/>
          <w:color w:val="auto"/>
        </w:rPr>
        <w:tab/>
      </w:r>
      <w:r>
        <w:rPr>
          <w:rFonts w:ascii="Arial" w:cs="Arial" w:eastAsia="Arial" w:hAnsi="Arial"/>
          <w:sz w:val="19"/>
          <w:szCs w:val="19"/>
          <w:b w:val="1"/>
          <w:bCs w:val="1"/>
          <w:color w:val="auto"/>
        </w:rPr>
        <w:t>Roche Patent Rights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“Roche Patent Rights” shall mean the Patent Rights that Roche Controls, relating to or arising from the discovery, manufacture, development or commercialization of or Covering a Product.</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1.91</w:t>
      </w:r>
      <w:r>
        <w:rPr>
          <w:sz w:val="20"/>
          <w:szCs w:val="20"/>
          <w:color w:val="auto"/>
        </w:rPr>
        <w:tab/>
      </w:r>
      <w:r>
        <w:rPr>
          <w:rFonts w:ascii="Arial" w:cs="Arial" w:eastAsia="Arial" w:hAnsi="Arial"/>
          <w:sz w:val="19"/>
          <w:szCs w:val="19"/>
          <w:b w:val="1"/>
          <w:bCs w:val="1"/>
          <w:color w:val="auto"/>
        </w:rPr>
        <w:t>Roche Royalty Territory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“Roche Royalty Territory” shall mean the Roche Territory, excluding the Royalty Exclusion Countries.</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1.92</w:t>
      </w:r>
      <w:r>
        <w:rPr>
          <w:sz w:val="20"/>
          <w:szCs w:val="20"/>
          <w:color w:val="auto"/>
        </w:rPr>
        <w:tab/>
      </w:r>
      <w:r>
        <w:rPr>
          <w:rFonts w:ascii="Arial" w:cs="Arial" w:eastAsia="Arial" w:hAnsi="Arial"/>
          <w:sz w:val="19"/>
          <w:szCs w:val="19"/>
          <w:b w:val="1"/>
          <w:bCs w:val="1"/>
          <w:color w:val="auto"/>
        </w:rPr>
        <w:t>Roche Territory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“Roche Territory” shall mean all countries other than the US.</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1.93</w:t>
      </w:r>
      <w:r>
        <w:rPr>
          <w:sz w:val="20"/>
          <w:szCs w:val="20"/>
          <w:color w:val="auto"/>
        </w:rPr>
        <w:tab/>
      </w:r>
      <w:r>
        <w:rPr>
          <w:rFonts w:ascii="Arial" w:cs="Arial" w:eastAsia="Arial" w:hAnsi="Arial"/>
          <w:sz w:val="19"/>
          <w:szCs w:val="19"/>
          <w:b w:val="1"/>
          <w:bCs w:val="1"/>
          <w:color w:val="auto"/>
        </w:rPr>
        <w:t>Royalty Exclusion Countries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“Royalty Exclusion Countries” for a Calendar Year shall mean the countries [***].</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1.94</w:t>
      </w:r>
      <w:r>
        <w:rPr>
          <w:sz w:val="20"/>
          <w:szCs w:val="20"/>
          <w:color w:val="auto"/>
        </w:rPr>
        <w:tab/>
      </w:r>
      <w:r>
        <w:rPr>
          <w:rFonts w:ascii="Arial" w:cs="Arial" w:eastAsia="Arial" w:hAnsi="Arial"/>
          <w:sz w:val="19"/>
          <w:szCs w:val="19"/>
          <w:b w:val="1"/>
          <w:bCs w:val="1"/>
          <w:color w:val="auto"/>
        </w:rPr>
        <w:t>Royalty Term</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“Royalty Term” shall mean, with respect to a Product and for a given country, the period of time commencing on the date of First Commercial Sale of the Product in such country and ending on the later of the date that is (a) ten (10) years after the date of the First Commercial Sale of the Product in such country, or (b) the expiration of the last to expire Atea Patent Right containing a Composition of Matter Claim. With regard to the calculation of the ten (10) year period, the EU shall be considered as one country.</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1.95</w:t>
      </w:r>
      <w:r>
        <w:rPr>
          <w:sz w:val="20"/>
          <w:szCs w:val="20"/>
          <w:color w:val="auto"/>
        </w:rPr>
        <w:tab/>
      </w:r>
      <w:r>
        <w:rPr>
          <w:rFonts w:ascii="Arial" w:cs="Arial" w:eastAsia="Arial" w:hAnsi="Arial"/>
          <w:sz w:val="19"/>
          <w:szCs w:val="19"/>
          <w:b w:val="1"/>
          <w:bCs w:val="1"/>
          <w:color w:val="auto"/>
        </w:rPr>
        <w:t>Sales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“Sales” shall mean, for a Product in a particular period, the sum of (i) and (ii):</w:t>
      </w:r>
    </w:p>
    <w:p>
      <w:pPr>
        <w:spacing w:after="0" w:line="202" w:lineRule="exact"/>
        <w:rPr>
          <w:sz w:val="20"/>
          <w:szCs w:val="20"/>
          <w:color w:val="auto"/>
        </w:rPr>
      </w:pPr>
    </w:p>
    <w:p>
      <w:pPr>
        <w:jc w:val="both"/>
        <w:ind w:left="420" w:hanging="412"/>
        <w:spacing w:after="0" w:line="229" w:lineRule="auto"/>
        <w:tabs>
          <w:tab w:leader="none" w:pos="4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amount stated in the Roche Holding AG “Sales” line of its externally published audited consolidated financial statements with respect to such Product for such period [***]. This amount reflects the gross invoice price at which such Product was sold or otherwise disposed of (other than for use as clinical supplies or free samples) by Roche and its Affiliates to such Third Parties [***] in such period reduced by gross-to-net deductions, if not previously deducted from such invoiced amount, taken in accordance with the then currently used IFRS.</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440"/>
        <w:spacing w:after="0" w:line="236" w:lineRule="auto"/>
        <w:rPr>
          <w:sz w:val="20"/>
          <w:szCs w:val="20"/>
          <w:color w:val="auto"/>
        </w:rPr>
      </w:pPr>
      <w:r>
        <w:rPr>
          <w:rFonts w:ascii="Arial" w:cs="Arial" w:eastAsia="Arial" w:hAnsi="Arial"/>
          <w:sz w:val="20"/>
          <w:szCs w:val="20"/>
          <w:color w:val="auto"/>
        </w:rPr>
        <w:t>For purposes of clarity, [***] any given deduction shall be taken only under one of subsections (a) through (e), and only once in calculating Sales.</w:t>
      </w:r>
    </w:p>
    <w:p>
      <w:pPr>
        <w:spacing w:after="0" w:line="196" w:lineRule="exact"/>
        <w:rPr>
          <w:sz w:val="20"/>
          <w:szCs w:val="20"/>
          <w:color w:val="auto"/>
        </w:rPr>
      </w:pPr>
    </w:p>
    <w:p>
      <w:pPr>
        <w:ind w:left="880" w:hanging="872"/>
        <w:spacing w:after="0"/>
        <w:tabs>
          <w:tab w:leader="none" w:pos="8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7" w:name="page108"/>
    <w:bookmarkEnd w:id="107"/>
    <w:p>
      <w:pPr>
        <w:spacing w:after="0"/>
        <w:tabs>
          <w:tab w:leader="none" w:pos="680" w:val="left"/>
        </w:tabs>
        <w:rPr>
          <w:sz w:val="20"/>
          <w:szCs w:val="20"/>
          <w:color w:val="auto"/>
        </w:rPr>
      </w:pPr>
      <w:r>
        <w:rPr>
          <w:rFonts w:ascii="Arial" w:cs="Arial" w:eastAsia="Arial" w:hAnsi="Arial"/>
          <w:sz w:val="20"/>
          <w:szCs w:val="20"/>
          <w:b w:val="1"/>
          <w:bCs w:val="1"/>
          <w:color w:val="auto"/>
        </w:rPr>
        <w:t>1.96</w:t>
      </w:r>
      <w:r>
        <w:rPr>
          <w:sz w:val="20"/>
          <w:szCs w:val="20"/>
          <w:color w:val="auto"/>
        </w:rPr>
        <w:tab/>
      </w:r>
      <w:r>
        <w:rPr>
          <w:rFonts w:ascii="Arial" w:cs="Arial" w:eastAsia="Arial" w:hAnsi="Arial"/>
          <w:sz w:val="19"/>
          <w:szCs w:val="19"/>
          <w:b w:val="1"/>
          <w:bCs w:val="1"/>
          <w:color w:val="auto"/>
        </w:rPr>
        <w:t>SARS-COV-2</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“SARS-COV-2” shall mean the virus known as the severe acute respiratory syndrome coronavirus 2.</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1.97</w:t>
      </w:r>
      <w:r>
        <w:rPr>
          <w:sz w:val="20"/>
          <w:szCs w:val="20"/>
          <w:color w:val="auto"/>
        </w:rPr>
        <w:tab/>
      </w:r>
      <w:r>
        <w:rPr>
          <w:rFonts w:ascii="Arial" w:cs="Arial" w:eastAsia="Arial" w:hAnsi="Arial"/>
          <w:sz w:val="19"/>
          <w:szCs w:val="19"/>
          <w:b w:val="1"/>
          <w:bCs w:val="1"/>
          <w:color w:val="auto"/>
        </w:rPr>
        <w:t>Second Generation Process</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“Second Generation Process” shall mean the manufacturing process for Drug Substance that Atea conceptualized and started to develop at the Effective Date, as outlined in Appendix 1.97.</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1.98</w:t>
      </w:r>
      <w:r>
        <w:rPr>
          <w:sz w:val="20"/>
          <w:szCs w:val="20"/>
          <w:color w:val="auto"/>
        </w:rPr>
        <w:tab/>
      </w:r>
      <w:r>
        <w:rPr>
          <w:rFonts w:ascii="Arial" w:cs="Arial" w:eastAsia="Arial" w:hAnsi="Arial"/>
          <w:sz w:val="19"/>
          <w:szCs w:val="19"/>
          <w:b w:val="1"/>
          <w:bCs w:val="1"/>
          <w:color w:val="auto"/>
        </w:rPr>
        <w:t>Stockpiling</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“Stockpiling” shall mean activities conducted by a governmental authority to address public health emergencies by purchasing and maintaining inventories of Product for distribution and use in responding to such emergencies.</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1.99</w:t>
      </w:r>
      <w:r>
        <w:rPr>
          <w:sz w:val="20"/>
          <w:szCs w:val="20"/>
          <w:color w:val="auto"/>
        </w:rPr>
        <w:tab/>
      </w:r>
      <w:r>
        <w:rPr>
          <w:rFonts w:ascii="Arial" w:cs="Arial" w:eastAsia="Arial" w:hAnsi="Arial"/>
          <w:sz w:val="19"/>
          <w:szCs w:val="19"/>
          <w:b w:val="1"/>
          <w:bCs w:val="1"/>
          <w:color w:val="auto"/>
        </w:rPr>
        <w:t>Sublicensee</w:t>
      </w:r>
    </w:p>
    <w:p>
      <w:pPr>
        <w:spacing w:after="0" w:line="10" w:lineRule="exact"/>
        <w:rPr>
          <w:sz w:val="20"/>
          <w:szCs w:val="20"/>
          <w:color w:val="auto"/>
        </w:rPr>
      </w:pPr>
    </w:p>
    <w:p>
      <w:pPr>
        <w:jc w:val="both"/>
        <w:ind w:right="40"/>
        <w:spacing w:after="0" w:line="236" w:lineRule="auto"/>
        <w:rPr>
          <w:sz w:val="20"/>
          <w:szCs w:val="20"/>
          <w:color w:val="auto"/>
        </w:rPr>
      </w:pPr>
      <w:r>
        <w:rPr>
          <w:rFonts w:ascii="Arial" w:cs="Arial" w:eastAsia="Arial" w:hAnsi="Arial"/>
          <w:sz w:val="20"/>
          <w:szCs w:val="20"/>
          <w:color w:val="auto"/>
        </w:rPr>
        <w:t>The term “Sublicensee” shall mean an entity to which Roche has licensed rights (through one or multiple tiers), other than through a Compulsory Sublicense, pursuant to this Agreement.</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1.100</w:t>
      </w:r>
      <w:r>
        <w:rPr>
          <w:sz w:val="20"/>
          <w:szCs w:val="20"/>
          <w:color w:val="auto"/>
        </w:rPr>
        <w:tab/>
      </w:r>
      <w:r>
        <w:rPr>
          <w:rFonts w:ascii="Arial" w:cs="Arial" w:eastAsia="Arial" w:hAnsi="Arial"/>
          <w:sz w:val="19"/>
          <w:szCs w:val="19"/>
          <w:b w:val="1"/>
          <w:bCs w:val="1"/>
          <w:color w:val="auto"/>
        </w:rPr>
        <w:t>Territory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“Territory” shall mean the Roche Territory and the Atea Territory.</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1.101</w:t>
      </w:r>
      <w:r>
        <w:rPr>
          <w:sz w:val="20"/>
          <w:szCs w:val="20"/>
          <w:color w:val="auto"/>
        </w:rPr>
        <w:tab/>
      </w:r>
      <w:r>
        <w:rPr>
          <w:rFonts w:ascii="Arial" w:cs="Arial" w:eastAsia="Arial" w:hAnsi="Arial"/>
          <w:sz w:val="19"/>
          <w:szCs w:val="19"/>
          <w:b w:val="1"/>
          <w:bCs w:val="1"/>
          <w:color w:val="auto"/>
        </w:rPr>
        <w:t>Third Party</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“Third Party” shall mean a person or entity other than (i) Atea or any of its Affiliates or (ii) a member of the Roche Group.</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1.102</w:t>
        <w:tab/>
        <w:t>US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“US” shall mean the United States of America and its territories and possessions.</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1.103</w:t>
      </w:r>
      <w:r>
        <w:rPr>
          <w:sz w:val="20"/>
          <w:szCs w:val="20"/>
          <w:color w:val="auto"/>
        </w:rPr>
        <w:tab/>
      </w:r>
      <w:r>
        <w:rPr>
          <w:rFonts w:ascii="Arial" w:cs="Arial" w:eastAsia="Arial" w:hAnsi="Arial"/>
          <w:sz w:val="19"/>
          <w:szCs w:val="19"/>
          <w:b w:val="1"/>
          <w:bCs w:val="1"/>
          <w:color w:val="auto"/>
        </w:rPr>
        <w:t>US$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“US$” shall mean US dollars.</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1.104</w:t>
      </w:r>
      <w:r>
        <w:rPr>
          <w:sz w:val="20"/>
          <w:szCs w:val="20"/>
          <w:color w:val="auto"/>
        </w:rPr>
        <w:tab/>
      </w:r>
      <w:r>
        <w:rPr>
          <w:rFonts w:ascii="Arial" w:cs="Arial" w:eastAsia="Arial" w:hAnsi="Arial"/>
          <w:sz w:val="19"/>
          <w:szCs w:val="19"/>
          <w:b w:val="1"/>
          <w:bCs w:val="1"/>
          <w:color w:val="auto"/>
        </w:rPr>
        <w:t>Valid Claim</w:t>
      </w:r>
    </w:p>
    <w:p>
      <w:pPr>
        <w:spacing w:after="0" w:line="10"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The term “Valid Claim” shall mean: (i) with respect to a claim in any unexpired and issued patent within the Atea Patent Rights, that such claim has not been disclaimed, revoked or held invalid by a final nonappealable decision of a court of competent jurisdiction or government agency, or (ii) with respect to a claim in any pending patent application within the Atea Patent Rights, that such claim has been filed and prosecuted in good faith and no more than [***] years have elapsed from the earliest priority date of such claim.</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1.105</w:t>
      </w:r>
      <w:r>
        <w:rPr>
          <w:sz w:val="20"/>
          <w:szCs w:val="20"/>
          <w:color w:val="auto"/>
        </w:rPr>
        <w:tab/>
      </w:r>
      <w:r>
        <w:rPr>
          <w:rFonts w:ascii="Arial" w:cs="Arial" w:eastAsia="Arial" w:hAnsi="Arial"/>
          <w:sz w:val="19"/>
          <w:szCs w:val="19"/>
          <w:b w:val="1"/>
          <w:bCs w:val="1"/>
          <w:color w:val="auto"/>
        </w:rPr>
        <w:t>Additional Definitions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Each of the following definitions is set forth in the Section of this Agreement indicated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Borders>
              <w:right w:val="single" w:sz="8" w:color="auto"/>
            </w:tcBorders>
          </w:tcPr>
          <w:p>
            <w:pPr>
              <w:spacing w:after="0"/>
              <w:rPr>
                <w:sz w:val="19"/>
                <w:szCs w:val="19"/>
                <w:color w:val="auto"/>
              </w:rPr>
            </w:pPr>
          </w:p>
        </w:tc>
        <w:tc>
          <w:tcPr>
            <w:tcW w:w="3320" w:type="dxa"/>
            <w:vAlign w:val="bottom"/>
            <w:tcBorders>
              <w:top w:val="single" w:sz="8" w:color="auto"/>
              <w:bottom w:val="single" w:sz="8" w:color="auto"/>
            </w:tcBorders>
          </w:tcPr>
          <w:p>
            <w:pPr>
              <w:jc w:val="center"/>
              <w:ind w:left="681"/>
              <w:spacing w:after="0"/>
              <w:rPr>
                <w:sz w:val="20"/>
                <w:szCs w:val="20"/>
                <w:color w:val="auto"/>
              </w:rPr>
            </w:pPr>
            <w:r>
              <w:rPr>
                <w:rFonts w:ascii="Arial" w:cs="Arial" w:eastAsia="Arial" w:hAnsi="Arial"/>
                <w:sz w:val="20"/>
                <w:szCs w:val="20"/>
                <w:b w:val="1"/>
                <w:bCs w:val="1"/>
                <w:color w:val="auto"/>
                <w:w w:val="97"/>
              </w:rPr>
              <w:t>Definition</w:t>
            </w:r>
          </w:p>
        </w:tc>
        <w:tc>
          <w:tcPr>
            <w:tcW w:w="800" w:type="dxa"/>
            <w:vAlign w:val="bottom"/>
            <w:tcBorders>
              <w:top w:val="single" w:sz="8" w:color="auto"/>
              <w:bottom w:val="single" w:sz="8" w:color="auto"/>
              <w:right w:val="single" w:sz="8" w:color="auto"/>
            </w:tcBorders>
          </w:tcPr>
          <w:p>
            <w:pPr>
              <w:spacing w:after="0"/>
              <w:rPr>
                <w:sz w:val="19"/>
                <w:szCs w:val="19"/>
                <w:color w:val="auto"/>
              </w:rPr>
            </w:pP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Section</w:t>
            </w:r>
          </w:p>
        </w:tc>
        <w:tc>
          <w:tcPr>
            <w:tcW w:w="3460" w:type="dxa"/>
            <w:vAlign w:val="bottom"/>
          </w:tcPr>
          <w:p>
            <w:pPr>
              <w:spacing w:after="0"/>
              <w:rPr>
                <w:sz w:val="19"/>
                <w:szCs w:val="19"/>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3320" w:type="dxa"/>
            <w:vAlign w:val="bottom"/>
            <w:tcBorders>
              <w:bottom w:val="single" w:sz="8" w:color="auto"/>
            </w:tcBorders>
          </w:tcPr>
          <w:p>
            <w:pPr>
              <w:jc w:val="center"/>
              <w:ind w:left="681"/>
              <w:spacing w:after="0" w:line="209" w:lineRule="exact"/>
              <w:rPr>
                <w:sz w:val="20"/>
                <w:szCs w:val="20"/>
                <w:color w:val="auto"/>
              </w:rPr>
            </w:pPr>
            <w:r>
              <w:rPr>
                <w:rFonts w:ascii="Arial" w:cs="Arial" w:eastAsia="Arial" w:hAnsi="Arial"/>
                <w:sz w:val="20"/>
                <w:szCs w:val="20"/>
                <w:color w:val="auto"/>
                <w:w w:val="99"/>
              </w:rPr>
              <w:t>Accounting Period</w:t>
            </w:r>
          </w:p>
        </w:tc>
        <w:tc>
          <w:tcPr>
            <w:tcW w:w="8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11.1</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3320" w:type="dxa"/>
            <w:vAlign w:val="bottom"/>
            <w:tcBorders>
              <w:bottom w:val="single" w:sz="8" w:color="auto"/>
            </w:tcBorders>
          </w:tcPr>
          <w:p>
            <w:pPr>
              <w:jc w:val="center"/>
              <w:ind w:left="681"/>
              <w:spacing w:after="0" w:line="209" w:lineRule="exact"/>
              <w:rPr>
                <w:sz w:val="20"/>
                <w:szCs w:val="20"/>
                <w:color w:val="auto"/>
              </w:rPr>
            </w:pPr>
            <w:r>
              <w:rPr>
                <w:rFonts w:ascii="Arial" w:cs="Arial" w:eastAsia="Arial" w:hAnsi="Arial"/>
                <w:sz w:val="20"/>
                <w:szCs w:val="20"/>
                <w:color w:val="auto"/>
                <w:w w:val="99"/>
              </w:rPr>
              <w:t>Acquired Party</w:t>
            </w:r>
          </w:p>
        </w:tc>
        <w:tc>
          <w:tcPr>
            <w:tcW w:w="8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21.5</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3320" w:type="dxa"/>
            <w:vAlign w:val="bottom"/>
            <w:tcBorders>
              <w:bottom w:val="single" w:sz="8" w:color="auto"/>
            </w:tcBorders>
          </w:tcPr>
          <w:p>
            <w:pPr>
              <w:jc w:val="center"/>
              <w:ind w:left="661"/>
              <w:spacing w:after="0" w:line="209" w:lineRule="exact"/>
              <w:rPr>
                <w:sz w:val="20"/>
                <w:szCs w:val="20"/>
                <w:color w:val="auto"/>
              </w:rPr>
            </w:pPr>
            <w:r>
              <w:rPr>
                <w:rFonts w:ascii="Arial" w:cs="Arial" w:eastAsia="Arial" w:hAnsi="Arial"/>
                <w:sz w:val="20"/>
                <w:szCs w:val="20"/>
                <w:color w:val="auto"/>
                <w:w w:val="98"/>
              </w:rPr>
              <w:t>Alliance Director</w:t>
            </w:r>
          </w:p>
        </w:tc>
        <w:tc>
          <w:tcPr>
            <w:tcW w:w="8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5.10</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3320" w:type="dxa"/>
            <w:vAlign w:val="bottom"/>
            <w:tcBorders>
              <w:bottom w:val="single" w:sz="8" w:color="auto"/>
            </w:tcBorders>
          </w:tcPr>
          <w:p>
            <w:pPr>
              <w:jc w:val="center"/>
              <w:ind w:left="681"/>
              <w:spacing w:after="0" w:line="209" w:lineRule="exact"/>
              <w:rPr>
                <w:sz w:val="20"/>
                <w:szCs w:val="20"/>
                <w:color w:val="auto"/>
              </w:rPr>
            </w:pPr>
            <w:r>
              <w:rPr>
                <w:rFonts w:ascii="Arial" w:cs="Arial" w:eastAsia="Arial" w:hAnsi="Arial"/>
                <w:sz w:val="20"/>
                <w:szCs w:val="20"/>
                <w:color w:val="auto"/>
              </w:rPr>
              <w:t>Atea</w:t>
            </w:r>
          </w:p>
        </w:tc>
        <w:tc>
          <w:tcPr>
            <w:tcW w:w="8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cover page</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3320" w:type="dxa"/>
            <w:vAlign w:val="bottom"/>
            <w:tcBorders>
              <w:bottom w:val="single" w:sz="8" w:color="auto"/>
            </w:tcBorders>
          </w:tcPr>
          <w:p>
            <w:pPr>
              <w:jc w:val="center"/>
              <w:ind w:left="681"/>
              <w:spacing w:after="0" w:line="209" w:lineRule="exact"/>
              <w:rPr>
                <w:sz w:val="20"/>
                <w:szCs w:val="20"/>
                <w:color w:val="auto"/>
              </w:rPr>
            </w:pPr>
            <w:r>
              <w:rPr>
                <w:rFonts w:ascii="Arial" w:cs="Arial" w:eastAsia="Arial" w:hAnsi="Arial"/>
                <w:sz w:val="20"/>
                <w:szCs w:val="20"/>
                <w:color w:val="auto"/>
                <w:w w:val="98"/>
              </w:rPr>
              <w:t>Atea Indemnitees</w:t>
            </w:r>
          </w:p>
        </w:tc>
        <w:tc>
          <w:tcPr>
            <w:tcW w:w="8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16.1</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3320" w:type="dxa"/>
            <w:vAlign w:val="bottom"/>
            <w:tcBorders>
              <w:bottom w:val="single" w:sz="8" w:color="auto"/>
            </w:tcBorders>
          </w:tcPr>
          <w:p>
            <w:pPr>
              <w:jc w:val="center"/>
              <w:ind w:left="681"/>
              <w:spacing w:after="0" w:line="209" w:lineRule="exact"/>
              <w:rPr>
                <w:sz w:val="20"/>
                <w:szCs w:val="20"/>
                <w:color w:val="auto"/>
              </w:rPr>
            </w:pPr>
            <w:r>
              <w:rPr>
                <w:rFonts w:ascii="Arial" w:cs="Arial" w:eastAsia="Arial" w:hAnsi="Arial"/>
                <w:sz w:val="20"/>
                <w:szCs w:val="20"/>
                <w:color w:val="auto"/>
                <w:w w:val="98"/>
              </w:rPr>
              <w:t>Atea Invention</w:t>
            </w:r>
          </w:p>
        </w:tc>
        <w:tc>
          <w:tcPr>
            <w:tcW w:w="8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1.60</w:t>
            </w:r>
          </w:p>
        </w:tc>
        <w:tc>
          <w:tcPr>
            <w:tcW w:w="3460" w:type="dxa"/>
            <w:vAlign w:val="bottom"/>
          </w:tcPr>
          <w:p>
            <w:pPr>
              <w:spacing w:after="0"/>
              <w:rPr>
                <w:sz w:val="18"/>
                <w:szCs w:val="18"/>
                <w:color w:val="auto"/>
              </w:rPr>
            </w:pPr>
          </w:p>
        </w:tc>
      </w:tr>
      <w:tr>
        <w:trPr>
          <w:trHeight w:val="875"/>
        </w:trPr>
        <w:tc>
          <w:tcPr>
            <w:tcW w:w="1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80" w:type="dxa"/>
            <w:vAlign w:val="bottom"/>
            <w:gridSpan w:val="2"/>
          </w:tcPr>
          <w:p>
            <w:pPr>
              <w:jc w:val="right"/>
              <w:ind w:right="1841"/>
              <w:spacing w:after="0"/>
              <w:rPr>
                <w:sz w:val="20"/>
                <w:szCs w:val="20"/>
                <w:color w:val="auto"/>
              </w:rPr>
            </w:pPr>
            <w:r>
              <w:rPr>
                <w:rFonts w:ascii="Arial" w:cs="Arial" w:eastAsia="Arial" w:hAnsi="Arial"/>
                <w:sz w:val="20"/>
                <w:szCs w:val="20"/>
                <w:color w:val="auto"/>
              </w:rPr>
              <w:t>- 13 -</w:t>
            </w:r>
          </w:p>
        </w:tc>
        <w:tc>
          <w:tcPr>
            <w:tcW w:w="3460" w:type="dxa"/>
            <w:vAlign w:val="bottom"/>
          </w:tcPr>
          <w:p>
            <w:pPr>
              <w:spacing w:after="0"/>
              <w:rPr>
                <w:sz w:val="24"/>
                <w:szCs w:val="24"/>
                <w:color w:val="auto"/>
              </w:rPr>
            </w:pPr>
          </w:p>
        </w:tc>
      </w:tr>
      <w:tr>
        <w:trPr>
          <w:trHeight w:val="98"/>
        </w:trPr>
        <w:tc>
          <w:tcPr>
            <w:tcW w:w="160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9"/>
        </w:trPr>
        <w:tc>
          <w:tcPr>
            <w:tcW w:w="1600" w:type="dxa"/>
            <w:vAlign w:val="bottom"/>
            <w:tcBorders>
              <w:right w:val="single" w:sz="8" w:color="auto"/>
            </w:tcBorders>
          </w:tcPr>
          <w:p>
            <w:pPr>
              <w:spacing w:after="0"/>
              <w:rPr>
                <w:sz w:val="19"/>
                <w:szCs w:val="19"/>
                <w:color w:val="auto"/>
              </w:rPr>
            </w:pP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Definition</w:t>
            </w:r>
          </w:p>
        </w:tc>
        <w:tc>
          <w:tcPr>
            <w:tcW w:w="34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right w:val="single" w:sz="8" w:color="auto"/>
            </w:tcBorders>
          </w:tcPr>
          <w:p>
            <w:pPr>
              <w:jc w:val="center"/>
              <w:ind w:right="281"/>
              <w:spacing w:after="0"/>
              <w:rPr>
                <w:sz w:val="20"/>
                <w:szCs w:val="20"/>
                <w:color w:val="auto"/>
              </w:rPr>
            </w:pPr>
            <w:r>
              <w:rPr>
                <w:rFonts w:ascii="Arial" w:cs="Arial" w:eastAsia="Arial" w:hAnsi="Arial"/>
                <w:sz w:val="20"/>
                <w:szCs w:val="20"/>
                <w:b w:val="1"/>
                <w:bCs w:val="1"/>
                <w:color w:val="auto"/>
                <w:w w:val="99"/>
              </w:rPr>
              <w:t>Section</w:t>
            </w:r>
          </w:p>
        </w:tc>
        <w:tc>
          <w:tcPr>
            <w:tcW w:w="3460" w:type="dxa"/>
            <w:vAlign w:val="bottom"/>
          </w:tcPr>
          <w:p>
            <w:pPr>
              <w:spacing w:after="0"/>
              <w:rPr>
                <w:sz w:val="19"/>
                <w:szCs w:val="19"/>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Atea-Originated Transfer Activities</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w w:val="99"/>
              </w:rPr>
              <w:t>19.3.4.4</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Bankruptcy Code</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8"/>
              </w:rPr>
              <w:t>20</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Breaching Party</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19.2.1</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rPr>
              <w:t>1.1</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Commercial Scale-Up</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w w:val="98"/>
              </w:rPr>
              <w:t>8.3.2</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Competing Program</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21.5</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Compulsory Profit Share Percentage</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10.4.5</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Compulsory Sublicense</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1.26</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Compulsory Sublicensee</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1.26</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co-promote, co-promotion</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rPr>
              <w:t>2.3</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Co-Promotion Agreement</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rPr>
              <w:t>2.3</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Co-Promotion Option</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rPr>
              <w:t>2.3</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Decision Period</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9"/>
              </w:rPr>
              <w:t>14.13</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Disclosing Party</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1.27</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Demand Forecast Plan</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rPr>
              <w:t>8.2</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Dominant Party</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9"/>
              </w:rPr>
              <w:t>14.13</w:t>
            </w:r>
          </w:p>
        </w:tc>
        <w:tc>
          <w:tcPr>
            <w:tcW w:w="3460" w:type="dxa"/>
            <w:vAlign w:val="bottom"/>
          </w:tcPr>
          <w:p>
            <w:pPr>
              <w:spacing w:after="0"/>
              <w:rPr>
                <w:sz w:val="18"/>
                <w:szCs w:val="18"/>
                <w:color w:val="auto"/>
              </w:rPr>
            </w:pPr>
          </w:p>
        </w:tc>
      </w:tr>
      <w:tr>
        <w:trPr>
          <w:trHeight w:val="206"/>
        </w:trPr>
        <w:tc>
          <w:tcPr>
            <w:tcW w:w="1600" w:type="dxa"/>
            <w:vAlign w:val="bottom"/>
            <w:tcBorders>
              <w:right w:val="single" w:sz="8" w:color="auto"/>
            </w:tcBorders>
          </w:tcPr>
          <w:p>
            <w:pPr>
              <w:spacing w:after="0"/>
              <w:rPr>
                <w:sz w:val="17"/>
                <w:szCs w:val="17"/>
                <w:color w:val="auto"/>
              </w:rPr>
            </w:pPr>
          </w:p>
        </w:tc>
        <w:tc>
          <w:tcPr>
            <w:tcW w:w="412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8"/>
              </w:rPr>
              <w:t>Early Second Generation Process</w:t>
            </w:r>
          </w:p>
        </w:tc>
        <w:tc>
          <w:tcPr>
            <w:tcW w:w="340" w:type="dxa"/>
            <w:vAlign w:val="bottom"/>
          </w:tcPr>
          <w:p>
            <w:pPr>
              <w:spacing w:after="0"/>
              <w:rPr>
                <w:sz w:val="17"/>
                <w:szCs w:val="17"/>
                <w:color w:val="auto"/>
              </w:rPr>
            </w:pPr>
          </w:p>
        </w:tc>
        <w:tc>
          <w:tcPr>
            <w:tcW w:w="1740" w:type="dxa"/>
            <w:vAlign w:val="bottom"/>
            <w:tcBorders>
              <w:right w:val="single" w:sz="8" w:color="auto"/>
            </w:tcBorders>
          </w:tcPr>
          <w:p>
            <w:pPr>
              <w:jc w:val="center"/>
              <w:ind w:right="281"/>
              <w:spacing w:after="0" w:line="206" w:lineRule="exact"/>
              <w:rPr>
                <w:sz w:val="20"/>
                <w:szCs w:val="20"/>
                <w:color w:val="auto"/>
              </w:rPr>
            </w:pPr>
            <w:r>
              <w:rPr>
                <w:rFonts w:ascii="Arial" w:cs="Arial" w:eastAsia="Arial" w:hAnsi="Arial"/>
                <w:sz w:val="20"/>
                <w:szCs w:val="20"/>
                <w:color w:val="auto"/>
                <w:w w:val="98"/>
              </w:rPr>
              <w:t>8.3.1</w:t>
            </w:r>
          </w:p>
        </w:tc>
        <w:tc>
          <w:tcPr>
            <w:tcW w:w="3460" w:type="dxa"/>
            <w:vAlign w:val="bottom"/>
          </w:tcPr>
          <w:p>
            <w:pPr>
              <w:spacing w:after="0"/>
              <w:rPr>
                <w:sz w:val="17"/>
                <w:szCs w:val="17"/>
                <w:color w:val="auto"/>
              </w:rPr>
            </w:pPr>
          </w:p>
        </w:tc>
      </w:tr>
      <w:tr>
        <w:trPr>
          <w:trHeight w:val="220"/>
        </w:trPr>
        <w:tc>
          <w:tcPr>
            <w:tcW w:w="160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rPr>
              <w:t>Development</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3460" w:type="dxa"/>
            <w:vAlign w:val="bottom"/>
          </w:tcPr>
          <w:p>
            <w:pPr>
              <w:spacing w:after="0"/>
              <w:rPr>
                <w:sz w:val="19"/>
                <w:szCs w:val="19"/>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Excluded Field</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1.40</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Expert Committee</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10.4.3</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First Generation Process Development</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w w:val="98"/>
              </w:rPr>
              <w:t>8.3.2</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Genentech</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9"/>
              </w:rPr>
              <w:t>cover page</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Indemnified Party</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16.3</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Indemnifying Party</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16.3</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Infringement</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9"/>
              </w:rPr>
              <w:t>14.13</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Initiating Party</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9"/>
              </w:rPr>
              <w:t>14.13</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IV Lead Compound Formulation</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rPr>
              <w:t>6.4</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4"/>
              </w:rPr>
              <w:t>JOC</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w w:val="98"/>
              </w:rPr>
              <w:t>5.7.3.1</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Joint Invention</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1.60</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JMC</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w w:val="98"/>
              </w:rPr>
              <w:t>5.7.4.1</w:t>
            </w:r>
          </w:p>
        </w:tc>
        <w:tc>
          <w:tcPr>
            <w:tcW w:w="3460" w:type="dxa"/>
            <w:vAlign w:val="bottom"/>
          </w:tcPr>
          <w:p>
            <w:pPr>
              <w:spacing w:after="0"/>
              <w:rPr>
                <w:sz w:val="18"/>
                <w:szCs w:val="18"/>
                <w:color w:val="auto"/>
              </w:rPr>
            </w:pPr>
          </w:p>
        </w:tc>
      </w:tr>
      <w:tr>
        <w:trPr>
          <w:trHeight w:val="206"/>
        </w:trPr>
        <w:tc>
          <w:tcPr>
            <w:tcW w:w="1600" w:type="dxa"/>
            <w:vAlign w:val="bottom"/>
            <w:tcBorders>
              <w:right w:val="single" w:sz="8" w:color="auto"/>
            </w:tcBorders>
          </w:tcPr>
          <w:p>
            <w:pPr>
              <w:spacing w:after="0"/>
              <w:rPr>
                <w:sz w:val="17"/>
                <w:szCs w:val="17"/>
                <w:color w:val="auto"/>
              </w:rPr>
            </w:pPr>
          </w:p>
        </w:tc>
        <w:tc>
          <w:tcPr>
            <w:tcW w:w="412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8"/>
              </w:rPr>
              <w:t>Later Second Generation Process</w:t>
            </w:r>
          </w:p>
        </w:tc>
        <w:tc>
          <w:tcPr>
            <w:tcW w:w="340" w:type="dxa"/>
            <w:vAlign w:val="bottom"/>
          </w:tcPr>
          <w:p>
            <w:pPr>
              <w:spacing w:after="0"/>
              <w:rPr>
                <w:sz w:val="17"/>
                <w:szCs w:val="17"/>
                <w:color w:val="auto"/>
              </w:rPr>
            </w:pPr>
          </w:p>
        </w:tc>
        <w:tc>
          <w:tcPr>
            <w:tcW w:w="1740" w:type="dxa"/>
            <w:vAlign w:val="bottom"/>
            <w:tcBorders>
              <w:right w:val="single" w:sz="8" w:color="auto"/>
            </w:tcBorders>
          </w:tcPr>
          <w:p>
            <w:pPr>
              <w:jc w:val="center"/>
              <w:ind w:right="281"/>
              <w:spacing w:after="0" w:line="206" w:lineRule="exact"/>
              <w:rPr>
                <w:sz w:val="20"/>
                <w:szCs w:val="20"/>
                <w:color w:val="auto"/>
              </w:rPr>
            </w:pPr>
            <w:r>
              <w:rPr>
                <w:rFonts w:ascii="Arial" w:cs="Arial" w:eastAsia="Arial" w:hAnsi="Arial"/>
                <w:sz w:val="20"/>
                <w:szCs w:val="20"/>
                <w:color w:val="auto"/>
                <w:w w:val="98"/>
              </w:rPr>
              <w:t>8.3.2</w:t>
            </w:r>
          </w:p>
        </w:tc>
        <w:tc>
          <w:tcPr>
            <w:tcW w:w="3460" w:type="dxa"/>
            <w:vAlign w:val="bottom"/>
          </w:tcPr>
          <w:p>
            <w:pPr>
              <w:spacing w:after="0"/>
              <w:rPr>
                <w:sz w:val="17"/>
                <w:szCs w:val="17"/>
                <w:color w:val="auto"/>
              </w:rPr>
            </w:pPr>
          </w:p>
        </w:tc>
      </w:tr>
      <w:tr>
        <w:trPr>
          <w:trHeight w:val="220"/>
        </w:trPr>
        <w:tc>
          <w:tcPr>
            <w:tcW w:w="160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rPr>
              <w:t>Development</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3460" w:type="dxa"/>
            <w:vAlign w:val="bottom"/>
          </w:tcPr>
          <w:p>
            <w:pPr>
              <w:spacing w:after="0"/>
              <w:rPr>
                <w:sz w:val="19"/>
                <w:szCs w:val="19"/>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Lead Co-Chairperson</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rPr>
              <w:t>5.2</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Losses</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16.1</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Manufacturing Third Party Payments</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10.5</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Members</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rPr>
              <w:t>5.2</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Minimum Transfer Payment</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81"/>
              <w:spacing w:after="0" w:line="209" w:lineRule="exact"/>
              <w:rPr>
                <w:sz w:val="20"/>
                <w:szCs w:val="20"/>
                <w:color w:val="auto"/>
              </w:rPr>
            </w:pPr>
            <w:r>
              <w:rPr>
                <w:rFonts w:ascii="Arial" w:cs="Arial" w:eastAsia="Arial" w:hAnsi="Arial"/>
                <w:sz w:val="20"/>
                <w:szCs w:val="20"/>
                <w:color w:val="auto"/>
                <w:w w:val="99"/>
              </w:rPr>
              <w:t>19.3.4.4</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Misappropriation</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9"/>
              </w:rPr>
              <w:t>14.13</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NDA</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1.27</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Non-Acquired Party</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21.5</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Non-Breaching Party</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19.2.1</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Non-Manufacturing Third Party Payments</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10.5</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Owed Party</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11.7</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Owing Party</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11.7</w:t>
            </w:r>
          </w:p>
        </w:tc>
        <w:tc>
          <w:tcPr>
            <w:tcW w:w="3460" w:type="dxa"/>
            <w:vAlign w:val="bottom"/>
          </w:tcPr>
          <w:p>
            <w:pPr>
              <w:spacing w:after="0"/>
              <w:rPr>
                <w:sz w:val="18"/>
                <w:szCs w:val="18"/>
                <w:color w:val="auto"/>
              </w:rPr>
            </w:pPr>
          </w:p>
        </w:tc>
      </w:tr>
      <w:tr>
        <w:trPr>
          <w:trHeight w:val="209"/>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Patent Term Extensions</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9"/>
              </w:rPr>
              <w:t>14.18</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12.2</w:t>
            </w:r>
          </w:p>
        </w:tc>
        <w:tc>
          <w:tcPr>
            <w:tcW w:w="3460" w:type="dxa"/>
            <w:vAlign w:val="bottom"/>
          </w:tcPr>
          <w:p>
            <w:pPr>
              <w:spacing w:after="0"/>
              <w:rPr>
                <w:sz w:val="18"/>
                <w:szCs w:val="18"/>
                <w:color w:val="auto"/>
              </w:rPr>
            </w:pPr>
          </w:p>
        </w:tc>
      </w:tr>
      <w:tr>
        <w:trPr>
          <w:trHeight w:val="210"/>
        </w:trPr>
        <w:tc>
          <w:tcPr>
            <w:tcW w:w="160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ind w:right="261"/>
              <w:spacing w:after="0" w:line="209" w:lineRule="exact"/>
              <w:rPr>
                <w:sz w:val="20"/>
                <w:szCs w:val="20"/>
                <w:color w:val="auto"/>
              </w:rPr>
            </w:pPr>
            <w:r>
              <w:rPr>
                <w:rFonts w:ascii="Arial" w:cs="Arial" w:eastAsia="Arial" w:hAnsi="Arial"/>
                <w:sz w:val="20"/>
                <w:szCs w:val="20"/>
                <w:color w:val="auto"/>
                <w:w w:val="97"/>
              </w:rPr>
              <w:t>12.2</w:t>
            </w:r>
          </w:p>
        </w:tc>
        <w:tc>
          <w:tcPr>
            <w:tcW w:w="3460" w:type="dxa"/>
            <w:vAlign w:val="bottom"/>
          </w:tcPr>
          <w:p>
            <w:pPr>
              <w:spacing w:after="0"/>
              <w:rPr>
                <w:sz w:val="18"/>
                <w:szCs w:val="18"/>
                <w:color w:val="auto"/>
              </w:rPr>
            </w:pPr>
          </w:p>
        </w:tc>
      </w:tr>
      <w:tr>
        <w:trPr>
          <w:trHeight w:val="875"/>
        </w:trPr>
        <w:tc>
          <w:tcPr>
            <w:tcW w:w="1600" w:type="dxa"/>
            <w:vAlign w:val="bottom"/>
          </w:tcPr>
          <w:p>
            <w:pPr>
              <w:spacing w:after="0"/>
              <w:rPr>
                <w:sz w:val="24"/>
                <w:szCs w:val="24"/>
                <w:color w:val="auto"/>
              </w:rPr>
            </w:pPr>
          </w:p>
        </w:tc>
        <w:tc>
          <w:tcPr>
            <w:tcW w:w="4460" w:type="dxa"/>
            <w:vAlign w:val="bottom"/>
            <w:gridSpan w:val="2"/>
          </w:tcPr>
          <w:p>
            <w:pPr>
              <w:jc w:val="right"/>
              <w:ind w:right="200"/>
              <w:spacing w:after="0"/>
              <w:rPr>
                <w:sz w:val="20"/>
                <w:szCs w:val="20"/>
                <w:color w:val="auto"/>
              </w:rPr>
            </w:pPr>
            <w:r>
              <w:rPr>
                <w:rFonts w:ascii="Arial" w:cs="Arial" w:eastAsia="Arial" w:hAnsi="Arial"/>
                <w:sz w:val="20"/>
                <w:szCs w:val="20"/>
                <w:color w:val="auto"/>
              </w:rPr>
              <w:t>- 14 -</w:t>
            </w:r>
          </w:p>
        </w:tc>
        <w:tc>
          <w:tcPr>
            <w:tcW w:w="17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98"/>
        </w:trPr>
        <w:tc>
          <w:tcPr>
            <w:tcW w:w="1600" w:type="dxa"/>
            <w:vAlign w:val="bottom"/>
            <w:tcBorders>
              <w:bottom w:val="single" w:sz="8" w:color="9A9A9A"/>
            </w:tcBorders>
          </w:tcPr>
          <w:p>
            <w:pPr>
              <w:spacing w:after="0"/>
              <w:rPr>
                <w:sz w:val="8"/>
                <w:szCs w:val="8"/>
                <w:color w:val="auto"/>
              </w:rPr>
            </w:pPr>
          </w:p>
        </w:tc>
        <w:tc>
          <w:tcPr>
            <w:tcW w:w="4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9"/>
        </w:trPr>
        <w:tc>
          <w:tcPr>
            <w:tcW w:w="36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Definition</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Section</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Payment Currency</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11.3</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Peremptory Notice Period</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19.2.1</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PII/Samples</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19.3.4.4</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Primary Negotiation Party</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14.15</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Product Trademarks</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14.3</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Proposing Party</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6.2</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Publishing Notice</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18.4</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Publishing Party</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18.4</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Receiving Party</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1.27</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Reconciliation Interim Report</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11.7</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Reconciliation Final Report</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11.7</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Register</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14.11</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Relative Commercial Value</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10.4.3</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Retained Indications</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2.1.4</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Roche</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cover page</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Roche Basel</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cover page</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Roche Indemnitees</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16.2</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Roche Invention</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1.60</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Roche Transfer Activities</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19.3.4.4</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Sensitive Information</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21.5</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Settlement</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14.13</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SPCs</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14.18</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Specifications</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8.3.3</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Subcommittee</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5.7.1</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Subcontractor Notice</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3</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Supply Agreement</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8.2</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Suit Notice</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14.13</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12.2</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Third Party Claims</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16.1</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Third Party IP License</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14.15</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Unilateral Study</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6.2</w:t>
            </w:r>
          </w:p>
        </w:tc>
      </w:tr>
      <w:tr>
        <w:trPr>
          <w:trHeight w:val="209"/>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US-Dedicated Clinical Studies</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5.6.3</w:t>
            </w:r>
          </w:p>
        </w:tc>
      </w:tr>
      <w:tr>
        <w:trPr>
          <w:trHeight w:val="210"/>
        </w:trPr>
        <w:tc>
          <w:tcPr>
            <w:tcW w:w="3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US Roche Know-How Misappropriation</w:t>
            </w:r>
          </w:p>
        </w:tc>
        <w:tc>
          <w:tcPr>
            <w:tcW w:w="20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14.13</w:t>
            </w:r>
          </w:p>
        </w:tc>
      </w:tr>
      <w:tr>
        <w:trPr>
          <w:trHeight w:val="659"/>
        </w:trPr>
        <w:tc>
          <w:tcPr>
            <w:tcW w:w="360" w:type="dxa"/>
            <w:vAlign w:val="bottom"/>
          </w:tcPr>
          <w:p>
            <w:pPr>
              <w:spacing w:after="0"/>
              <w:rPr>
                <w:sz w:val="20"/>
                <w:szCs w:val="20"/>
                <w:color w:val="auto"/>
              </w:rPr>
            </w:pPr>
            <w:r>
              <w:rPr>
                <w:rFonts w:ascii="Arial" w:cs="Arial" w:eastAsia="Arial" w:hAnsi="Arial"/>
                <w:sz w:val="20"/>
                <w:szCs w:val="20"/>
                <w:b w:val="1"/>
                <w:bCs w:val="1"/>
                <w:color w:val="auto"/>
              </w:rPr>
              <w:t>2.</w:t>
            </w:r>
          </w:p>
        </w:tc>
        <w:tc>
          <w:tcPr>
            <w:tcW w:w="5360" w:type="dxa"/>
            <w:vAlign w:val="bottom"/>
            <w:gridSpan w:val="2"/>
          </w:tcPr>
          <w:p>
            <w:pPr>
              <w:ind w:left="60"/>
              <w:spacing w:after="0"/>
              <w:rPr>
                <w:sz w:val="20"/>
                <w:szCs w:val="20"/>
                <w:color w:val="auto"/>
              </w:rPr>
            </w:pPr>
            <w:r>
              <w:rPr>
                <w:rFonts w:ascii="Arial" w:cs="Arial" w:eastAsia="Arial" w:hAnsi="Arial"/>
                <w:sz w:val="20"/>
                <w:szCs w:val="20"/>
                <w:b w:val="1"/>
                <w:bCs w:val="1"/>
                <w:color w:val="auto"/>
              </w:rPr>
              <w:t>Grant of License</w:t>
            </w:r>
          </w:p>
        </w:tc>
        <w:tc>
          <w:tcPr>
            <w:tcW w:w="208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0"/>
                <w:szCs w:val="20"/>
                <w:b w:val="1"/>
                <w:bCs w:val="1"/>
                <w:color w:val="auto"/>
              </w:rPr>
              <w:t>2.1</w:t>
            </w:r>
          </w:p>
        </w:tc>
        <w:tc>
          <w:tcPr>
            <w:tcW w:w="5360" w:type="dxa"/>
            <w:vAlign w:val="bottom"/>
            <w:gridSpan w:val="2"/>
          </w:tcPr>
          <w:p>
            <w:pPr>
              <w:ind w:left="340"/>
              <w:spacing w:after="0"/>
              <w:rPr>
                <w:sz w:val="20"/>
                <w:szCs w:val="20"/>
                <w:color w:val="auto"/>
              </w:rPr>
            </w:pPr>
            <w:r>
              <w:rPr>
                <w:rFonts w:ascii="Arial" w:cs="Arial" w:eastAsia="Arial" w:hAnsi="Arial"/>
                <w:sz w:val="20"/>
                <w:szCs w:val="20"/>
                <w:b w:val="1"/>
                <w:bCs w:val="1"/>
                <w:color w:val="auto"/>
              </w:rPr>
              <w:t>Licenses</w:t>
            </w:r>
          </w:p>
        </w:tc>
        <w:tc>
          <w:tcPr>
            <w:tcW w:w="2080" w:type="dxa"/>
            <w:vAlign w:val="bottom"/>
          </w:tcPr>
          <w:p>
            <w:pPr>
              <w:spacing w:after="0"/>
              <w:rPr>
                <w:sz w:val="24"/>
                <w:szCs w:val="24"/>
                <w:color w:val="auto"/>
              </w:rPr>
            </w:pPr>
          </w:p>
        </w:tc>
      </w:tr>
    </w:tbl>
    <w:p>
      <w:pPr>
        <w:spacing w:after="0" w:line="19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color w:val="auto"/>
        </w:rPr>
        <w:t>License Grant to Roche</w:t>
      </w:r>
    </w:p>
    <w:p>
      <w:pPr>
        <w:spacing w:after="0" w:line="40"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Subject to the terms and conditions of this Agreement, Atea hereby grants to Roche under the Atea Patent Rights and Atea Know-How and Atea’s interest in the Joint Patent Rights and Joint Know-How:</w:t>
      </w:r>
    </w:p>
    <w:p>
      <w:pPr>
        <w:spacing w:after="0" w:line="1" w:lineRule="exact"/>
        <w:rPr>
          <w:sz w:val="20"/>
          <w:szCs w:val="20"/>
          <w:color w:val="auto"/>
        </w:rPr>
      </w:pPr>
    </w:p>
    <w:p>
      <w:pPr>
        <w:jc w:val="both"/>
        <w:ind w:left="1280" w:hanging="422"/>
        <w:spacing w:after="0" w:line="230" w:lineRule="auto"/>
        <w:tabs>
          <w:tab w:leader="none" w:pos="12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 exclusive (even as to Atea) right and license to research, have researched, develop, have developed, register, have registered, use, have used, import, have imported, export, have exported, market, have marketed, distribute, have distributed, sell, have sold, offer for sale, and have offered for sale Compounds, Products and Companion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0" w:lineRule="exact"/>
        <w:rPr>
          <w:rFonts w:ascii="Arial" w:cs="Arial" w:eastAsia="Arial" w:hAnsi="Arial"/>
          <w:sz w:val="20"/>
          <w:szCs w:val="20"/>
          <w:color w:val="auto"/>
        </w:rPr>
      </w:pPr>
    </w:p>
    <w:p>
      <w:pPr>
        <w:ind w:left="5520" w:hanging="127"/>
        <w:spacing w:after="0"/>
        <w:tabs>
          <w:tab w:leader="none" w:pos="5520" w:val="left"/>
        </w:tabs>
        <w:numPr>
          <w:ilvl w:val="1"/>
          <w:numId w:val="63"/>
        </w:numPr>
        <w:rPr>
          <w:rFonts w:ascii="Arial" w:cs="Arial" w:eastAsia="Arial" w:hAnsi="Arial"/>
          <w:sz w:val="20"/>
          <w:szCs w:val="20"/>
          <w:color w:val="auto"/>
        </w:rPr>
      </w:pPr>
      <w:r>
        <w:rPr>
          <w:rFonts w:ascii="Arial" w:cs="Arial" w:eastAsia="Arial" w:hAnsi="Arial"/>
          <w:sz w:val="20"/>
          <w:szCs w:val="20"/>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0" w:name="page111"/>
    <w:bookmarkEnd w:id="110"/>
    <w:p>
      <w:pPr>
        <w:jc w:val="both"/>
        <w:ind w:left="1280"/>
        <w:spacing w:after="0" w:line="225" w:lineRule="auto"/>
        <w:rPr>
          <w:sz w:val="20"/>
          <w:szCs w:val="20"/>
          <w:color w:val="auto"/>
        </w:rPr>
      </w:pPr>
      <w:r>
        <w:rPr>
          <w:rFonts w:ascii="Arial" w:cs="Arial" w:eastAsia="Arial" w:hAnsi="Arial"/>
          <w:sz w:val="20"/>
          <w:szCs w:val="20"/>
          <w:color w:val="auto"/>
        </w:rPr>
        <w:t>Diagnostics in the Field in the Roche Territory, including the right to sublicense pursuant to Section 2.2; provided that Atea retains the right to develop, manufacture and commercialize Compound and Product for the Retained Indications for the purposes set forth in Section 2.1.4;</w:t>
      </w:r>
    </w:p>
    <w:p>
      <w:pPr>
        <w:spacing w:after="0" w:line="1" w:lineRule="exact"/>
        <w:rPr>
          <w:sz w:val="20"/>
          <w:szCs w:val="20"/>
          <w:color w:val="auto"/>
        </w:rPr>
      </w:pPr>
    </w:p>
    <w:p>
      <w:pPr>
        <w:jc w:val="both"/>
        <w:ind w:left="1280" w:hanging="422"/>
        <w:spacing w:after="0" w:line="225" w:lineRule="auto"/>
        <w:tabs>
          <w:tab w:leader="none" w:pos="12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 non-exclusive right and license to make, have made, import, have imported, export, have exported Compounds, Products and Companion Diagnostics in the Field in the Territory, including the right to sublicense pursuant to Section 2.2; and</w:t>
      </w:r>
    </w:p>
    <w:p>
      <w:pPr>
        <w:spacing w:after="0" w:line="1" w:lineRule="exact"/>
        <w:rPr>
          <w:rFonts w:ascii="Arial" w:cs="Arial" w:eastAsia="Arial" w:hAnsi="Arial"/>
          <w:sz w:val="20"/>
          <w:szCs w:val="20"/>
          <w:color w:val="auto"/>
        </w:rPr>
      </w:pPr>
    </w:p>
    <w:p>
      <w:pPr>
        <w:jc w:val="both"/>
        <w:ind w:left="1280" w:right="20" w:hanging="422"/>
        <w:spacing w:after="0" w:line="232" w:lineRule="auto"/>
        <w:tabs>
          <w:tab w:leader="none" w:pos="12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 non-exclusive right and license to research, have researched, develop and have developed Compounds, Products and Companion Diagnostics in the Field and in the Atea Territory, including the right to sublicense pursuant to Section 2.2.</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 exclusivity of the above license is subject to the right of Atea and its respective Affiliates to conduct any activities expressly contemplated by this Agreement.</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color w:val="auto"/>
        </w:rPr>
        <w:t>License Grant to Atea</w:t>
      </w:r>
    </w:p>
    <w:p>
      <w:pPr>
        <w:spacing w:after="0" w:line="40"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Subject to the terms and conditions of this Agreement, Roche hereby grants to Atea under the Roche Patent Rights and Roche Know-How and Roche’s interest in the Joint Patent Rights and Joint Know-How:</w:t>
      </w:r>
    </w:p>
    <w:p>
      <w:pPr>
        <w:spacing w:after="0" w:line="196" w:lineRule="exact"/>
        <w:rPr>
          <w:sz w:val="20"/>
          <w:szCs w:val="20"/>
          <w:color w:val="auto"/>
        </w:rPr>
      </w:pPr>
    </w:p>
    <w:p>
      <w:pPr>
        <w:jc w:val="both"/>
        <w:ind w:left="1280" w:hanging="422"/>
        <w:spacing w:after="0" w:line="225" w:lineRule="auto"/>
        <w:tabs>
          <w:tab w:leader="none" w:pos="12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 exclusive (even as to Roche, except as set forth in Sections 2.1.1(b) and 2.1.1(c)) right and license to distribute, have distributed, register, have registered, sell, have sold, offer for sale, and have offered for sale Compounds and Products in the Atea Territory, including the right to sublicense pursuant to Section 2.2;</w:t>
      </w:r>
    </w:p>
    <w:p>
      <w:pPr>
        <w:spacing w:after="0" w:line="1" w:lineRule="exact"/>
        <w:rPr>
          <w:rFonts w:ascii="Arial" w:cs="Arial" w:eastAsia="Arial" w:hAnsi="Arial"/>
          <w:sz w:val="20"/>
          <w:szCs w:val="20"/>
          <w:color w:val="auto"/>
        </w:rPr>
      </w:pPr>
    </w:p>
    <w:p>
      <w:pPr>
        <w:jc w:val="both"/>
        <w:ind w:left="1280" w:hanging="422"/>
        <w:spacing w:after="0" w:line="225" w:lineRule="auto"/>
        <w:tabs>
          <w:tab w:leader="none" w:pos="12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 non-exclusive right and license to research, have researched, develop, have developed, use, have used, import, have imported, export, have exported, market, and have marketed, Compounds and Products in the Atea Territory, including the right to sublicense pursuant to Section 2.2;</w:t>
      </w:r>
    </w:p>
    <w:p>
      <w:pPr>
        <w:spacing w:after="0" w:line="1" w:lineRule="exact"/>
        <w:rPr>
          <w:rFonts w:ascii="Arial" w:cs="Arial" w:eastAsia="Arial" w:hAnsi="Arial"/>
          <w:sz w:val="20"/>
          <w:szCs w:val="20"/>
          <w:color w:val="auto"/>
        </w:rPr>
      </w:pPr>
    </w:p>
    <w:p>
      <w:pPr>
        <w:jc w:val="both"/>
        <w:ind w:left="1280" w:hanging="422"/>
        <w:spacing w:after="0" w:line="225" w:lineRule="auto"/>
        <w:tabs>
          <w:tab w:leader="none" w:pos="12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 non-exclusive right and license, including the right to sublicense pursuant to Section 2.2, to practice any process improvements arising in the course of the manufacture of the Drug Substance or the Drug Product by or on behalf of Roche, its Affiliates or Sublicensees, solely in case of a Roche Inability to Supply, and to make, have made, import, have imported, export, have exported, market, have marketed, distribute, have distributed, sell and have sold Compounds and Products in the Atea Territory and, solely in the Excluded Field (whether or not there is a Roche Inability to Supply), the Roche Territory, and anywhere in the Territory to manufacture or have manufactured Compound and Product for the purposes set forth in Section 2.1.4; and</w:t>
      </w:r>
    </w:p>
    <w:p>
      <w:pPr>
        <w:spacing w:after="0" w:line="2" w:lineRule="exact"/>
        <w:rPr>
          <w:rFonts w:ascii="Arial" w:cs="Arial" w:eastAsia="Arial" w:hAnsi="Arial"/>
          <w:sz w:val="20"/>
          <w:szCs w:val="20"/>
          <w:color w:val="auto"/>
        </w:rPr>
      </w:pPr>
    </w:p>
    <w:p>
      <w:pPr>
        <w:jc w:val="both"/>
        <w:ind w:left="1280" w:hanging="422"/>
        <w:spacing w:after="0" w:line="232" w:lineRule="auto"/>
        <w:tabs>
          <w:tab w:leader="none" w:pos="12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 non-exclusive right and license to research, have researched, develop and have developed Compounds and Products in the Field and in the Roche Territory, and anywhere in the Territory for purposes set forth in Section 2.1.4, including the right to sublicense pursuant to Section 2.2.</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color w:val="auto"/>
        </w:rPr>
        <w:t>Excluded Affiliates</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Notwithstanding anything to the contrary in this Article 2 or elsewhere in this Agreement, no licenses or rights are granted to Atea under any information, data, proprietary materials or other intellectual property rights whether or not patentable that are owned or controlled by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1" w:name="page112"/>
    <w:bookmarkEnd w:id="111"/>
    <w:p>
      <w:pPr>
        <w:spacing w:after="0"/>
        <w:tabs>
          <w:tab w:leader="none" w:pos="84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9"/>
          <w:szCs w:val="19"/>
          <w:color w:val="auto"/>
        </w:rPr>
        <w:t>Retained Rights</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For clarity, Atea retains the exclusive ownership and right to use any compound that was generated by or on behalf of Atea, or that is otherwise Covered by intellectual property rights Controlled by Atea, at the Effective Date or during the Agreement Term in the Excluded Field.</w:t>
      </w:r>
    </w:p>
    <w:p>
      <w:pPr>
        <w:spacing w:after="0" w:line="19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Notwithstanding anything to the contrary in this Agreement, Atea retains the sole right to develop, manufacture and commercialize Compounds and Products in the Atea Territory for the treatment of Dengue Fever, Japanese Encephalitis, West Nile Virus, Yellow Fever and/or Zika (the “</w:t>
      </w:r>
      <w:r>
        <w:rPr>
          <w:rFonts w:ascii="Arial" w:cs="Arial" w:eastAsia="Arial" w:hAnsi="Arial"/>
          <w:sz w:val="20"/>
          <w:szCs w:val="20"/>
          <w:b w:val="1"/>
          <w:bCs w:val="1"/>
          <w:color w:val="auto"/>
        </w:rPr>
        <w:t>Retained Indications</w:t>
      </w:r>
      <w:r>
        <w:rPr>
          <w:rFonts w:ascii="Arial" w:cs="Arial" w:eastAsia="Arial" w:hAnsi="Arial"/>
          <w:sz w:val="20"/>
          <w:szCs w:val="20"/>
          <w:color w:val="auto"/>
        </w:rPr>
        <w:t>”) in the Atea Territory, and to develop and manufacture Compounds and Products in the Roche Territory for the Retained Indications. Atea will notify Roche in writing promptly [***] for the Retained Indication in the Atea Territory. For [***] months after Roche’s receipt of such notice from Atea, the Parties will negotiate in good faith an amendment to this Agreement specifying the terms pursuant to which Roche will commercialize the Product in the Roche Territory for the Retained Indications, except if Roche decides to offer such commercialization right to Atea. Unless and until the Parties enter into such amendment, neither Party will have the right to commercialize the Product in the Roche Territory for the Retained Indications.</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Sublicense</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9"/>
          <w:szCs w:val="19"/>
          <w:color w:val="auto"/>
        </w:rPr>
        <w:t>Right to Sublicense to its Affiliates</w:t>
      </w:r>
    </w:p>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Each Party shall have the right to grant sublicenses to its Affiliates (through multiple tiers), and, as to Roche, [***] under its rights granted under Section 2.1 without prior approval of the other Party.</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9"/>
          <w:szCs w:val="19"/>
          <w:color w:val="auto"/>
        </w:rPr>
        <w:t>Right to Sublicense to Third Parties</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Each Party and its Affiliates shall have the right to grant written sublicenses to non-Affiliate entities (through multiple tiers) under its rights granted under Section 2.1 without prior approval of the other Party. Roche shall inform Atea promptly after the signature of any sublicense agreement it enters into under this Section 2.2.2.</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9"/>
          <w:szCs w:val="19"/>
          <w:color w:val="auto"/>
        </w:rPr>
        <w:t>Requirements for Sublicenses</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Each sublicense shall be consistent in all material respects with the terms and conditions of the Agreement, provided that the sublicensing Party shall be responsible for the payment of all amounts due hereunder, and for all other obligations of its sublicensees under the Agreement as if such obligations were those of such Party.</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Atea Right to Request U.S. Co-Promotion</w:t>
      </w:r>
    </w:p>
    <w:p>
      <w:pPr>
        <w:spacing w:after="0" w:line="1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Atea shall have a one-time option right to request that Roche co-promote each Product (other than for the Retained Indications), on a Product-by-Product basis, in the US on a royalty basis (each, a “</w:t>
      </w:r>
      <w:r>
        <w:rPr>
          <w:rFonts w:ascii="Arial" w:cs="Arial" w:eastAsia="Arial" w:hAnsi="Arial"/>
          <w:sz w:val="20"/>
          <w:szCs w:val="20"/>
          <w:b w:val="1"/>
          <w:bCs w:val="1"/>
          <w:color w:val="auto"/>
        </w:rPr>
        <w:t>Co-Promotion Option</w:t>
      </w:r>
      <w:r>
        <w:rPr>
          <w:rFonts w:ascii="Arial" w:cs="Arial" w:eastAsia="Arial" w:hAnsi="Arial"/>
          <w:sz w:val="20"/>
          <w:szCs w:val="20"/>
          <w:color w:val="auto"/>
        </w:rPr>
        <w:t>”), subject to the provisions of this Section 2.3, and conditioned on Roche and Atea or their respective Affiliates entering into a co-promotion agreement consistent with this Section 2.3. For purposes of this Agreement, “</w:t>
      </w:r>
      <w:r>
        <w:rPr>
          <w:rFonts w:ascii="Arial" w:cs="Arial" w:eastAsia="Arial" w:hAnsi="Arial"/>
          <w:sz w:val="20"/>
          <w:szCs w:val="20"/>
          <w:b w:val="1"/>
          <w:bCs w:val="1"/>
          <w:color w:val="auto"/>
        </w:rPr>
        <w:t>co-promote</w:t>
      </w:r>
      <w:r>
        <w:rPr>
          <w:rFonts w:ascii="Arial" w:cs="Arial" w:eastAsia="Arial" w:hAnsi="Arial"/>
          <w:sz w:val="20"/>
          <w:szCs w:val="20"/>
          <w:color w:val="auto"/>
        </w:rPr>
        <w:t>” and “</w:t>
      </w:r>
      <w:r>
        <w:rPr>
          <w:rFonts w:ascii="Arial" w:cs="Arial" w:eastAsia="Arial" w:hAnsi="Arial"/>
          <w:sz w:val="20"/>
          <w:szCs w:val="20"/>
          <w:b w:val="1"/>
          <w:bCs w:val="1"/>
          <w:color w:val="auto"/>
        </w:rPr>
        <w:t>co-promotion</w:t>
      </w:r>
      <w:r>
        <w:rPr>
          <w:rFonts w:ascii="Arial" w:cs="Arial" w:eastAsia="Arial" w:hAnsi="Arial"/>
          <w:sz w:val="20"/>
          <w:szCs w:val="20"/>
          <w:color w:val="auto"/>
        </w:rPr>
        <w:t>” shall refer to marketing, promotion, detailing and advertisement of a Product by the Parties under the relevant Regulatory Approvals and the same trademark(s). “Co-promote” and “co-promotion” shall not mean the sale, contracting or distribution of a Product. Additional supportive customer and field activities may be included in the agreement even if they are not related to promotion (i.e. medical or patient support services). Atea may exercise its Co-Promotion Option with respect to each Product by giving written notice thereof to Roche at any time at least [***] prior to expected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2" w:name="page113"/>
    <w:bookmarkEnd w:id="112"/>
    <w:p>
      <w:pPr>
        <w:jc w:val="both"/>
        <w:spacing w:after="0" w:line="227" w:lineRule="auto"/>
        <w:rPr>
          <w:sz w:val="20"/>
          <w:szCs w:val="20"/>
          <w:color w:val="auto"/>
        </w:rPr>
      </w:pPr>
      <w:r>
        <w:rPr>
          <w:rFonts w:ascii="Arial" w:cs="Arial" w:eastAsia="Arial" w:hAnsi="Arial"/>
          <w:sz w:val="20"/>
          <w:szCs w:val="20"/>
          <w:color w:val="auto"/>
        </w:rPr>
        <w:t>Regulatory Approval of such Product in the US. Upon Atea’s exercise of its Co-Promotion Option with respect to a Product the Parties shall negotiate in good faith and enter into a written co-promotion agreement (the “</w:t>
      </w:r>
      <w:r>
        <w:rPr>
          <w:rFonts w:ascii="Arial" w:cs="Arial" w:eastAsia="Arial" w:hAnsi="Arial"/>
          <w:sz w:val="20"/>
          <w:szCs w:val="20"/>
          <w:b w:val="1"/>
          <w:bCs w:val="1"/>
          <w:color w:val="auto"/>
        </w:rPr>
        <w:t>Co-Promotion Agreement</w:t>
      </w:r>
      <w:r>
        <w:rPr>
          <w:rFonts w:ascii="Arial" w:cs="Arial" w:eastAsia="Arial" w:hAnsi="Arial"/>
          <w:sz w:val="20"/>
          <w:szCs w:val="20"/>
          <w:color w:val="auto"/>
        </w:rPr>
        <w:t>”). In addition to any other terms agreed to by the Parties, the Co-Promotion Agreement shall contain the terms set forth in Appendix 2.3 hereto and other terms typically contained in agreements or the co-promotion of similar products in the US. Upon Atea exercising the Co-Promotion Option in accordance with this Section 2.3, the Parties shall coordinate all sales efforts and field activities in the US under the direction of the JSC, and such efforts and activities shall be more fully described in the Co-Promotion Agreement. Atea shall have the right to co-promote any Product with any Third Party, or to commercialize such Product itself, in the Atea Territory, unless and until Atea exercises its Co-Promotion Option and the Parties enter into the Co-Promotion Agreement. If Atea exercises its right to co-promote or commercialize with a Third Party, then its Co-Promotion Option expires on the date any such Third Party agreement takes effect.</w:t>
      </w:r>
    </w:p>
    <w:p>
      <w:pPr>
        <w:spacing w:after="0" w:line="177" w:lineRule="exact"/>
        <w:rPr>
          <w:sz w:val="20"/>
          <w:szCs w:val="20"/>
          <w:color w:val="auto"/>
        </w:rPr>
      </w:pPr>
    </w:p>
    <w:p>
      <w:pPr>
        <w:ind w:left="420" w:hanging="412"/>
        <w:spacing w:after="0"/>
        <w:tabs>
          <w:tab w:leader="none" w:pos="42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Subcontracting</w:t>
      </w:r>
    </w:p>
    <w:p>
      <w:pPr>
        <w:spacing w:after="0" w:line="6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222222"/>
        </w:rPr>
        <w:t>Atea shall have the right to subcontract the performance of any of its activities under the Agreement (including the activities described under the Global Development Plan and, if applicable, in the Co-Promotion Agreement), provided that (a) Atea shall be and remain responsible and liable for the performance of any such activities by any such subcontractor and (b) such subcontractor must be bound by written obligations (i) of nondisclosure and non-use that are as protective of Roche’s Confidential Information as this Agreement and (ii) to assign or license and transfer to Atea all right, title and interest to any Invention that is developed or, conceived and reduced to practice by such subcontractor that is related to the Compound or Product.</w:t>
      </w:r>
    </w:p>
    <w:p>
      <w:pPr>
        <w:spacing w:after="0" w:line="19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222222"/>
        </w:rPr>
        <w:t>Atea may not subcontract out its activities under the Global Development Plan to any Third Party other than those Third Parties listed on Appendix 3, which Appendix lists Third Party subcontractors of Atea existing as of the Effective Date, or pursuant to the following procedure: (i) Atea shall notify [***] (which notice may be provided via e-mail) of any such proposed Third Party subcontractor and the scope of work proposed to be subcontracted (such notice, a “</w:t>
      </w:r>
      <w:r>
        <w:rPr>
          <w:rFonts w:ascii="Arial" w:cs="Arial" w:eastAsia="Arial" w:hAnsi="Arial"/>
          <w:sz w:val="20"/>
          <w:szCs w:val="20"/>
          <w:b w:val="1"/>
          <w:bCs w:val="1"/>
          <w:color w:val="222222"/>
        </w:rPr>
        <w:t>Subcontractor Notice</w:t>
      </w:r>
      <w:r>
        <w:rPr>
          <w:rFonts w:ascii="Arial" w:cs="Arial" w:eastAsia="Arial" w:hAnsi="Arial"/>
          <w:sz w:val="20"/>
          <w:szCs w:val="20"/>
          <w:color w:val="222222"/>
        </w:rPr>
        <w:t>”); (ii) Roche may notify Atea of any reasonable concerns with respect to such proposed subcontractor, if any, as expeditiously as practical but in no event later than [***] days of receipt of such Subcontractor Notice; (iii) Atea shall consider any such concerns in good faith; and (iv) if thereafter Atea continues to desire to use such Third Party subcontractor the matter shall be referred to the JOC for discussion and resolution. Notwithstanding the foregoing, Atea shall have the right, without needing to so notify [***] and seek Roche’s prior approval, to subcontract non-crucial activities under the Global Development Plan to Third Parties that would reasonably be acceptable to Roche if the total fees under the subcontract agreement do not exceed [***] and the activities being subcontracted are [***].</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Roche shall have the right to subcontract the work performed under this Agreement without prior approval of Atea, </w:t>
      </w:r>
      <w:r>
        <w:rPr>
          <w:rFonts w:ascii="Arial" w:cs="Arial" w:eastAsia="Arial" w:hAnsi="Arial"/>
          <w:sz w:val="19"/>
          <w:szCs w:val="19"/>
          <w:color w:val="222222"/>
        </w:rPr>
        <w:t>provided that</w:t>
      </w:r>
    </w:p>
    <w:p>
      <w:pPr>
        <w:ind w:left="340" w:hanging="332"/>
        <w:spacing w:after="0" w:line="225" w:lineRule="auto"/>
        <w:tabs>
          <w:tab w:leader="none" w:pos="340" w:val="left"/>
        </w:tabs>
        <w:numPr>
          <w:ilvl w:val="0"/>
          <w:numId w:val="67"/>
        </w:numPr>
        <w:rPr>
          <w:rFonts w:ascii="Arial" w:cs="Arial" w:eastAsia="Arial" w:hAnsi="Arial"/>
          <w:sz w:val="20"/>
          <w:szCs w:val="20"/>
          <w:color w:val="222222"/>
        </w:rPr>
      </w:pPr>
      <w:r>
        <w:rPr>
          <w:rFonts w:ascii="Arial" w:cs="Arial" w:eastAsia="Arial" w:hAnsi="Arial"/>
          <w:sz w:val="20"/>
          <w:szCs w:val="20"/>
          <w:color w:val="222222"/>
        </w:rPr>
        <w:t>Roche shall be and remain responsible and liable for the performance of any such activities by any such subcontractor and</w:t>
      </w:r>
    </w:p>
    <w:p>
      <w:pPr>
        <w:jc w:val="both"/>
        <w:ind w:firstLine="8"/>
        <w:spacing w:after="0" w:line="230" w:lineRule="auto"/>
        <w:tabs>
          <w:tab w:leader="none" w:pos="338" w:val="left"/>
        </w:tabs>
        <w:numPr>
          <w:ilvl w:val="0"/>
          <w:numId w:val="67"/>
        </w:numPr>
        <w:rPr>
          <w:rFonts w:ascii="Arial" w:cs="Arial" w:eastAsia="Arial" w:hAnsi="Arial"/>
          <w:sz w:val="20"/>
          <w:szCs w:val="20"/>
          <w:color w:val="222222"/>
        </w:rPr>
      </w:pPr>
      <w:r>
        <w:rPr>
          <w:rFonts w:ascii="Arial" w:cs="Arial" w:eastAsia="Arial" w:hAnsi="Arial"/>
          <w:sz w:val="20"/>
          <w:szCs w:val="20"/>
          <w:color w:val="222222"/>
        </w:rPr>
        <w:t>such subcontractor must be bound by written obligations (i) of nondisclosure and non-use that are as protective of Atea’s Confidential Information as this Agreement and (ii) to assign or license and transfer to Roche all right, title and interest to any Invention that is developed or, conceived and reduced to practice by such subcontractor that is related to the Compound or Product</w:t>
      </w:r>
      <w:r>
        <w:rPr>
          <w:rFonts w:ascii="Arial" w:cs="Arial" w:eastAsia="Arial" w:hAnsi="Arial"/>
          <w:sz w:val="20"/>
          <w:szCs w:val="20"/>
          <w:color w:val="000000"/>
        </w:rPr>
        <w:t>.</w:t>
      </w:r>
    </w:p>
    <w:p>
      <w:pPr>
        <w:spacing w:after="0" w:line="200" w:lineRule="exact"/>
        <w:rPr>
          <w:rFonts w:ascii="Arial" w:cs="Arial" w:eastAsia="Arial" w:hAnsi="Arial"/>
          <w:sz w:val="20"/>
          <w:szCs w:val="20"/>
          <w:color w:val="222222"/>
        </w:rPr>
      </w:pPr>
    </w:p>
    <w:p>
      <w:pPr>
        <w:spacing w:after="0" w:line="200" w:lineRule="exact"/>
        <w:rPr>
          <w:rFonts w:ascii="Arial" w:cs="Arial" w:eastAsia="Arial" w:hAnsi="Arial"/>
          <w:sz w:val="20"/>
          <w:szCs w:val="20"/>
          <w:color w:val="222222"/>
        </w:rPr>
      </w:pPr>
    </w:p>
    <w:p>
      <w:pPr>
        <w:spacing w:after="0" w:line="230" w:lineRule="exact"/>
        <w:rPr>
          <w:rFonts w:ascii="Arial" w:cs="Arial" w:eastAsia="Arial" w:hAnsi="Arial"/>
          <w:sz w:val="20"/>
          <w:szCs w:val="20"/>
          <w:color w:val="222222"/>
        </w:rPr>
      </w:pPr>
    </w:p>
    <w:p>
      <w:pPr>
        <w:ind w:left="5520" w:hanging="127"/>
        <w:spacing w:after="0"/>
        <w:tabs>
          <w:tab w:leader="none" w:pos="5520" w:val="left"/>
        </w:tabs>
        <w:numPr>
          <w:ilvl w:val="1"/>
          <w:numId w:val="67"/>
        </w:numPr>
        <w:rPr>
          <w:rFonts w:ascii="Arial" w:cs="Arial" w:eastAsia="Arial" w:hAnsi="Arial"/>
          <w:sz w:val="20"/>
          <w:szCs w:val="20"/>
          <w:color w:val="auto"/>
        </w:rPr>
      </w:pPr>
      <w:r>
        <w:rPr>
          <w:rFonts w:ascii="Arial" w:cs="Arial" w:eastAsia="Arial" w:hAnsi="Arial"/>
          <w:sz w:val="20"/>
          <w:szCs w:val="20"/>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3" w:name="page114"/>
    <w:bookmarkEnd w:id="113"/>
    <w:p>
      <w:pPr>
        <w:ind w:left="420" w:hanging="412"/>
        <w:spacing w:after="0"/>
        <w:tabs>
          <w:tab w:leader="none" w:pos="42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Exclusivity</w:t>
      </w:r>
    </w:p>
    <w:p>
      <w:pPr>
        <w:spacing w:after="0" w:line="6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Until [***] and subject to Section 2.1.4, Atea shall work exclusively with Roche with regard to Compounds and Products and will not, either on its own or in collaboration with a Third Party, research, develop or commercialize Compounds or Products in the Field other than pursuant to this Agreement, provided that the foregoing shall not limit Atea’s ability to engage subcontractors as provided in Section 3 or, in case Atea does not exercise its Co-Promotion Option as provided in Section 2.3, to engage co-promotion partners or other Third Parties to conduct commercialization activities in the Atea Territory.</w:t>
      </w:r>
    </w:p>
    <w:p>
      <w:pPr>
        <w:spacing w:after="0" w:line="175" w:lineRule="exact"/>
        <w:rPr>
          <w:sz w:val="20"/>
          <w:szCs w:val="20"/>
          <w:color w:val="auto"/>
        </w:rPr>
      </w:pPr>
    </w:p>
    <w:p>
      <w:pPr>
        <w:ind w:left="420" w:hanging="412"/>
        <w:spacing w:after="0"/>
        <w:tabs>
          <w:tab w:leader="none" w:pos="42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Governance</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9"/>
          <w:szCs w:val="19"/>
          <w:b w:val="1"/>
          <w:bCs w:val="1"/>
          <w:color w:val="auto"/>
        </w:rPr>
        <w:t>Joint Steering Committee</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Promptly after the Effective Date of this Agreement, the Parties shall establish a JSC to oversee the development, marketing and commercialization activities under this Agreement.</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9"/>
          <w:szCs w:val="19"/>
          <w:b w:val="1"/>
          <w:bCs w:val="1"/>
          <w:color w:val="auto"/>
        </w:rPr>
        <w:t>Members</w:t>
      </w:r>
    </w:p>
    <w:p>
      <w:pPr>
        <w:spacing w:after="0" w:line="1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JSC shall be composed of up to [***] persons (“</w:t>
      </w:r>
      <w:r>
        <w:rPr>
          <w:rFonts w:ascii="Arial" w:cs="Arial" w:eastAsia="Arial" w:hAnsi="Arial"/>
          <w:sz w:val="20"/>
          <w:szCs w:val="20"/>
          <w:b w:val="1"/>
          <w:bCs w:val="1"/>
          <w:color w:val="auto"/>
        </w:rPr>
        <w:t>Members</w:t>
      </w:r>
      <w:r>
        <w:rPr>
          <w:rFonts w:ascii="Arial" w:cs="Arial" w:eastAsia="Arial" w:hAnsi="Arial"/>
          <w:sz w:val="20"/>
          <w:szCs w:val="20"/>
          <w:color w:val="auto"/>
        </w:rPr>
        <w:t xml:space="preserve">”). Roche and Atea each shall be entitled to appoint up to [***] Members with appropriate seniority and functional expertise. Each Party may replace any of its Members and appoint a person to fill the vacancy arising from each such replacement. A Party that replaces a Member shall notify the other Party at least [***] days prior to the next scheduled meeting of the JSC. Both Parties shall use reasonable efforts to keep an appropriate level of continuity in representation. Both Parties may invite a reasonable number of additional experts or advisors to attend part or the whole JSC meeting with prior notification to the JSC provided that such experts or advisors are </w:t>
      </w:r>
      <w:r>
        <w:rPr>
          <w:rFonts w:ascii="Arial" w:cs="Arial" w:eastAsia="Arial" w:hAnsi="Arial"/>
          <w:sz w:val="20"/>
          <w:szCs w:val="20"/>
          <w:color w:val="222222"/>
        </w:rPr>
        <w:t>bound by written obligations (i)</w:t>
      </w:r>
      <w:r>
        <w:rPr>
          <w:rFonts w:ascii="Arial" w:cs="Arial" w:eastAsia="Arial" w:hAnsi="Arial"/>
          <w:sz w:val="20"/>
          <w:szCs w:val="20"/>
          <w:color w:val="auto"/>
        </w:rPr>
        <w:t xml:space="preserve"> </w:t>
      </w:r>
      <w:r>
        <w:rPr>
          <w:rFonts w:ascii="Arial" w:cs="Arial" w:eastAsia="Arial" w:hAnsi="Arial"/>
          <w:sz w:val="20"/>
          <w:szCs w:val="20"/>
          <w:color w:val="222222"/>
        </w:rPr>
        <w:t xml:space="preserve">of nondisclosure and non-use that are as protective of each Party’s Confidential Information as this Agreement and (ii) to assign or license and transfer to the relevant Party all right, title and interest to any Invention that is developed or, conceived and reduced to practice by such </w:t>
      </w:r>
      <w:r>
        <w:rPr>
          <w:rFonts w:ascii="Arial" w:cs="Arial" w:eastAsia="Arial" w:hAnsi="Arial"/>
          <w:sz w:val="20"/>
          <w:szCs w:val="20"/>
          <w:color w:val="000000"/>
        </w:rPr>
        <w:t>experts or advisors</w:t>
      </w:r>
      <w:r>
        <w:rPr>
          <w:rFonts w:ascii="Arial" w:cs="Arial" w:eastAsia="Arial" w:hAnsi="Arial"/>
          <w:sz w:val="20"/>
          <w:szCs w:val="20"/>
          <w:color w:val="222222"/>
        </w:rPr>
        <w:t xml:space="preserve"> that is related to the Compound or Product</w:t>
      </w:r>
      <w:r>
        <w:rPr>
          <w:rFonts w:ascii="Arial" w:cs="Arial" w:eastAsia="Arial" w:hAnsi="Arial"/>
          <w:sz w:val="20"/>
          <w:szCs w:val="20"/>
          <w:color w:val="000000"/>
        </w:rPr>
        <w:t>. Members may be represented at</w:t>
      </w:r>
      <w:r>
        <w:rPr>
          <w:rFonts w:ascii="Arial" w:cs="Arial" w:eastAsia="Arial" w:hAnsi="Arial"/>
          <w:sz w:val="20"/>
          <w:szCs w:val="20"/>
          <w:color w:val="222222"/>
        </w:rPr>
        <w:t xml:space="preserve"> </w:t>
      </w:r>
      <w:r>
        <w:rPr>
          <w:rFonts w:ascii="Arial" w:cs="Arial" w:eastAsia="Arial" w:hAnsi="Arial"/>
          <w:sz w:val="20"/>
          <w:szCs w:val="20"/>
          <w:color w:val="000000"/>
        </w:rPr>
        <w:t>any meeting by another person designated by the absent Member. The JSC shall be co-chaired by a Member from Atea and a Member from Roche. The Atea and Roche co-chairs will alternate each JSC meeting the lead co-chair responsibilities associated with that meeting (each, a “</w:t>
      </w:r>
      <w:r>
        <w:rPr>
          <w:rFonts w:ascii="Arial" w:cs="Arial" w:eastAsia="Arial" w:hAnsi="Arial"/>
          <w:sz w:val="20"/>
          <w:szCs w:val="20"/>
          <w:b w:val="1"/>
          <w:bCs w:val="1"/>
          <w:color w:val="000000"/>
        </w:rPr>
        <w:t>Lead Co-Chairperson</w:t>
      </w:r>
      <w:r>
        <w:rPr>
          <w:rFonts w:ascii="Arial" w:cs="Arial" w:eastAsia="Arial" w:hAnsi="Arial"/>
          <w:sz w:val="20"/>
          <w:szCs w:val="20"/>
          <w:color w:val="000000"/>
        </w:rPr>
        <w:t>”).</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9"/>
          <w:szCs w:val="19"/>
          <w:b w:val="1"/>
          <w:bCs w:val="1"/>
          <w:color w:val="auto"/>
        </w:rPr>
        <w:t>Responsibilities of the JSC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JSC shall have the responsibility and authority to:</w:t>
      </w:r>
    </w:p>
    <w:p>
      <w:pPr>
        <w:spacing w:after="0" w:line="94" w:lineRule="exact"/>
        <w:rPr>
          <w:sz w:val="20"/>
          <w:szCs w:val="20"/>
          <w:color w:val="auto"/>
        </w:rPr>
      </w:pPr>
    </w:p>
    <w:p>
      <w:pPr>
        <w:ind w:left="660" w:hanging="652"/>
        <w:spacing w:after="0" w:line="236"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manage the overall strategic alignment between the Parties under this Agreement and maintain the relationship between the Parties;</w:t>
      </w:r>
    </w:p>
    <w:p>
      <w:pPr>
        <w:spacing w:after="0" w:line="87" w:lineRule="exact"/>
        <w:rPr>
          <w:rFonts w:ascii="Arial" w:cs="Arial" w:eastAsia="Arial" w:hAnsi="Arial"/>
          <w:sz w:val="20"/>
          <w:szCs w:val="20"/>
          <w:color w:val="auto"/>
        </w:rPr>
      </w:pPr>
    </w:p>
    <w:p>
      <w:pPr>
        <w:ind w:left="660" w:hanging="652"/>
        <w:spacing w:after="0"/>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approve initial Global Development Plan Budget (including FTE allocations by each Party) created by the JOC;</w:t>
      </w:r>
    </w:p>
    <w:p>
      <w:pPr>
        <w:spacing w:after="0" w:line="94" w:lineRule="exact"/>
        <w:rPr>
          <w:rFonts w:ascii="Arial" w:cs="Arial" w:eastAsia="Arial" w:hAnsi="Arial"/>
          <w:sz w:val="20"/>
          <w:szCs w:val="20"/>
          <w:color w:val="auto"/>
        </w:rPr>
      </w:pPr>
    </w:p>
    <w:p>
      <w:pPr>
        <w:jc w:val="both"/>
        <w:ind w:left="660" w:hanging="652"/>
        <w:spacing w:after="0" w:line="232"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approve any development matters referred to the JSC by the JOC (examples may include but are not limited to material Global Development Plan updates, material Global Development Plan Budget updates, material global medical affairs plan updates, and publication strategy and updates thereto), if these matters are referred to the JSC;</w:t>
      </w:r>
    </w:p>
    <w:p>
      <w:pPr>
        <w:spacing w:after="0" w:line="89" w:lineRule="exact"/>
        <w:rPr>
          <w:rFonts w:ascii="Arial" w:cs="Arial" w:eastAsia="Arial" w:hAnsi="Arial"/>
          <w:sz w:val="20"/>
          <w:szCs w:val="20"/>
          <w:color w:val="auto"/>
        </w:rPr>
      </w:pPr>
    </w:p>
    <w:p>
      <w:pPr>
        <w:ind w:left="660" w:hanging="652"/>
        <w:spacing w:after="0" w:line="236"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review and discuss the initial plan for commercialization of the Product in the Field in the Territory referred to the JSC by the JOC;</w:t>
      </w:r>
    </w:p>
    <w:p>
      <w:pPr>
        <w:spacing w:after="0" w:line="87" w:lineRule="exact"/>
        <w:rPr>
          <w:rFonts w:ascii="Arial" w:cs="Arial" w:eastAsia="Arial" w:hAnsi="Arial"/>
          <w:sz w:val="20"/>
          <w:szCs w:val="20"/>
          <w:color w:val="auto"/>
        </w:rPr>
      </w:pPr>
    </w:p>
    <w:p>
      <w:pPr>
        <w:ind w:left="660" w:hanging="652"/>
        <w:spacing w:after="0"/>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approve the initial Demand Forecast Plan created by the JMC;</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5520" w:hanging="127"/>
        <w:spacing w:after="0"/>
        <w:tabs>
          <w:tab w:leader="none" w:pos="5520" w:val="left"/>
        </w:tabs>
        <w:numPr>
          <w:ilvl w:val="1"/>
          <w:numId w:val="70"/>
        </w:numPr>
        <w:rPr>
          <w:rFonts w:ascii="Arial" w:cs="Arial" w:eastAsia="Arial" w:hAnsi="Arial"/>
          <w:sz w:val="20"/>
          <w:szCs w:val="20"/>
          <w:color w:val="auto"/>
        </w:rPr>
      </w:pPr>
      <w:r>
        <w:rPr>
          <w:rFonts w:ascii="Arial" w:cs="Arial" w:eastAsia="Arial" w:hAnsi="Arial"/>
          <w:sz w:val="20"/>
          <w:szCs w:val="20"/>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4" w:name="page115"/>
    <w:bookmarkEnd w:id="114"/>
    <w:p>
      <w:pPr>
        <w:ind w:left="660" w:hanging="652"/>
        <w:spacing w:after="0" w:line="236"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review and approve the manufacturing process recommended by the JMC (i.e., First Generation Process or Second Generation Process) that shall be used for supplying future commercial material for Product;</w:t>
      </w:r>
    </w:p>
    <w:p>
      <w:pPr>
        <w:spacing w:after="0" w:line="87" w:lineRule="exact"/>
        <w:rPr>
          <w:rFonts w:ascii="Arial" w:cs="Arial" w:eastAsia="Arial" w:hAnsi="Arial"/>
          <w:sz w:val="20"/>
          <w:szCs w:val="20"/>
          <w:color w:val="auto"/>
        </w:rPr>
      </w:pPr>
    </w:p>
    <w:p>
      <w:pPr>
        <w:ind w:left="660" w:hanging="652"/>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approve any manufacturing matters that are referred to the JSC by the JMC, at the discretion of the JMC;</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discuss and review updates on development of Compounds and Products for the Retained Indications;</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create or disband JOTs as deemed appropriate;</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approve any efforts to develop Back-Up Compounds as an alternative to the Lead Compound;</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establish and delegate specifically defined duties to the JOC or JMC;</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establish and set expectations and mandates for JOTs;</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oversee the JOTs;</w:t>
      </w:r>
    </w:p>
    <w:p>
      <w:pPr>
        <w:spacing w:after="0" w:line="94" w:lineRule="exact"/>
        <w:rPr>
          <w:rFonts w:ascii="Arial" w:cs="Arial" w:eastAsia="Arial" w:hAnsi="Arial"/>
          <w:sz w:val="20"/>
          <w:szCs w:val="20"/>
          <w:color w:val="auto"/>
        </w:rPr>
      </w:pPr>
    </w:p>
    <w:p>
      <w:pPr>
        <w:ind w:left="660" w:hanging="652"/>
        <w:spacing w:after="0" w:line="236"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attempt to resolve any disputes, including those referred to it for resolution by the JOC and/or the JMC, on an informal basis; and</w:t>
      </w:r>
    </w:p>
    <w:p>
      <w:pPr>
        <w:spacing w:after="0" w:line="87" w:lineRule="exact"/>
        <w:rPr>
          <w:rFonts w:ascii="Arial" w:cs="Arial" w:eastAsia="Arial" w:hAnsi="Arial"/>
          <w:sz w:val="20"/>
          <w:szCs w:val="20"/>
          <w:color w:val="auto"/>
        </w:rPr>
      </w:pPr>
    </w:p>
    <w:p>
      <w:pPr>
        <w:ind w:left="660" w:hanging="652"/>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perform such other tasks as agreed by the Parties.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The JSC shall have no responsibility and authority other than that expressly set forth in this Section.</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9"/>
          <w:szCs w:val="19"/>
          <w:b w:val="1"/>
          <w:bCs w:val="1"/>
          <w:color w:val="auto"/>
        </w:rPr>
        <w:t>Meetings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Lead Co-Chairperson or his/her delegate will be responsible for sending invitations and agendas for all JSC meetings to all Members at least [***] days before the next scheduled meeting of the JSC. The venue for the meetings shall be agreed by the JSC. The JSC shall hold meetings at least once every [***], either in person or by tele-/video-conference, and in any case as frequently as the Members of the JSC may agree shall be necessary. The Alliance Director of each Party may attend the JSC meetings as a permanent participant but shall not be a Member unless appointed as such.</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9"/>
          <w:szCs w:val="19"/>
          <w:b w:val="1"/>
          <w:bCs w:val="1"/>
          <w:color w:val="auto"/>
        </w:rPr>
        <w:t>Minutes</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Lead Co-Chairperson will be responsible for designating a Member to record in reasonable detail and circulate draft minutes of JSC meetings to all members of the JSC for comment and review within [***] days after the relevant meeting. An Atea Member will fulfill the role of drafting the minutes for meetings in which an Atea Member is the Lead Co-Chairperson and a Roche Member will fulfill the role of drafting the minutes for meeting in which a Roche Member is the Lead Co-Chairperson. The Members of the JSC shall have [***] days to provide comments. The Party preparing the minutes shall incorporate timely received comments and distribute finalized minutes to all Members of the JSC within [***] days of the relevant meeting. The Lead Co-Chairperson shall approve the final version of the minutes before its distribution.</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9"/>
          <w:szCs w:val="19"/>
          <w:b w:val="1"/>
          <w:bCs w:val="1"/>
          <w:color w:val="auto"/>
        </w:rPr>
        <w:t>Decisions</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5.6.1</w:t>
      </w:r>
      <w:r>
        <w:rPr>
          <w:sz w:val="20"/>
          <w:szCs w:val="20"/>
          <w:color w:val="auto"/>
        </w:rPr>
        <w:tab/>
      </w:r>
      <w:r>
        <w:rPr>
          <w:rFonts w:ascii="Arial" w:cs="Arial" w:eastAsia="Arial" w:hAnsi="Arial"/>
          <w:sz w:val="19"/>
          <w:szCs w:val="19"/>
          <w:color w:val="auto"/>
        </w:rPr>
        <w:t>Decision Making Authority</w:t>
      </w:r>
    </w:p>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JSC shall decide matters within its responsibilities set forth in Section 5.3, as well as on any matter that is referred to it by the JOC and/or the JMC for resolution pursuant to Section 5.7.5.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5" w:name="page116"/>
    <w:bookmarkEnd w:id="115"/>
    <w:p>
      <w:pPr>
        <w:spacing w:after="0"/>
        <w:tabs>
          <w:tab w:leader="none" w:pos="840" w:val="left"/>
        </w:tabs>
        <w:rPr>
          <w:sz w:val="20"/>
          <w:szCs w:val="20"/>
          <w:color w:val="auto"/>
        </w:rPr>
      </w:pPr>
      <w:r>
        <w:rPr>
          <w:rFonts w:ascii="Arial" w:cs="Arial" w:eastAsia="Arial" w:hAnsi="Arial"/>
          <w:sz w:val="20"/>
          <w:szCs w:val="20"/>
          <w:color w:val="auto"/>
        </w:rPr>
        <w:t>5.6.2</w:t>
      </w:r>
      <w:r>
        <w:rPr>
          <w:sz w:val="20"/>
          <w:szCs w:val="20"/>
          <w:color w:val="auto"/>
        </w:rPr>
        <w:tab/>
      </w:r>
      <w:r>
        <w:rPr>
          <w:rFonts w:ascii="Arial" w:cs="Arial" w:eastAsia="Arial" w:hAnsi="Arial"/>
          <w:sz w:val="19"/>
          <w:szCs w:val="19"/>
          <w:color w:val="auto"/>
        </w:rPr>
        <w:t>Consensus; Good Faith</w:t>
      </w:r>
    </w:p>
    <w:p>
      <w:pPr>
        <w:spacing w:after="0" w:line="40"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The Members of the JSC shall act in good faith to cooperate with one another and seek agreement with respect to issues to be decided by the JSC. The Parties shall endeavor to make decisions by consensus.</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5.6.3</w:t>
      </w:r>
      <w:r>
        <w:rPr>
          <w:sz w:val="20"/>
          <w:szCs w:val="20"/>
          <w:color w:val="auto"/>
        </w:rPr>
        <w:tab/>
      </w:r>
      <w:r>
        <w:rPr>
          <w:rFonts w:ascii="Arial" w:cs="Arial" w:eastAsia="Arial" w:hAnsi="Arial"/>
          <w:sz w:val="19"/>
          <w:szCs w:val="19"/>
          <w:color w:val="auto"/>
        </w:rPr>
        <w:t>Failure to Reach Consensus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If the JSC is unable to decide a matter by consensus, then:</w:t>
      </w:r>
    </w:p>
    <w:p>
      <w:pPr>
        <w:spacing w:after="0" w:line="202" w:lineRule="exact"/>
        <w:rPr>
          <w:sz w:val="20"/>
          <w:szCs w:val="20"/>
          <w:color w:val="auto"/>
        </w:rPr>
      </w:pPr>
    </w:p>
    <w:p>
      <w:pPr>
        <w:ind w:left="880" w:hanging="8"/>
        <w:spacing w:after="0" w:line="236" w:lineRule="auto"/>
        <w:tabs>
          <w:tab w:leader="none" w:pos="177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Atea shall have final decision authority on any matter relating to: (i) [***]; (ii) [***]; (iii) [***]; (iv) [***]; (v) [***]; and (vi) [***];</w:t>
      </w:r>
    </w:p>
    <w:p>
      <w:pPr>
        <w:spacing w:after="0" w:line="195" w:lineRule="exact"/>
        <w:rPr>
          <w:rFonts w:ascii="Arial" w:cs="Arial" w:eastAsia="Arial" w:hAnsi="Arial"/>
          <w:sz w:val="20"/>
          <w:szCs w:val="20"/>
          <w:color w:val="auto"/>
        </w:rPr>
      </w:pPr>
    </w:p>
    <w:p>
      <w:pPr>
        <w:ind w:left="880" w:right="20" w:hanging="8"/>
        <w:spacing w:after="0" w:line="236" w:lineRule="auto"/>
        <w:tabs>
          <w:tab w:leader="none" w:pos="1770" w:val="left"/>
        </w:tabs>
        <w:numPr>
          <w:ilvl w:val="0"/>
          <w:numId w:val="72"/>
        </w:numPr>
        <w:rPr>
          <w:rFonts w:ascii="Arial" w:cs="Arial" w:eastAsia="Arial" w:hAnsi="Arial"/>
          <w:sz w:val="20"/>
          <w:szCs w:val="20"/>
          <w:color w:val="auto"/>
        </w:rPr>
      </w:pPr>
      <w:r>
        <w:rPr>
          <w:rFonts w:ascii="Arial" w:cs="Arial" w:eastAsia="Arial" w:hAnsi="Arial"/>
          <w:sz w:val="20"/>
          <w:szCs w:val="20"/>
          <w:color w:val="auto"/>
        </w:rPr>
        <w:t>Roche shall have final decision authority on any matter relating to: (i) [***]; (ii) [***]; (iii) [***]; (iv) [***]; (v) [***]; (vi) [***]; (vii) [***]; and (viii) [***];</w:t>
      </w:r>
    </w:p>
    <w:p>
      <w:pPr>
        <w:spacing w:after="0" w:line="195" w:lineRule="exact"/>
        <w:rPr>
          <w:rFonts w:ascii="Arial" w:cs="Arial" w:eastAsia="Arial" w:hAnsi="Arial"/>
          <w:sz w:val="20"/>
          <w:szCs w:val="20"/>
          <w:color w:val="auto"/>
        </w:rPr>
      </w:pPr>
    </w:p>
    <w:p>
      <w:pPr>
        <w:ind w:left="880" w:hanging="8"/>
        <w:spacing w:after="0" w:line="236" w:lineRule="auto"/>
        <w:tabs>
          <w:tab w:leader="none" w:pos="1759" w:val="left"/>
        </w:tabs>
        <w:numPr>
          <w:ilvl w:val="0"/>
          <w:numId w:val="72"/>
        </w:numPr>
        <w:rPr>
          <w:rFonts w:ascii="Arial" w:cs="Arial" w:eastAsia="Arial" w:hAnsi="Arial"/>
          <w:sz w:val="20"/>
          <w:szCs w:val="20"/>
          <w:color w:val="auto"/>
        </w:rPr>
      </w:pPr>
      <w:r>
        <w:rPr>
          <w:rFonts w:ascii="Arial" w:cs="Arial" w:eastAsia="Arial" w:hAnsi="Arial"/>
          <w:sz w:val="20"/>
          <w:szCs w:val="20"/>
          <w:color w:val="auto"/>
        </w:rPr>
        <w:t>If the JSC is unable to resolve any other matters not addressed in the foregoing clause (a) - (b), such matter shall be submitted for resolution pursuant to Section 21.2.</w:t>
      </w:r>
    </w:p>
    <w:p>
      <w:pPr>
        <w:spacing w:after="0" w:line="38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5.7</w:t>
      </w:r>
      <w:r>
        <w:rPr>
          <w:sz w:val="20"/>
          <w:szCs w:val="20"/>
          <w:color w:val="auto"/>
        </w:rPr>
        <w:tab/>
      </w:r>
      <w:r>
        <w:rPr>
          <w:rFonts w:ascii="Arial" w:cs="Arial" w:eastAsia="Arial" w:hAnsi="Arial"/>
          <w:sz w:val="19"/>
          <w:szCs w:val="19"/>
          <w:b w:val="1"/>
          <w:bCs w:val="1"/>
          <w:color w:val="auto"/>
        </w:rPr>
        <w:t>Subcommittees (JOC and JMC)</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5.7.1</w:t>
      </w:r>
      <w:r>
        <w:rPr>
          <w:sz w:val="20"/>
          <w:szCs w:val="20"/>
          <w:color w:val="auto"/>
        </w:rPr>
        <w:tab/>
      </w:r>
      <w:r>
        <w:rPr>
          <w:rFonts w:ascii="Arial" w:cs="Arial" w:eastAsia="Arial" w:hAnsi="Arial"/>
          <w:sz w:val="19"/>
          <w:szCs w:val="19"/>
          <w:color w:val="auto"/>
        </w:rPr>
        <w:t>Formation in general; Authority</w:t>
      </w:r>
    </w:p>
    <w:p>
      <w:pPr>
        <w:spacing w:after="0" w:line="1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JSC will establish and delegate specifically-defined duties to the JOC and the JMC (each a “</w:t>
      </w:r>
      <w:r>
        <w:rPr>
          <w:rFonts w:ascii="Arial" w:cs="Arial" w:eastAsia="Arial" w:hAnsi="Arial"/>
          <w:sz w:val="20"/>
          <w:szCs w:val="20"/>
          <w:b w:val="1"/>
          <w:bCs w:val="1"/>
          <w:color w:val="auto"/>
        </w:rPr>
        <w:t>Subcommittee</w:t>
      </w:r>
      <w:r>
        <w:rPr>
          <w:rFonts w:ascii="Arial" w:cs="Arial" w:eastAsia="Arial" w:hAnsi="Arial"/>
          <w:sz w:val="20"/>
          <w:szCs w:val="20"/>
          <w:color w:val="auto"/>
        </w:rPr>
        <w:t>”). Each Subcommittee and its activities will be subject to the oversight of, and will report to, the JSC. No Subcommittee may exceed its authorities specified for the JSC in this Article 5 (Governance). Any disagreement between the representatives of the Parties on a Subcommittee may, after a reasonably trying to solve such disagreement, at the discretion of either Party, be referred to the JSC for resolution in accordance with Section 5.6 (Decisions).</w:t>
      </w:r>
    </w:p>
    <w:p>
      <w:pPr>
        <w:spacing w:after="0" w:line="19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5.7.2</w:t>
      </w:r>
      <w:r>
        <w:rPr>
          <w:sz w:val="20"/>
          <w:szCs w:val="20"/>
          <w:color w:val="auto"/>
        </w:rPr>
        <w:tab/>
      </w:r>
      <w:r>
        <w:rPr>
          <w:rFonts w:ascii="Arial" w:cs="Arial" w:eastAsia="Arial" w:hAnsi="Arial"/>
          <w:sz w:val="19"/>
          <w:szCs w:val="19"/>
          <w:color w:val="auto"/>
        </w:rPr>
        <w:t>Subcommittee Leadership and Meetings</w:t>
      </w:r>
    </w:p>
    <w:p>
      <w:pPr>
        <w:spacing w:after="0" w:line="4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Atea will designate a co-chairperson of each Subcommittee and Roche will designate a co-chairperson of each Subcommittee, each of whom will be a Party’s representative who is a member of such Subcommittee. Each [***], the co-chairpersons of each Subcommittee will alternate serving in the role of “lead co-chairperson.” The lead co-chairperson for the first Calendar Year will be from [***]. The lead co-chairperson or his or her designee will be responsible for calling meetings, preparing and circulating an agenda in advance of each meeting, and preparing and issuing minutes of each meeting within [***] days thereafter. Such minutes will be finalized upon endorsement of all Subcommittee members. Each Party may replace its representatives and co-chairpersons on each such Subcommittee at any time upon written notice to the other Party. Each Subcommittee will hold meetings at such times as it elects to do so and at such locations as the Parties may agree upon or, if agreed by the Parties, by audio or video teleconference, and will designate one of the participants to minute the meetings. Each Party will be responsible for all of its own expenses of participating in any Subcommittee meeting.</w:t>
      </w: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5.7.3</w:t>
      </w:r>
      <w:r>
        <w:rPr>
          <w:sz w:val="20"/>
          <w:szCs w:val="20"/>
          <w:color w:val="auto"/>
        </w:rPr>
        <w:tab/>
      </w:r>
      <w:r>
        <w:rPr>
          <w:rFonts w:ascii="Arial" w:cs="Arial" w:eastAsia="Arial" w:hAnsi="Arial"/>
          <w:sz w:val="19"/>
          <w:szCs w:val="19"/>
          <w:color w:val="auto"/>
        </w:rPr>
        <w:t>Joint Operating Committee.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5.7.3.1</w:t>
      </w:r>
      <w:r>
        <w:rPr>
          <w:sz w:val="20"/>
          <w:szCs w:val="20"/>
          <w:color w:val="auto"/>
        </w:rPr>
        <w:tab/>
      </w:r>
      <w:r>
        <w:rPr>
          <w:rFonts w:ascii="Arial" w:cs="Arial" w:eastAsia="Arial" w:hAnsi="Arial"/>
          <w:sz w:val="19"/>
          <w:szCs w:val="19"/>
          <w:color w:val="auto"/>
        </w:rPr>
        <w:t>Formation and Purpose of the JOC</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Within [***] days after the Effective Date, Atea and Roche will establish a Joint Operating Committee (“</w:t>
      </w:r>
      <w:r>
        <w:rPr>
          <w:rFonts w:ascii="Arial" w:cs="Arial" w:eastAsia="Arial" w:hAnsi="Arial"/>
          <w:sz w:val="20"/>
          <w:szCs w:val="20"/>
          <w:b w:val="1"/>
          <w:bCs w:val="1"/>
          <w:color w:val="auto"/>
        </w:rPr>
        <w:t>JOC</w:t>
      </w:r>
      <w:r>
        <w:rPr>
          <w:rFonts w:ascii="Arial" w:cs="Arial" w:eastAsia="Arial" w:hAnsi="Arial"/>
          <w:sz w:val="20"/>
          <w:szCs w:val="20"/>
          <w:color w:val="auto"/>
        </w:rPr>
        <w:t>”), which will be a Subcommittee of the JSC and will have the responsibilities set forth in this Article 5 (Governance). The JOC will dissolve upon completion of all development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activities and medical affairs activities with respect to the Product and the expiration of the Royalty Term.</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5.7.3.2</w:t>
      </w:r>
      <w:r>
        <w:rPr>
          <w:sz w:val="20"/>
          <w:szCs w:val="20"/>
          <w:color w:val="auto"/>
        </w:rPr>
        <w:tab/>
      </w:r>
      <w:r>
        <w:rPr>
          <w:rFonts w:ascii="Arial" w:cs="Arial" w:eastAsia="Arial" w:hAnsi="Arial"/>
          <w:sz w:val="19"/>
          <w:szCs w:val="19"/>
          <w:color w:val="auto"/>
        </w:rPr>
        <w:t>Membership of the JOC</w:t>
      </w:r>
    </w:p>
    <w:p>
      <w:pPr>
        <w:spacing w:after="0" w:line="4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Each Party will designate up to [***] representatives with appropriate knowledge, expertise, and decision-making authority to serve as members of the JOC;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each Party shall have the same number of representatives as the other Party. Each Party may replace its JOC representatives and co-chairpersons at any time upon written notice to the other Party. The Alliance Director of each Party (or his or her designee) may attend meetings of the JOC as a non-voting participant.</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5.7.3.3</w:t>
      </w:r>
      <w:r>
        <w:rPr>
          <w:sz w:val="20"/>
          <w:szCs w:val="20"/>
          <w:color w:val="auto"/>
        </w:rPr>
        <w:tab/>
      </w:r>
      <w:r>
        <w:rPr>
          <w:rFonts w:ascii="Arial" w:cs="Arial" w:eastAsia="Arial" w:hAnsi="Arial"/>
          <w:sz w:val="19"/>
          <w:szCs w:val="19"/>
          <w:color w:val="auto"/>
        </w:rPr>
        <w:t>Specific Responsibilities of the JOC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The responsibilities of the JOC will be to:</w:t>
      </w:r>
    </w:p>
    <w:p>
      <w:pPr>
        <w:spacing w:after="0" w:line="94" w:lineRule="exact"/>
        <w:rPr>
          <w:sz w:val="20"/>
          <w:szCs w:val="20"/>
          <w:color w:val="auto"/>
        </w:rPr>
      </w:pPr>
    </w:p>
    <w:p>
      <w:pPr>
        <w:ind w:left="640" w:hanging="632"/>
        <w:spacing w:after="0"/>
        <w:tabs>
          <w:tab w:leader="none" w:pos="6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approve amendments to the Global Development Plan and the Global Development Plan Budget;</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review and oversee the execution of the Global Development Plan and relating activities;</w:t>
      </w:r>
    </w:p>
    <w:p>
      <w:pPr>
        <w:spacing w:after="0" w:line="94" w:lineRule="exact"/>
        <w:rPr>
          <w:rFonts w:ascii="Arial" w:cs="Arial" w:eastAsia="Arial" w:hAnsi="Arial"/>
          <w:sz w:val="20"/>
          <w:szCs w:val="20"/>
          <w:color w:val="auto"/>
        </w:rPr>
      </w:pPr>
    </w:p>
    <w:p>
      <w:pPr>
        <w:ind w:left="660" w:right="20" w:hanging="652"/>
        <w:spacing w:after="0" w:line="236" w:lineRule="auto"/>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facilitate the exchange of information between the Parties with respect to the development and registration of the Compounds and the Products in the Field and in the Territory;</w:t>
      </w:r>
    </w:p>
    <w:p>
      <w:pPr>
        <w:spacing w:after="0" w:line="87" w:lineRule="exact"/>
        <w:rPr>
          <w:rFonts w:ascii="Arial" w:cs="Arial" w:eastAsia="Arial" w:hAnsi="Arial"/>
          <w:sz w:val="20"/>
          <w:szCs w:val="20"/>
          <w:color w:val="auto"/>
        </w:rPr>
      </w:pPr>
    </w:p>
    <w:p>
      <w:pPr>
        <w:jc w:val="both"/>
        <w:ind w:left="660" w:hanging="652"/>
        <w:spacing w:after="0" w:line="232" w:lineRule="auto"/>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discuss and align on strategies for investigator-sponsored studies, and approve such studies, with respect to the Compounds and the Products in the Field and in the Territory and any development activities with respect to any delivery device for the Products for incorporation in the Global Development Plan;</w:t>
      </w:r>
    </w:p>
    <w:p>
      <w:pPr>
        <w:spacing w:after="0" w:line="89" w:lineRule="exact"/>
        <w:rPr>
          <w:rFonts w:ascii="Arial" w:cs="Arial" w:eastAsia="Arial" w:hAnsi="Arial"/>
          <w:sz w:val="20"/>
          <w:szCs w:val="20"/>
          <w:color w:val="auto"/>
        </w:rPr>
      </w:pPr>
    </w:p>
    <w:p>
      <w:pPr>
        <w:ind w:left="660" w:hanging="652"/>
        <w:spacing w:after="0" w:line="236" w:lineRule="auto"/>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review, discuss and refer to the JSC the initial plan for commercialization of the Product in the Field in the Territory, as well as any later updates thereto;</w:t>
      </w:r>
    </w:p>
    <w:p>
      <w:pPr>
        <w:spacing w:after="0" w:line="87" w:lineRule="exact"/>
        <w:rPr>
          <w:rFonts w:ascii="Arial" w:cs="Arial" w:eastAsia="Arial" w:hAnsi="Arial"/>
          <w:sz w:val="20"/>
          <w:szCs w:val="20"/>
          <w:color w:val="auto"/>
        </w:rPr>
      </w:pPr>
    </w:p>
    <w:p>
      <w:pPr>
        <w:ind w:left="660" w:hanging="652"/>
        <w:spacing w:after="0" w:line="236" w:lineRule="auto"/>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develop, approve, and adapt publication plans and medical affairs plans for the Compounds and Products in the Field, as needed;</w:t>
      </w:r>
    </w:p>
    <w:p>
      <w:pPr>
        <w:spacing w:after="0" w:line="87" w:lineRule="exact"/>
        <w:rPr>
          <w:rFonts w:ascii="Arial" w:cs="Arial" w:eastAsia="Arial" w:hAnsi="Arial"/>
          <w:sz w:val="20"/>
          <w:szCs w:val="20"/>
          <w:color w:val="auto"/>
        </w:rPr>
      </w:pPr>
    </w:p>
    <w:p>
      <w:pPr>
        <w:ind w:left="660" w:right="20" w:hanging="652"/>
        <w:spacing w:after="0" w:line="236" w:lineRule="auto"/>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facilitate the exchange of information between the Parties with respect to the commercialization of the Compounds and the Products in the Field and in the Territory;</w:t>
      </w:r>
    </w:p>
    <w:p>
      <w:pPr>
        <w:spacing w:after="0" w:line="87" w:lineRule="exact"/>
        <w:rPr>
          <w:rFonts w:ascii="Arial" w:cs="Arial" w:eastAsia="Arial" w:hAnsi="Arial"/>
          <w:sz w:val="20"/>
          <w:szCs w:val="20"/>
          <w:color w:val="auto"/>
        </w:rPr>
      </w:pPr>
    </w:p>
    <w:p>
      <w:pPr>
        <w:ind w:left="660" w:hanging="652"/>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discuss and consider in good faith any global guidelines and strategy for pricing (which shall be non-binding);</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coordinate with JOTs;</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attempt to resolve any disputes arising within its jurisdiction on an informal basis;</w:t>
      </w:r>
    </w:p>
    <w:p>
      <w:pPr>
        <w:spacing w:after="0" w:line="94" w:lineRule="exact"/>
        <w:rPr>
          <w:rFonts w:ascii="Arial" w:cs="Arial" w:eastAsia="Arial" w:hAnsi="Arial"/>
          <w:sz w:val="20"/>
          <w:szCs w:val="20"/>
          <w:color w:val="auto"/>
        </w:rPr>
      </w:pPr>
    </w:p>
    <w:p>
      <w:pPr>
        <w:jc w:val="both"/>
        <w:ind w:left="660" w:hanging="652"/>
        <w:spacing w:after="0" w:line="232" w:lineRule="auto"/>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discuss and evaluate if any disagreements relating to development or commercialization within the JOC’s responsibility should be referred to the JSC (for clarity, each Party has the right to refer any disagreement to the JSC that is not resolved at the JOC, even without the other Party’s consent); and</w:t>
      </w:r>
    </w:p>
    <w:p>
      <w:pPr>
        <w:spacing w:after="0" w:line="89" w:lineRule="exact"/>
        <w:rPr>
          <w:rFonts w:ascii="Arial" w:cs="Arial" w:eastAsia="Arial" w:hAnsi="Arial"/>
          <w:sz w:val="20"/>
          <w:szCs w:val="20"/>
          <w:color w:val="auto"/>
        </w:rPr>
      </w:pPr>
    </w:p>
    <w:p>
      <w:pPr>
        <w:ind w:left="660" w:hanging="652"/>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perform such other tasks as agreed by the Parties.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JOC shall have no responsibility and authority other than that expressly set forth in this Section.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7" w:name="page118"/>
    <w:bookmarkEnd w:id="117"/>
    <w:p>
      <w:pPr>
        <w:spacing w:after="0"/>
        <w:tabs>
          <w:tab w:leader="none" w:pos="840" w:val="left"/>
        </w:tabs>
        <w:rPr>
          <w:sz w:val="20"/>
          <w:szCs w:val="20"/>
          <w:color w:val="auto"/>
        </w:rPr>
      </w:pPr>
      <w:r>
        <w:rPr>
          <w:rFonts w:ascii="Arial" w:cs="Arial" w:eastAsia="Arial" w:hAnsi="Arial"/>
          <w:sz w:val="20"/>
          <w:szCs w:val="20"/>
          <w:color w:val="auto"/>
        </w:rPr>
        <w:t>5.7.4</w:t>
      </w:r>
      <w:r>
        <w:rPr>
          <w:sz w:val="20"/>
          <w:szCs w:val="20"/>
          <w:color w:val="auto"/>
        </w:rPr>
        <w:tab/>
      </w:r>
      <w:r>
        <w:rPr>
          <w:rFonts w:ascii="Arial" w:cs="Arial" w:eastAsia="Arial" w:hAnsi="Arial"/>
          <w:sz w:val="19"/>
          <w:szCs w:val="19"/>
          <w:color w:val="auto"/>
        </w:rPr>
        <w:t>Joint Manufacturing Committee.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5.7.4.1</w:t>
      </w:r>
      <w:r>
        <w:rPr>
          <w:sz w:val="20"/>
          <w:szCs w:val="20"/>
          <w:color w:val="auto"/>
        </w:rPr>
        <w:tab/>
      </w:r>
      <w:r>
        <w:rPr>
          <w:rFonts w:ascii="Arial" w:cs="Arial" w:eastAsia="Arial" w:hAnsi="Arial"/>
          <w:sz w:val="19"/>
          <w:szCs w:val="19"/>
          <w:color w:val="auto"/>
        </w:rPr>
        <w:t>Formation and Purpose of the JMC</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Within [***] days after the Effective Date, the Parties will establish a Joint Manufacturing Committee (the “</w:t>
      </w:r>
      <w:r>
        <w:rPr>
          <w:rFonts w:ascii="Arial" w:cs="Arial" w:eastAsia="Arial" w:hAnsi="Arial"/>
          <w:sz w:val="20"/>
          <w:szCs w:val="20"/>
          <w:b w:val="1"/>
          <w:bCs w:val="1"/>
          <w:color w:val="auto"/>
        </w:rPr>
        <w:t>JMC</w:t>
      </w:r>
      <w:r>
        <w:rPr>
          <w:rFonts w:ascii="Arial" w:cs="Arial" w:eastAsia="Arial" w:hAnsi="Arial"/>
          <w:sz w:val="20"/>
          <w:szCs w:val="20"/>
          <w:color w:val="auto"/>
        </w:rPr>
        <w:t>”), which will be a Subcommittee of the JSC and will have the responsibilities set forth in this Article 5 (Governance). The JMC will dissolve upon the completion or earlier termination of all manufacturing activities under the Supply Agreement.</w:t>
      </w:r>
    </w:p>
    <w:p>
      <w:pPr>
        <w:spacing w:after="0" w:line="19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5.7.4.2</w:t>
      </w:r>
      <w:r>
        <w:rPr>
          <w:sz w:val="20"/>
          <w:szCs w:val="20"/>
          <w:color w:val="auto"/>
        </w:rPr>
        <w:tab/>
      </w:r>
      <w:r>
        <w:rPr>
          <w:rFonts w:ascii="Arial" w:cs="Arial" w:eastAsia="Arial" w:hAnsi="Arial"/>
          <w:sz w:val="19"/>
          <w:szCs w:val="19"/>
          <w:color w:val="auto"/>
        </w:rPr>
        <w:t>Membership of the JMC</w:t>
      </w:r>
    </w:p>
    <w:p>
      <w:pPr>
        <w:spacing w:after="0" w:line="4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Each Party will designate up to [***] representatives with appropriate knowledge, expertise, and decision-making authority to serve as members of the JMC;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each Party shall have the same number of representatives as the other Party. Each Party may replace its JMC representatives and co-chairpersons at any time upon written notice to the other Party. The Alliance Director of each Party (or his or her designee) may attend meetings of the JMC as a non-voting participant.</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5.7.4.3</w:t>
      </w:r>
      <w:r>
        <w:rPr>
          <w:sz w:val="20"/>
          <w:szCs w:val="20"/>
          <w:color w:val="auto"/>
        </w:rPr>
        <w:tab/>
      </w:r>
      <w:r>
        <w:rPr>
          <w:rFonts w:ascii="Arial" w:cs="Arial" w:eastAsia="Arial" w:hAnsi="Arial"/>
          <w:sz w:val="19"/>
          <w:szCs w:val="19"/>
          <w:color w:val="auto"/>
        </w:rPr>
        <w:t>Specific Responsibilities of the JMC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The responsibilities of the JMC will be to:</w:t>
      </w:r>
    </w:p>
    <w:p>
      <w:pPr>
        <w:spacing w:after="0" w:line="94" w:lineRule="exact"/>
        <w:rPr>
          <w:sz w:val="20"/>
          <w:szCs w:val="20"/>
          <w:color w:val="auto"/>
        </w:rPr>
      </w:pPr>
    </w:p>
    <w:p>
      <w:pPr>
        <w:ind w:left="640" w:hanging="632"/>
        <w:spacing w:after="0"/>
        <w:tabs>
          <w:tab w:leader="none" w:pos="6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prepare the initial Demand Forecast Plan for JSC approval, and review and approve any subsequent updates;</w:t>
      </w:r>
    </w:p>
    <w:p>
      <w:pPr>
        <w:spacing w:after="0" w:line="94" w:lineRule="exact"/>
        <w:rPr>
          <w:rFonts w:ascii="Arial" w:cs="Arial" w:eastAsia="Arial" w:hAnsi="Arial"/>
          <w:sz w:val="20"/>
          <w:szCs w:val="20"/>
          <w:color w:val="auto"/>
        </w:rPr>
      </w:pPr>
    </w:p>
    <w:p>
      <w:pPr>
        <w:ind w:left="660" w:hanging="652"/>
        <w:spacing w:after="0" w:line="236" w:lineRule="auto"/>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develop, approve, and adapt capacity plans, manufacturing plans, and any other plans related to manufacturing of the Compounds and Products, as needed;</w:t>
      </w:r>
    </w:p>
    <w:p>
      <w:pPr>
        <w:spacing w:after="0" w:line="87" w:lineRule="exact"/>
        <w:rPr>
          <w:rFonts w:ascii="Arial" w:cs="Arial" w:eastAsia="Arial" w:hAnsi="Arial"/>
          <w:sz w:val="20"/>
          <w:szCs w:val="20"/>
          <w:color w:val="auto"/>
        </w:rPr>
      </w:pPr>
    </w:p>
    <w:p>
      <w:pPr>
        <w:ind w:left="660" w:hanging="652"/>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review and oversee the execution of the Demand Forecast Plan, and any other plans, if applicable;</w:t>
      </w:r>
    </w:p>
    <w:p>
      <w:pPr>
        <w:spacing w:after="0" w:line="94" w:lineRule="exact"/>
        <w:rPr>
          <w:rFonts w:ascii="Arial" w:cs="Arial" w:eastAsia="Arial" w:hAnsi="Arial"/>
          <w:sz w:val="20"/>
          <w:szCs w:val="20"/>
          <w:color w:val="auto"/>
        </w:rPr>
      </w:pPr>
    </w:p>
    <w:p>
      <w:pPr>
        <w:jc w:val="both"/>
        <w:ind w:left="660" w:hanging="652"/>
        <w:spacing w:after="0" w:line="230" w:lineRule="auto"/>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review and oversee the Parties’ respective activities in First Generation Process Development, Early Second Generation Process Development, Later Second Generation Process Development and Commercial Scale-Up, and recommend to the JSC which process (First Generation Process or Second Generation Process) shall be used for supplying future commercial material for Product;</w:t>
      </w:r>
    </w:p>
    <w:p>
      <w:pPr>
        <w:spacing w:after="0" w:line="90" w:lineRule="exact"/>
        <w:rPr>
          <w:rFonts w:ascii="Arial" w:cs="Arial" w:eastAsia="Arial" w:hAnsi="Arial"/>
          <w:sz w:val="20"/>
          <w:szCs w:val="20"/>
          <w:color w:val="auto"/>
        </w:rPr>
      </w:pPr>
    </w:p>
    <w:p>
      <w:pPr>
        <w:ind w:left="660" w:hanging="652"/>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discuss and decide on a hand-over plan of supply responsibilities pursuant to Section 8.1.1;</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monitor and implement the technology transfer to Roche pursuant to Section 8.1.3;</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discuss, align, consolidate, update and approve the Demand Forecast Plan as needed;</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coordinate with JOTs;</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attempt to resolve any disputes arising within its jurisdiction on an informal basis;</w:t>
      </w:r>
    </w:p>
    <w:p>
      <w:pPr>
        <w:spacing w:after="0" w:line="94" w:lineRule="exact"/>
        <w:rPr>
          <w:rFonts w:ascii="Arial" w:cs="Arial" w:eastAsia="Arial" w:hAnsi="Arial"/>
          <w:sz w:val="20"/>
          <w:szCs w:val="20"/>
          <w:color w:val="auto"/>
        </w:rPr>
      </w:pPr>
    </w:p>
    <w:p>
      <w:pPr>
        <w:jc w:val="both"/>
        <w:ind w:left="420" w:hanging="412"/>
        <w:spacing w:after="0" w:line="232" w:lineRule="auto"/>
        <w:tabs>
          <w:tab w:leader="none" w:pos="420" w:val="left"/>
        </w:tabs>
        <w:numPr>
          <w:ilvl w:val="0"/>
          <w:numId w:val="74"/>
        </w:numPr>
        <w:rPr>
          <w:rFonts w:ascii="Arial" w:cs="Arial" w:eastAsia="Arial" w:hAnsi="Arial"/>
          <w:sz w:val="20"/>
          <w:szCs w:val="20"/>
          <w:color w:val="auto"/>
        </w:rPr>
      </w:pPr>
      <w:r>
        <w:rPr>
          <w:rFonts w:ascii="Arial" w:cs="Arial" w:eastAsia="Arial" w:hAnsi="Arial"/>
          <w:sz w:val="20"/>
          <w:szCs w:val="20"/>
          <w:color w:val="auto"/>
        </w:rPr>
        <w:t>discuss and evaluate if any disagreements relating to manufacturing matters should be referred to the JSC (for clarity, each Party has the right to refer any disagreement to the JSC that is not resolved at the JMC, even without the other Party’s consent); and</w:t>
      </w:r>
    </w:p>
    <w:p>
      <w:pPr>
        <w:spacing w:after="0" w:line="89" w:lineRule="exact"/>
        <w:rPr>
          <w:rFonts w:ascii="Arial" w:cs="Arial" w:eastAsia="Arial" w:hAnsi="Arial"/>
          <w:sz w:val="20"/>
          <w:szCs w:val="20"/>
          <w:color w:val="auto"/>
        </w:rPr>
      </w:pPr>
    </w:p>
    <w:p>
      <w:pPr>
        <w:ind w:left="660" w:hanging="652"/>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perform such other tasks as agreed by the Parties.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JMC shall have no responsibility and authority other than that expressly set forth in this Section.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8" w:name="page119"/>
    <w:bookmarkEnd w:id="118"/>
    <w:p>
      <w:pPr>
        <w:spacing w:after="0"/>
        <w:tabs>
          <w:tab w:leader="none" w:pos="840" w:val="left"/>
        </w:tabs>
        <w:rPr>
          <w:sz w:val="20"/>
          <w:szCs w:val="20"/>
          <w:color w:val="auto"/>
        </w:rPr>
      </w:pPr>
      <w:r>
        <w:rPr>
          <w:rFonts w:ascii="Arial" w:cs="Arial" w:eastAsia="Arial" w:hAnsi="Arial"/>
          <w:sz w:val="20"/>
          <w:szCs w:val="20"/>
          <w:color w:val="auto"/>
        </w:rPr>
        <w:t>5.7.5</w:t>
      </w:r>
      <w:r>
        <w:rPr>
          <w:sz w:val="20"/>
          <w:szCs w:val="20"/>
          <w:color w:val="auto"/>
        </w:rPr>
        <w:tab/>
      </w:r>
      <w:r>
        <w:rPr>
          <w:rFonts w:ascii="Arial" w:cs="Arial" w:eastAsia="Arial" w:hAnsi="Arial"/>
          <w:sz w:val="19"/>
          <w:szCs w:val="19"/>
          <w:color w:val="auto"/>
        </w:rPr>
        <w:t>Decision-Making of the Subcommittees</w:t>
      </w:r>
    </w:p>
    <w:p>
      <w:pPr>
        <w:spacing w:after="0" w:line="4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Each Party shall have an equal number of representatives on the Subcommittees. The Subcommittees shall strive to take any decisions on a unanimous basis. If any Subcommittee cannot reach unanimous agreement using good faith efforts on any matter within their respective scope of authority at the meeting at which such matter was discussed or if a meeting of such Subcommittee is not held within a reasonable period of time or the meeting minutes are not finalized in due time, then a Party may refer such matter to the JSC for resolution.</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5.8</w:t>
      </w:r>
      <w:r>
        <w:rPr>
          <w:sz w:val="20"/>
          <w:szCs w:val="20"/>
          <w:color w:val="auto"/>
        </w:rPr>
        <w:tab/>
      </w:r>
      <w:r>
        <w:rPr>
          <w:rFonts w:ascii="Arial" w:cs="Arial" w:eastAsia="Arial" w:hAnsi="Arial"/>
          <w:sz w:val="19"/>
          <w:szCs w:val="19"/>
          <w:b w:val="1"/>
          <w:bCs w:val="1"/>
          <w:color w:val="auto"/>
        </w:rPr>
        <w:t>Joint Operational Teams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JSC shall have the right to establish JOTs, which may include but will not be limited to a Development JOT.</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5.9</w:t>
      </w:r>
      <w:r>
        <w:rPr>
          <w:sz w:val="20"/>
          <w:szCs w:val="20"/>
          <w:color w:val="auto"/>
        </w:rPr>
        <w:tab/>
      </w:r>
      <w:r>
        <w:rPr>
          <w:rFonts w:ascii="Arial" w:cs="Arial" w:eastAsia="Arial" w:hAnsi="Arial"/>
          <w:sz w:val="19"/>
          <w:szCs w:val="19"/>
          <w:b w:val="1"/>
          <w:bCs w:val="1"/>
          <w:color w:val="auto"/>
        </w:rPr>
        <w:t>Information Exchange</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Atea and Roche shall exchange the information in relation to its activities under this Agreement through the JSC and the Subcommittees, and Atea and Roche may ask reasonable questions in relation to the above information and offer advice in relation thereto and each Party shall give due consideration to the other Party’s input. The JSC may determine other routes of information exchange.</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9"/>
          <w:szCs w:val="19"/>
          <w:b w:val="1"/>
          <w:bCs w:val="1"/>
          <w:color w:val="auto"/>
        </w:rPr>
        <w:t>Alliance Director</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Each Party shall appoint one person to be its point of contact with responsibility for facilitating communication and collaboration between the Parties (each, an “</w:t>
      </w:r>
      <w:r>
        <w:rPr>
          <w:rFonts w:ascii="Arial" w:cs="Arial" w:eastAsia="Arial" w:hAnsi="Arial"/>
          <w:sz w:val="20"/>
          <w:szCs w:val="20"/>
          <w:b w:val="1"/>
          <w:bCs w:val="1"/>
          <w:color w:val="auto"/>
        </w:rPr>
        <w:t>Alliance Director</w:t>
      </w:r>
      <w:r>
        <w:rPr>
          <w:rFonts w:ascii="Arial" w:cs="Arial" w:eastAsia="Arial" w:hAnsi="Arial"/>
          <w:sz w:val="20"/>
          <w:szCs w:val="20"/>
          <w:color w:val="auto"/>
        </w:rPr>
        <w:t>”). The Alliance Directors shall be permanent participants of the JSC meetings (but not Members of the JSC) and may attend JOT meetings as appropriate. The Alliance Directors shall facilitate resolution of potential and pending issues and potential disputes to enable the JSC to reach consensus and avert escalation of such issues or potential disputes.</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5.11</w:t>
      </w:r>
      <w:r>
        <w:rPr>
          <w:sz w:val="20"/>
          <w:szCs w:val="20"/>
          <w:color w:val="auto"/>
        </w:rPr>
        <w:tab/>
      </w:r>
      <w:r>
        <w:rPr>
          <w:rFonts w:ascii="Arial" w:cs="Arial" w:eastAsia="Arial" w:hAnsi="Arial"/>
          <w:sz w:val="19"/>
          <w:szCs w:val="19"/>
          <w:b w:val="1"/>
          <w:bCs w:val="1"/>
          <w:color w:val="auto"/>
        </w:rPr>
        <w:t>Limitations of Authority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JSC, JOC and JMC shall have no authority to amend or waive any terms of this Agreement.</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19"/>
          <w:szCs w:val="19"/>
          <w:b w:val="1"/>
          <w:bCs w:val="1"/>
          <w:color w:val="auto"/>
        </w:rPr>
        <w:t>Expenses</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Each Party shall be responsible for its own expenses including travel and accommodation costs incurred in connection with the JSC, JOC and JMC.</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5.13</w:t>
      </w:r>
      <w:r>
        <w:rPr>
          <w:sz w:val="20"/>
          <w:szCs w:val="20"/>
          <w:color w:val="auto"/>
        </w:rPr>
        <w:tab/>
      </w:r>
      <w:r>
        <w:rPr>
          <w:rFonts w:ascii="Arial" w:cs="Arial" w:eastAsia="Arial" w:hAnsi="Arial"/>
          <w:sz w:val="19"/>
          <w:szCs w:val="19"/>
          <w:b w:val="1"/>
          <w:bCs w:val="1"/>
          <w:color w:val="auto"/>
        </w:rPr>
        <w:t>Lifetime</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JSC shall exist during the Agreement Term, unless earlier discontinued by mutual agreement of the Parties. The lifetime of the JOC and the JMC is described under Section 5.7.3.1 (for the JOC) and Section 5.7.4.1 (for the JMC).</w:t>
      </w:r>
    </w:p>
    <w:p>
      <w:pPr>
        <w:spacing w:after="0" w:line="172"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Development</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9"/>
          <w:szCs w:val="19"/>
          <w:b w:val="1"/>
          <w:bCs w:val="1"/>
          <w:color w:val="auto"/>
        </w:rPr>
        <w:t>Atea Ongoing Studies</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Atea shall, [***], use Commercially Reasonable Efforts to conduct and complete the Atea Ongoing Studies. Atea shall provide Roche [***] updates at interim analysis points and at least once [***] regarding the progress and status of the Atea Ongoing Studies, including [***].</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b w:val="1"/>
          <w:bCs w:val="1"/>
          <w:color w:val="auto"/>
        </w:rPr>
        <w:t>Global Development Plan</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Subject to the terms and conditions of this Agreement, and except as otherwise provided in Article 6, the Parties shall jointly develop the Products in the Territory in accordance with the Global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9" w:name="page120"/>
    <w:bookmarkEnd w:id="119"/>
    <w:p>
      <w:pPr>
        <w:jc w:val="both"/>
        <w:spacing w:after="0" w:line="227" w:lineRule="auto"/>
        <w:rPr>
          <w:sz w:val="20"/>
          <w:szCs w:val="20"/>
          <w:color w:val="auto"/>
        </w:rPr>
      </w:pPr>
      <w:r>
        <w:rPr>
          <w:rFonts w:ascii="Arial" w:cs="Arial" w:eastAsia="Arial" w:hAnsi="Arial"/>
          <w:sz w:val="20"/>
          <w:szCs w:val="20"/>
          <w:color w:val="auto"/>
        </w:rPr>
        <w:t>Development Plan and under the governance of the JSC. The responsibility of Roche and Atea to operationalize the global clinical development will be described in the Global Development Plan. The Global Development Plan shall be regularly amended and updated. Roche and Atea shall each use Commercially Reasonable Efforts to perform their respective tasks and obligations in conducting all activities ascribed to them in the then-current Global Development Plan, in accordance with the time parameters set forth therein. The Parties will share the costs associated with activities conducted under the Global Development Plan. FTE Costs and Out of Pocket Expenses incurred by or on behalf of either Party or any of its Affiliates in connection with its activities under the Global Development Plan[***] shall be shared equally (50/50) by the Parties, [***]. Neither Party shall pursue Third Party funding for any Clinical Study under the Global Development Plan that is not an Atea Ongoing Study without the approval of the JSC.</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Parties shall disclose and make available to each other all data and information necessary to conduct the development activities under the Global Development Plan. The Parties shall answer any questions reasonably posed by the other Party and provide any information reasonably requested by the other Party.</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9"/>
          <w:szCs w:val="19"/>
          <w:b w:val="1"/>
          <w:bCs w:val="1"/>
          <w:color w:val="auto"/>
        </w:rPr>
        <w:t>Additional Clinical Studies and Other Studies</w:t>
      </w:r>
    </w:p>
    <w:p>
      <w:pPr>
        <w:spacing w:after="0" w:line="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Prior to initiating a new Clinical Study (including, for the purposes of this Section, any marketing studies, Post-Approval Commitment Studies, and Phase IV Studies for the Product) that is not an Ongoing Atea Study and is not an ongoing Unilateral Study (as defined below) or included in the then-current Global Development Plan, the Party that desires to conduct such Clinical Study (the “</w:t>
      </w:r>
      <w:r>
        <w:rPr>
          <w:rFonts w:ascii="Arial" w:cs="Arial" w:eastAsia="Arial" w:hAnsi="Arial"/>
          <w:sz w:val="19"/>
          <w:szCs w:val="19"/>
          <w:b w:val="1"/>
          <w:bCs w:val="1"/>
          <w:color w:val="auto"/>
        </w:rPr>
        <w:t>Proposing Party</w:t>
      </w:r>
      <w:r>
        <w:rPr>
          <w:rFonts w:ascii="Arial" w:cs="Arial" w:eastAsia="Arial" w:hAnsi="Arial"/>
          <w:sz w:val="19"/>
          <w:szCs w:val="19"/>
          <w:color w:val="auto"/>
        </w:rPr>
        <w:t>”) shall propose such Clinical Study to the JOC, which proposal shall include a synopsis of the protocol for such Clinical Study and an estimated budget for such Clinical Study. If the JOC agrees that the Parties should conduct such Clinical Study, then the Parties shall amend the Global Development Plan to include such Clinical Study. If the JSC does not agree that the Parties should conduct such Clinical Study, then the Proposing Party shall have the right, but not the obligation, to conduct such Clinical Study at its sole expense (each such Clinical Study, a “</w:t>
      </w:r>
      <w:r>
        <w:rPr>
          <w:rFonts w:ascii="Arial" w:cs="Arial" w:eastAsia="Arial" w:hAnsi="Arial"/>
          <w:sz w:val="19"/>
          <w:szCs w:val="19"/>
          <w:b w:val="1"/>
          <w:bCs w:val="1"/>
          <w:color w:val="auto"/>
        </w:rPr>
        <w:t>Unilateral Study</w:t>
      </w:r>
      <w:r>
        <w:rPr>
          <w:rFonts w:ascii="Arial" w:cs="Arial" w:eastAsia="Arial" w:hAnsi="Arial"/>
          <w:sz w:val="19"/>
          <w:szCs w:val="19"/>
          <w:color w:val="auto"/>
        </w:rPr>
        <w:t>”), provided that</w:t>
      </w:r>
    </w:p>
    <w:p>
      <w:pPr>
        <w:spacing w:after="0" w:line="2" w:lineRule="exact"/>
        <w:rPr>
          <w:sz w:val="20"/>
          <w:szCs w:val="20"/>
          <w:color w:val="auto"/>
        </w:rPr>
      </w:pPr>
    </w:p>
    <w:p>
      <w:pPr>
        <w:ind w:firstLine="8"/>
        <w:spacing w:after="0" w:line="236" w:lineRule="auto"/>
        <w:tabs>
          <w:tab w:leader="none" w:pos="242" w:val="left"/>
        </w:tabs>
        <w:numPr>
          <w:ilvl w:val="0"/>
          <w:numId w:val="76"/>
        </w:numPr>
        <w:rPr>
          <w:rFonts w:ascii="Arial" w:cs="Arial" w:eastAsia="Arial" w:hAnsi="Arial"/>
          <w:sz w:val="20"/>
          <w:szCs w:val="20"/>
          <w:color w:val="auto"/>
        </w:rPr>
      </w:pPr>
      <w:r>
        <w:rPr>
          <w:rFonts w:ascii="Arial" w:cs="Arial" w:eastAsia="Arial" w:hAnsi="Arial"/>
          <w:sz w:val="20"/>
          <w:szCs w:val="20"/>
          <w:color w:val="auto"/>
        </w:rPr>
        <w:t>[***], and (ii) [***]. For clarity, neither Party shall have the obligation to conduct or, except as may be required by Applicable Law or ethical requirements, complete any Unilateral Study.</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222222"/>
        </w:rPr>
        <w:t>Notwithstanding anything to the contrary in the foregoing, the Party which is not the Proposing Party, after good faith discussion in the JSC, shall have the right to require the Proposing Party to not conduct a proposed Unilateral Study, if [***] such Unilateral Study [***].</w:t>
      </w:r>
    </w:p>
    <w:p>
      <w:pPr>
        <w:spacing w:after="0" w:line="19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With respect to each Unilateral Study, if the Party not performing such Unilateral Study uses any data or results from such Unilateral Study to obtain, maintain or expand any Regulatory Approval or any pricing or reimbursement for, otherwise includes such data or results in the label for, or uses such data and results to commercialize, a Product in its Respective Territory, then such non-performing Party shall reimburse the Party that performed such Unilateral Study for [***] incurred by or on behalf of such performing Party or any of its Affiliates in connection with such Unilateral Study to the extent such costs are not funded by a Third Party. Notwithstanding the foregoing, the submission of data and results from a Unilateral Study to a Regulatory Authority only for safety reporting purposes in connection with periodic safety reporting or as a courtesy copy shall not result in a reimbursement obligation under this paragraph. The Party not performing the applicable Unilateral Study shall promptly notify the performing Party of any use of the data or results of such Unilateral Study that would result in a reimbursement obligation under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0" w:name="page121"/>
    <w:bookmarkEnd w:id="120"/>
    <w:p>
      <w:pPr>
        <w:spacing w:after="0"/>
        <w:tabs>
          <w:tab w:leader="none" w:pos="68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9"/>
          <w:szCs w:val="19"/>
          <w:b w:val="1"/>
          <w:bCs w:val="1"/>
          <w:color w:val="auto"/>
        </w:rPr>
        <w:t>Intravenously-Administered Formulation of Lead Compound</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To the extent the JSC determines that an intravenously-administered formulation of the Lead Compound (an “</w:t>
      </w:r>
      <w:r>
        <w:rPr>
          <w:rFonts w:ascii="Arial" w:cs="Arial" w:eastAsia="Arial" w:hAnsi="Arial"/>
          <w:sz w:val="20"/>
          <w:szCs w:val="20"/>
          <w:b w:val="1"/>
          <w:bCs w:val="1"/>
          <w:color w:val="auto"/>
        </w:rPr>
        <w:t>IV Lead</w:t>
      </w:r>
      <w:r>
        <w:rPr>
          <w:rFonts w:ascii="Arial" w:cs="Arial" w:eastAsia="Arial" w:hAnsi="Arial"/>
          <w:sz w:val="20"/>
          <w:szCs w:val="20"/>
          <w:color w:val="auto"/>
        </w:rPr>
        <w:t xml:space="preserve"> </w:t>
      </w:r>
      <w:r>
        <w:rPr>
          <w:rFonts w:ascii="Arial" w:cs="Arial" w:eastAsia="Arial" w:hAnsi="Arial"/>
          <w:sz w:val="20"/>
          <w:szCs w:val="20"/>
          <w:b w:val="1"/>
          <w:bCs w:val="1"/>
          <w:color w:val="auto"/>
        </w:rPr>
        <w:t>Compound Formulation</w:t>
      </w:r>
      <w:r>
        <w:rPr>
          <w:rFonts w:ascii="Arial" w:cs="Arial" w:eastAsia="Arial" w:hAnsi="Arial"/>
          <w:sz w:val="20"/>
          <w:szCs w:val="20"/>
          <w:color w:val="auto"/>
        </w:rPr>
        <w:t>”) is required for Clinical Studies for Hospitalized Patients, Roche may develop an IV Lead Compound</w:t>
      </w:r>
      <w:r>
        <w:rPr>
          <w:rFonts w:ascii="Arial" w:cs="Arial" w:eastAsia="Arial" w:hAnsi="Arial"/>
          <w:sz w:val="20"/>
          <w:szCs w:val="20"/>
          <w:b w:val="1"/>
          <w:bCs w:val="1"/>
          <w:color w:val="auto"/>
        </w:rPr>
        <w:t xml:space="preserve"> </w:t>
      </w:r>
      <w:r>
        <w:rPr>
          <w:rFonts w:ascii="Arial" w:cs="Arial" w:eastAsia="Arial" w:hAnsi="Arial"/>
          <w:sz w:val="20"/>
          <w:szCs w:val="20"/>
          <w:color w:val="auto"/>
        </w:rPr>
        <w:t>Formulation. [***]. To the extent the JSC does not endorse the development of an IV Lead Compound Formulation, then Roche may, at its own cost and expense, develop such IV Lead Compound Formulation. In each case, for [***], Atea will supply Roche with GMP API for use in the development of the formulation of the IV Lead Compound Formulation and for clinical supply of IV Lead Compound Formulation as provided in Section 8.1.</w:t>
      </w:r>
    </w:p>
    <w:p>
      <w:pPr>
        <w:spacing w:after="0" w:line="171"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9"/>
          <w:szCs w:val="19"/>
          <w:b w:val="1"/>
          <w:bCs w:val="1"/>
          <w:color w:val="auto"/>
        </w:rPr>
        <w:t>Development Records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Each Party shall maintain records of its activities under the Global Development Plan and for Clinical Studies, Post-Approval Commitment Studies and Phase IV Studies of Product conducted pursuant to this Agreement outside the Global Development Plan (or cause such records to be maintained) in sufficient detail and in good scientific manner as will properly reflect all work done and results achieved by or on behalf of such Party in the performance of the development.</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19"/>
          <w:szCs w:val="19"/>
          <w:b w:val="1"/>
          <w:bCs w:val="1"/>
          <w:color w:val="auto"/>
        </w:rPr>
        <w:t>Back-Up Compounds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JSC will evaluate from time to time whether any non-clinical or clinical studies should be conducted for Back-Up Compounds. If the JSC determines to pursue development of Back-Up Compounds for potential development if the Lead Compound demonstrates material safety or efficacy concerns, the Parties shall agree on an adjustment to the Global Development Plan and the Global Development Plan Budget to reflect such additional activities.</w:t>
      </w:r>
    </w:p>
    <w:p>
      <w:pPr>
        <w:spacing w:after="0" w:line="174" w:lineRule="exact"/>
        <w:rPr>
          <w:sz w:val="20"/>
          <w:szCs w:val="20"/>
          <w:color w:val="auto"/>
        </w:rPr>
      </w:pPr>
    </w:p>
    <w:p>
      <w:pPr>
        <w:ind w:left="420" w:hanging="412"/>
        <w:spacing w:after="0"/>
        <w:tabs>
          <w:tab w:leader="none" w:pos="42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9"/>
          <w:szCs w:val="19"/>
          <w:b w:val="1"/>
          <w:bCs w:val="1"/>
          <w:color w:val="auto"/>
        </w:rPr>
        <w:t>Responsibility</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Atea shall have the right and the responsibility for all regulatory affairs related to Products in the Atea Territory, including the preparation and filing of applications for Regulatory Approval (other than for manufacturing by Roche or its CMO or other Third Party manufacturer) in the Atea Territory (for clarity, for Unilateral Studies conducted by Roche in the Atea Territory, Atea shall transfer responsibility for the conduct of such studies to Roche). Roche shall have the right to participate in all regulatory interactions, as well as in the preparations therefor, as an observer, other than for Products for the Retained Indications, where permitted by such Regulatory Authority. All regulatory filings for all Products in all countries of the Atea Territory (other than regulatory filings for manufacturing by Roche or its CMO or other Third Party manufacturer) and all data related thereto shall be owned by Atea, its Affiliates or licensees.</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Atea shall also be solely responsible for all regulatory affairs related to the conduct of the Atea Ongoing Studies until hand-over of responsibility therefor to Roche as determined by the JSC, any Unilateral Studies conducted by Atea in the Roche Territory, and all Clinical Studies of Products in the Roche Territory for the Retained Indications. Atea shall provide reasonable advance notice of any meeting with any Regulatory Authority in the Roche Territory related to the Atea Ongoing Studies or Unilateral Studies conducted by Atea, and Roche shall have the right, at its own discretion, to participate in any such meeting with Regulatory Authorities in the Roche Territory.</w:t>
      </w:r>
    </w:p>
    <w:p>
      <w:pPr>
        <w:spacing w:after="0" w:line="19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Roche shall have the right and the responsibility for all regulatory affairs related to Products in the Roche Territory, including the preparation and filing of applications for Regulatory Approval in the Roche Territory (other than for Unilateral Studies, Clinical Studies for the Retained Indications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1" w:name="page122"/>
    <w:bookmarkEnd w:id="121"/>
    <w:p>
      <w:pPr>
        <w:jc w:val="both"/>
        <w:spacing w:after="0" w:line="229" w:lineRule="auto"/>
        <w:rPr>
          <w:sz w:val="20"/>
          <w:szCs w:val="20"/>
          <w:color w:val="auto"/>
        </w:rPr>
      </w:pPr>
      <w:r>
        <w:rPr>
          <w:rFonts w:ascii="Arial" w:cs="Arial" w:eastAsia="Arial" w:hAnsi="Arial"/>
          <w:sz w:val="20"/>
          <w:szCs w:val="20"/>
          <w:color w:val="auto"/>
        </w:rPr>
        <w:t>and, until hand-over of responsibility to Roche as determined by the JSC, Atea Ongoing Studies, in each case conducted by Atea in the Roche Territory). Atea shall have the right to participate in all regulatory interactions, as well as in the preparations therefor, as an observer, where permitted by such Regulatory Authority. All regulatory filings for all Products in all countries of the Roche Territory (other than regulatory filings for the Atea Ongoing Studies conducted by Atea in the Roche Territory prior to hand-over, and all Clinical Studies for the Retained Indications) and all data related thereto shall be owned by Roche, its Affiliates or licensees.</w:t>
      </w:r>
    </w:p>
    <w:p>
      <w:pPr>
        <w:spacing w:after="0" w:line="19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Roche shall also be solely responsible for all regulatory affairs related to the conduct of any Unilateral Studies conducted by Roche in the Atea Territory. Roche shall provide reasonable advance notice of any meeting with any Regulatory Authority in the Atea Territory related to the Unilateral Studies conducted by Roche, and Atea shall have the right, at its own discretion, to participate in any such meeting with Regulatory Authorities in the Atea Territory.</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At a date to be defined by the JSC, Atea shall transfer to Roche all (i) regulatory filings in its possession and control relating to the Product in the Field in the Roche Territory (other than for Unilateral Studies conducted by Atea in the Roche Territory, and Clinical Studies of Product in the Retained Indications in the Roche Territory), (ii) copies of all relevant historical clinical data for the Product in the Field in the Roche Territory, (iii) copies of all material correspondence with the Regulatory Authorities for the Product in the Field in the Roche Territory, (iv) copies of regulatory dossiers containing information necessary or useful to Roche in connection with its regulatory filings for all Products in the Field in the Roche Territory, including, but not limited to clinical trial dossiers, regulatory correspondence, Regulatory Authority meeting minutes and study reports from completed non-clinical and clinical studies, and (v) comprehensive electronic Clinical Study, Post-Approval Commitment Study and Phase IV Study data relevant to the Product in the Field in an appropriate format. For all completed study reports so transferred to Roche, Atea shall provide necessary documentation to confirm data reliability, including, but not limited to original author signatures, raw data lists, GLP and GCP compliance information. All documentation is to be provided in English. Atea shall assist Roche in conducting any required GMP audit related to the above-mentioned documentation. Roche shall have the right to use all data and documents provided to Roche under this paragraph in its own filings and interactions with Regulatory Authorities for the Product in the Field in the Roche Territory, and for Unilateral Studies conducted by Roche in the Atea Territory, also in the Atea Territory.</w:t>
      </w:r>
    </w:p>
    <w:p>
      <w:pPr>
        <w:spacing w:after="0" w:line="207"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From time to time as agreed by the JSC, Roche shall transfer to Atea (i) copies of all relevant historical clinical data for the Product in Roche’s possession or control, (ii) copies of all material correspondence with the Regulatory Authorities for the Product in the Field in the Roche Territory, (iii) copies of regulatory dossiers containing information necessary or useful to Atea in connection with its regulatory filings for all Products, including, but not limited to clinical trial dossiers, regulatory correspondence, Regulatory Authority meeting minutes and study reports from completed non-clinical and clinical studies, and</w:t>
      </w:r>
    </w:p>
    <w:p>
      <w:pPr>
        <w:spacing w:after="0" w:line="2" w:lineRule="exact"/>
        <w:rPr>
          <w:sz w:val="20"/>
          <w:szCs w:val="20"/>
          <w:color w:val="auto"/>
        </w:rPr>
      </w:pPr>
    </w:p>
    <w:p>
      <w:pPr>
        <w:jc w:val="both"/>
        <w:ind w:firstLine="8"/>
        <w:spacing w:after="0" w:line="228" w:lineRule="auto"/>
        <w:tabs>
          <w:tab w:leader="none" w:pos="381" w:val="left"/>
        </w:tabs>
        <w:numPr>
          <w:ilvl w:val="0"/>
          <w:numId w:val="78"/>
        </w:numPr>
        <w:rPr>
          <w:rFonts w:ascii="Arial" w:cs="Arial" w:eastAsia="Arial" w:hAnsi="Arial"/>
          <w:sz w:val="20"/>
          <w:szCs w:val="20"/>
          <w:color w:val="auto"/>
        </w:rPr>
      </w:pPr>
      <w:r>
        <w:rPr>
          <w:rFonts w:ascii="Arial" w:cs="Arial" w:eastAsia="Arial" w:hAnsi="Arial"/>
          <w:sz w:val="20"/>
          <w:szCs w:val="20"/>
          <w:color w:val="auto"/>
        </w:rPr>
        <w:t>comprehensive electronic Clinical Study, Post-Approval Commitment Study and Phase IV Study data relevant to the Products in an appropriate format. For all completed study reports so transferred to Atea, Roche shall provide necessary documentation to confirm data reliability, including, but not limited to original author signatures, raw data lists, GLP and GCP compliance information. Roche shall assist Atea in conducting any required GMP audit related to the above-mentioned documentation. Atea shall have the right to use all data and documents provided to Atea under this paragraph in its own filings and interactions with Regulatory Authorities for the Product in the Field in the Atea Territory, and for Unilateral Studies, Clinical Studies for the Retained Indications, and Atea Ongoing Studies until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0" w:lineRule="exact"/>
        <w:rPr>
          <w:rFonts w:ascii="Arial" w:cs="Arial" w:eastAsia="Arial" w:hAnsi="Arial"/>
          <w:sz w:val="20"/>
          <w:szCs w:val="20"/>
          <w:color w:val="auto"/>
        </w:rPr>
      </w:pPr>
    </w:p>
    <w:p>
      <w:pPr>
        <w:ind w:left="5520" w:hanging="127"/>
        <w:spacing w:after="0"/>
        <w:tabs>
          <w:tab w:leader="none" w:pos="5520" w:val="left"/>
        </w:tabs>
        <w:numPr>
          <w:ilvl w:val="1"/>
          <w:numId w:val="78"/>
        </w:numPr>
        <w:rPr>
          <w:rFonts w:ascii="Arial" w:cs="Arial" w:eastAsia="Arial" w:hAnsi="Arial"/>
          <w:sz w:val="20"/>
          <w:szCs w:val="20"/>
          <w:color w:val="auto"/>
        </w:rPr>
      </w:pPr>
      <w:r>
        <w:rPr>
          <w:rFonts w:ascii="Arial" w:cs="Arial" w:eastAsia="Arial" w:hAnsi="Arial"/>
          <w:sz w:val="20"/>
          <w:szCs w:val="20"/>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hand-over of responsibility to Roche, in each case conducted by Atea in the Roche Territory, also in the Roche Territory.</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 the event a Party cannot conduct regulatory activities independent of the other Party which would be needed to pursue Regulatory Approval of Products in the Roche Territory (for Roche) or the Atea Territory (for Atea), the other Party shall use Commercially Reasonable Efforts to assist the first Party and/or conduct any such regulatory activities on the first Party’s behalf at the first Party’s cost and expense.</w:t>
      </w:r>
    </w:p>
    <w:p>
      <w:pPr>
        <w:spacing w:after="0" w:line="19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Atea shall have, and Roche hereby grants to Atea, a right of reference and access to the regulatory filings for Product made by Roche in the Roche Territory, for the purpose of making regulatory filings in the Atea Territory for Product. Roche shall have, and Atea hereby grants to Roche, a right of reference and access to the regulatory filings for Product made by Atea in the Atea Territory, for the purpose of making regulatory filings in the Roche Territory for Product.</w:t>
      </w:r>
    </w:p>
    <w:p>
      <w:pPr>
        <w:spacing w:after="0" w:line="19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Notwithstanding the foregoing, Atea shall have the right and the responsibility for all regulatory affairs related to Products in the Territory for the Retained Indications, including the preparation and filing of applications for Regulatory Approval in the Retained Indications in the Territory.</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9"/>
          <w:szCs w:val="19"/>
          <w:b w:val="1"/>
          <w:bCs w:val="1"/>
          <w:color w:val="auto"/>
        </w:rPr>
        <w:t>Pharmacovigilance Agreement</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Parties shall execute a separate pharmacovigilance agreement as deemed applicable as soon as practicable after the Effective Date, but no later than the Initiation of the first Phase III Study in the Roche Territory or the first Regulatory Approval in the Roche Territory after the Effective Date (whichever comes first). Such pharmacovigilance agreement shall set forth the responsibilities and obligations of the Parties with respect to the procedures and timeframes for compliance with the applicable laws and regulations pertaining to safety reporting of the Product(s) and their related activities.</w:t>
      </w:r>
    </w:p>
    <w:p>
      <w:pPr>
        <w:spacing w:after="0" w:line="391" w:lineRule="exact"/>
        <w:rPr>
          <w:sz w:val="20"/>
          <w:szCs w:val="20"/>
          <w:color w:val="auto"/>
        </w:rPr>
      </w:pPr>
    </w:p>
    <w:p>
      <w:pPr>
        <w:ind w:left="420" w:hanging="412"/>
        <w:spacing w:after="0"/>
        <w:tabs>
          <w:tab w:leader="none" w:pos="42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Manufacture and Supply</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9"/>
          <w:szCs w:val="19"/>
          <w:b w:val="1"/>
          <w:bCs w:val="1"/>
          <w:color w:val="auto"/>
        </w:rPr>
        <w:t>Clinical Supply of Product and Technology Transfer</w:t>
      </w:r>
    </w:p>
    <w:p>
      <w:pPr>
        <w:spacing w:after="0" w:line="21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9"/>
          <w:szCs w:val="19"/>
          <w:color w:val="auto"/>
        </w:rPr>
        <w:t>[***] Manufacture and Supply by Atea</w:t>
      </w:r>
    </w:p>
    <w:p>
      <w:pPr>
        <w:jc w:val="both"/>
        <w:spacing w:after="0" w:line="225" w:lineRule="auto"/>
        <w:rPr>
          <w:sz w:val="20"/>
          <w:szCs w:val="20"/>
          <w:color w:val="auto"/>
        </w:rPr>
      </w:pPr>
      <w:r>
        <w:rPr>
          <w:rFonts w:ascii="Arial" w:cs="Arial" w:eastAsia="Arial" w:hAnsi="Arial"/>
          <w:sz w:val="20"/>
          <w:szCs w:val="20"/>
          <w:color w:val="auto"/>
        </w:rPr>
        <w:t>Atea shall have the responsibility for supplying API for technical development, as well as for clinical supply of the Products for the Field in the Territory for [***], and [***] of such supply by Atea, other than for the Atea Ongoing Studies and any Unilateral Study conducted by Atea, shall be [***]. Notwithstanding the foregoing, Roche will have the right to take over any part of the manufacture and supply of the Product for the Field in the Roche Territory at any time during [***]. The Parties will meet during</w:t>
      </w:r>
    </w:p>
    <w:p>
      <w:pPr>
        <w:spacing w:after="0" w:line="2" w:lineRule="exact"/>
        <w:rPr>
          <w:sz w:val="20"/>
          <w:szCs w:val="20"/>
          <w:color w:val="auto"/>
        </w:rPr>
      </w:pPr>
    </w:p>
    <w:p>
      <w:pPr>
        <w:ind w:right="20" w:firstLine="8"/>
        <w:spacing w:after="0" w:line="236" w:lineRule="auto"/>
        <w:tabs>
          <w:tab w:leader="none" w:pos="444" w:val="left"/>
        </w:tabs>
        <w:numPr>
          <w:ilvl w:val="0"/>
          <w:numId w:val="80"/>
        </w:numPr>
        <w:rPr>
          <w:rFonts w:ascii="Arial" w:cs="Arial" w:eastAsia="Arial" w:hAnsi="Arial"/>
          <w:sz w:val="20"/>
          <w:szCs w:val="20"/>
          <w:color w:val="auto"/>
        </w:rPr>
      </w:pPr>
      <w:r>
        <w:rPr>
          <w:rFonts w:ascii="Arial" w:cs="Arial" w:eastAsia="Arial" w:hAnsi="Arial"/>
          <w:sz w:val="20"/>
          <w:szCs w:val="20"/>
          <w:color w:val="auto"/>
        </w:rPr>
        <w:t>to discuss and decide on a hand-over plan of supply responsibilities in order to ensure a seamless continuation of manufacturing and supply beyond [***].</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9"/>
          <w:szCs w:val="19"/>
          <w:color w:val="auto"/>
        </w:rPr>
        <w:t>Manufacture and Supply after [***]</w:t>
      </w:r>
    </w:p>
    <w:p>
      <w:pPr>
        <w:spacing w:after="0" w:line="4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after [***], Atea will remain responsible, at its own expense, for the manufacture and supply of clinical supplies of the Products for any Unilateral Study conducted by Atea and any Atea Ongoing Studies, and Roche shall be responsible at its own expense for the manufacture and supply of clinical supplies of the Products for sites included in the Clinical Studies conducted pursuant to the Global Development Plan other than any Atea Ongoing Studies, and for all sites for any Unilateral Study conducted by Roche. Notwithstanding the foregoing, the Parties will use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3" w:name="page124"/>
    <w:bookmarkEnd w:id="123"/>
    <w:p>
      <w:pPr>
        <w:jc w:val="both"/>
        <w:spacing w:after="0" w:line="232" w:lineRule="auto"/>
        <w:rPr>
          <w:sz w:val="20"/>
          <w:szCs w:val="20"/>
          <w:color w:val="auto"/>
        </w:rPr>
      </w:pPr>
      <w:r>
        <w:rPr>
          <w:rFonts w:ascii="Arial" w:cs="Arial" w:eastAsia="Arial" w:hAnsi="Arial"/>
          <w:sz w:val="20"/>
          <w:szCs w:val="20"/>
          <w:color w:val="auto"/>
        </w:rPr>
        <w:t>Commercially Reasonable Efforts to ensure that the clinical supply of Products for use in the Field is obtained in a manner that is cost efficient and practical, which may include utilizing the other Party or the other Party’s CMO or other Third Manufacturer, as applicable.</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8.1.3</w:t>
      </w:r>
      <w:r>
        <w:rPr>
          <w:sz w:val="20"/>
          <w:szCs w:val="20"/>
          <w:color w:val="auto"/>
        </w:rPr>
        <w:tab/>
      </w:r>
      <w:r>
        <w:rPr>
          <w:rFonts w:ascii="Arial" w:cs="Arial" w:eastAsia="Arial" w:hAnsi="Arial"/>
          <w:sz w:val="19"/>
          <w:szCs w:val="19"/>
          <w:color w:val="auto"/>
        </w:rPr>
        <w:t>First Generation Process Technology Transfer</w:t>
      </w:r>
    </w:p>
    <w:p>
      <w:pPr>
        <w:jc w:val="both"/>
        <w:spacing w:after="0" w:line="232" w:lineRule="auto"/>
        <w:rPr>
          <w:sz w:val="20"/>
          <w:szCs w:val="20"/>
          <w:color w:val="auto"/>
        </w:rPr>
      </w:pPr>
      <w:r>
        <w:rPr>
          <w:rFonts w:ascii="Arial" w:cs="Arial" w:eastAsia="Arial" w:hAnsi="Arial"/>
          <w:sz w:val="20"/>
          <w:szCs w:val="20"/>
          <w:color w:val="auto"/>
        </w:rPr>
        <w:t>Atea shall initiate within [***] days of the Effective Date a technology transfer to Roche in accordance with the plan set forth in Appendix 8.1.3 (as may be revised by mutual consent of the Parties) to enable Roche (or Roche’s designee(s)) to manufacture Compounds and Products using the First Generation Process.</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9"/>
          <w:szCs w:val="19"/>
          <w:color w:val="auto"/>
        </w:rPr>
        <w:t>Second Generation Process Technology Transfer</w:t>
      </w:r>
    </w:p>
    <w:p>
      <w:pPr>
        <w:jc w:val="both"/>
        <w:spacing w:after="0" w:line="239" w:lineRule="auto"/>
        <w:rPr>
          <w:sz w:val="20"/>
          <w:szCs w:val="20"/>
          <w:color w:val="auto"/>
        </w:rPr>
      </w:pPr>
      <w:r>
        <w:rPr>
          <w:rFonts w:ascii="Arial" w:cs="Arial" w:eastAsia="Arial" w:hAnsi="Arial"/>
          <w:sz w:val="19"/>
          <w:szCs w:val="19"/>
          <w:color w:val="auto"/>
        </w:rPr>
        <w:t>In addition, within [***] days after completion of the Early Second Generation Process Development for the Second Generation Process, Atea shall initiate substantially the same technology transfer to Roche with respect to the Second Generation Process to enable Roche (or Roche’s designee(s)) to conduct the Later Process Development for the Second Generation Process in accordance with a mutually agreed technology transfer plan. Atea shall inform Roche regularly at the JMC about its development efforts regarding the Second Generation Process, including about Atea's interactions with Third Parties that are involved in such development efforts. In addition, and upon Roche’s request, Atea shall provide Roche with all information and documents regarding such development efforts. In case the JSC decides to use the Second Generation Process for commercial supply, Atea shall complete within [***] days substantially the same technology transfer to Roche as for the First Generation Process with respect to the Second Generation Process to enable Roche (or Roche’s designee(s)) to conduct the Later Process Development for the Second Generation Process in accordance with a mutually agreed technology transfer plan.</w:t>
      </w:r>
    </w:p>
    <w:p>
      <w:pPr>
        <w:spacing w:after="0" w:line="18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8.1.5</w:t>
      </w:r>
      <w:r>
        <w:rPr>
          <w:sz w:val="20"/>
          <w:szCs w:val="20"/>
          <w:color w:val="auto"/>
        </w:rPr>
        <w:tab/>
      </w:r>
      <w:r>
        <w:rPr>
          <w:rFonts w:ascii="Arial" w:cs="Arial" w:eastAsia="Arial" w:hAnsi="Arial"/>
          <w:sz w:val="19"/>
          <w:szCs w:val="19"/>
          <w:color w:val="auto"/>
        </w:rPr>
        <w:t>Costs and Expenses of Technology Transfer</w:t>
      </w:r>
    </w:p>
    <w:p>
      <w:pPr>
        <w:spacing w:after="0"/>
        <w:rPr>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b w:val="1"/>
          <w:bCs w:val="1"/>
          <w:color w:val="auto"/>
        </w:rPr>
        <w:t>Commercial Supply of Products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Roche shall be responsible for the manufacture of commercial supplies of the Product for use in the Field in the Territory. Atea shall order all commercial supplies of the Product for use in the Field for the Atea Territory from Roche. Unless otherwise agreed by the Parties, within [***] days after the Effective Date, the Parties will negotiate in good faith and enter into a written supply agreement for the commercial supply of Products for use in the Field by Roche to Atea, with a related quality agreement providing for commercial supply of Product for use in the Field by Roche to Atea as the primary supplier and on the terms set forth in Appendix 8.2 hereto and other reasonable and customary terms (the “</w:t>
      </w:r>
      <w:r>
        <w:rPr>
          <w:rFonts w:ascii="Arial" w:cs="Arial" w:eastAsia="Arial" w:hAnsi="Arial"/>
          <w:sz w:val="20"/>
          <w:szCs w:val="20"/>
          <w:b w:val="1"/>
          <w:bCs w:val="1"/>
          <w:color w:val="auto"/>
        </w:rPr>
        <w:t>Supply Agreement</w:t>
      </w:r>
      <w:r>
        <w:rPr>
          <w:rFonts w:ascii="Arial" w:cs="Arial" w:eastAsia="Arial" w:hAnsi="Arial"/>
          <w:sz w:val="20"/>
          <w:szCs w:val="20"/>
          <w:color w:val="auto"/>
        </w:rPr>
        <w:t>”).</w:t>
      </w:r>
    </w:p>
    <w:p>
      <w:pPr>
        <w:spacing w:after="0" w:line="19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Promptly after the Effective Date, each Party will prepare an initial good faith [***] rolling forecast of its demand, split into [***] buckets, in the Atea Territory or the Roche Territory (as applicable) for the Product for commercialization purposes in the Field (each a “</w:t>
      </w:r>
      <w:r>
        <w:rPr>
          <w:rFonts w:ascii="Arial" w:cs="Arial" w:eastAsia="Arial" w:hAnsi="Arial"/>
          <w:sz w:val="20"/>
          <w:szCs w:val="20"/>
          <w:b w:val="1"/>
          <w:bCs w:val="1"/>
          <w:color w:val="auto"/>
        </w:rPr>
        <w:t>Demand Forecast Plan</w:t>
      </w:r>
      <w:r>
        <w:rPr>
          <w:rFonts w:ascii="Arial" w:cs="Arial" w:eastAsia="Arial" w:hAnsi="Arial"/>
          <w:sz w:val="20"/>
          <w:szCs w:val="20"/>
          <w:color w:val="auto"/>
        </w:rPr>
        <w:t>”). The Parties shall discuss and align the Demand Forecast Plans for consolidation to be presented and approved at the JSC.</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In the event of a Roche Inability to Supply, following discussion between the Parties, solely during the pendency of such Roche Inability to Supply (unless otherwise agreed by the Parties, such agreement not to be unreasonably withheld), Atea may engage its own CMO(s) for commercial supply of the Product for use in the Field for the Atea Territory to the extent in accordance with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4" w:name="page125"/>
    <w:bookmarkEnd w:id="124"/>
    <w:p>
      <w:pPr>
        <w:jc w:val="both"/>
        <w:spacing w:after="0" w:line="236" w:lineRule="auto"/>
        <w:rPr>
          <w:sz w:val="20"/>
          <w:szCs w:val="20"/>
          <w:color w:val="auto"/>
        </w:rPr>
      </w:pPr>
      <w:r>
        <w:rPr>
          <w:rFonts w:ascii="Arial" w:cs="Arial" w:eastAsia="Arial" w:hAnsi="Arial"/>
          <w:sz w:val="20"/>
          <w:szCs w:val="20"/>
          <w:color w:val="auto"/>
        </w:rPr>
        <w:t>the Demand Forecast Plan and according to Roche’s Safety, Security, Health and Environmental Protection (SHE) and GMP standards.</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9"/>
          <w:szCs w:val="19"/>
          <w:b w:val="1"/>
          <w:bCs w:val="1"/>
          <w:color w:val="auto"/>
        </w:rPr>
        <w:t>Manufacturing Process Development and Specifications</w:t>
      </w:r>
    </w:p>
    <w:p>
      <w:pPr>
        <w:spacing w:after="0" w:line="21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8.3.1</w:t>
      </w:r>
      <w:r>
        <w:rPr>
          <w:sz w:val="20"/>
          <w:szCs w:val="20"/>
          <w:color w:val="auto"/>
        </w:rPr>
        <w:tab/>
      </w:r>
      <w:r>
        <w:rPr>
          <w:rFonts w:ascii="Arial" w:cs="Arial" w:eastAsia="Arial" w:hAnsi="Arial"/>
          <w:sz w:val="19"/>
          <w:szCs w:val="19"/>
          <w:color w:val="auto"/>
        </w:rPr>
        <w:t>Early Second Generation Process Development</w:t>
      </w:r>
    </w:p>
    <w:p>
      <w:pPr>
        <w:jc w:val="both"/>
        <w:spacing w:after="0" w:line="229" w:lineRule="auto"/>
        <w:rPr>
          <w:sz w:val="20"/>
          <w:szCs w:val="20"/>
          <w:color w:val="auto"/>
        </w:rPr>
      </w:pPr>
      <w:r>
        <w:rPr>
          <w:rFonts w:ascii="Arial" w:cs="Arial" w:eastAsia="Arial" w:hAnsi="Arial"/>
          <w:sz w:val="20"/>
          <w:szCs w:val="20"/>
          <w:color w:val="auto"/>
        </w:rPr>
        <w:t>Atea shall have the responsibility at its own expense for the development of the Second Generation Process until the manufacture of a batch of at least [***] of Drug Substance is achieved, consisting of [***], using the Second Generation Process and meeting the applicable Specifications (the “</w:t>
      </w:r>
      <w:r>
        <w:rPr>
          <w:rFonts w:ascii="Arial" w:cs="Arial" w:eastAsia="Arial" w:hAnsi="Arial"/>
          <w:sz w:val="20"/>
          <w:szCs w:val="20"/>
          <w:b w:val="1"/>
          <w:bCs w:val="1"/>
          <w:color w:val="auto"/>
        </w:rPr>
        <w:t>Early Second Generation Process Development</w:t>
      </w:r>
      <w:r>
        <w:rPr>
          <w:rFonts w:ascii="Arial" w:cs="Arial" w:eastAsia="Arial" w:hAnsi="Arial"/>
          <w:sz w:val="20"/>
          <w:szCs w:val="20"/>
          <w:color w:val="auto"/>
        </w:rPr>
        <w:t>”). Roche will cooperate with and provide reasonable consultative and in-kind support of such Early Second Generation Process Development at its own expense.</w:t>
      </w:r>
    </w:p>
    <w:p>
      <w:pPr>
        <w:spacing w:after="0" w:line="199"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8.3.2 First Generation Process Development, Later Second Generation Process Development and Commercial Scale-Up Subject to Atea’s technology transfer obligations pursuant to Section 8.1.3, Roche shall have the responsibility [***] for (a) any further development and scale-up of the First Generation Process (“</w:t>
      </w:r>
      <w:r>
        <w:rPr>
          <w:rFonts w:ascii="Arial" w:cs="Arial" w:eastAsia="Arial" w:hAnsi="Arial"/>
          <w:sz w:val="20"/>
          <w:szCs w:val="20"/>
          <w:b w:val="1"/>
          <w:bCs w:val="1"/>
          <w:color w:val="auto"/>
        </w:rPr>
        <w:t>First Generation Process Development</w:t>
      </w:r>
      <w:r>
        <w:rPr>
          <w:rFonts w:ascii="Arial" w:cs="Arial" w:eastAsia="Arial" w:hAnsi="Arial"/>
          <w:sz w:val="20"/>
          <w:szCs w:val="20"/>
          <w:color w:val="auto"/>
        </w:rPr>
        <w:t>”), (b) the development and scale-up of the Second Generation Process after the Early Second Generation Process Development (the “</w:t>
      </w:r>
      <w:r>
        <w:rPr>
          <w:rFonts w:ascii="Arial" w:cs="Arial" w:eastAsia="Arial" w:hAnsi="Arial"/>
          <w:sz w:val="20"/>
          <w:szCs w:val="20"/>
          <w:b w:val="1"/>
          <w:bCs w:val="1"/>
          <w:color w:val="auto"/>
        </w:rPr>
        <w:t>Later Second Generation Process Development</w:t>
      </w:r>
      <w:r>
        <w:rPr>
          <w:rFonts w:ascii="Arial" w:cs="Arial" w:eastAsia="Arial" w:hAnsi="Arial"/>
          <w:sz w:val="20"/>
          <w:szCs w:val="20"/>
          <w:color w:val="auto"/>
        </w:rPr>
        <w:t>”), and (c) scale-up of global commercial manufacturing of Drug Product (“</w:t>
      </w:r>
      <w:r>
        <w:rPr>
          <w:rFonts w:ascii="Arial" w:cs="Arial" w:eastAsia="Arial" w:hAnsi="Arial"/>
          <w:sz w:val="20"/>
          <w:szCs w:val="20"/>
          <w:b w:val="1"/>
          <w:bCs w:val="1"/>
          <w:color w:val="auto"/>
        </w:rPr>
        <w:t>Commercial Scale-Up</w:t>
      </w:r>
      <w:r>
        <w:rPr>
          <w:rFonts w:ascii="Arial" w:cs="Arial" w:eastAsia="Arial" w:hAnsi="Arial"/>
          <w:sz w:val="20"/>
          <w:szCs w:val="20"/>
          <w:color w:val="auto"/>
        </w:rPr>
        <w:t>”). Atea will cooperate with and provide reasonable consultative and in-kind support of such First Generation Process Development, Later Second Generation Process Development and Commercial Scale-Up [***].</w:t>
      </w:r>
    </w:p>
    <w:p>
      <w:pPr>
        <w:spacing w:after="0" w:line="19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8.3.3</w:t>
      </w:r>
      <w:r>
        <w:rPr>
          <w:sz w:val="20"/>
          <w:szCs w:val="20"/>
          <w:color w:val="auto"/>
        </w:rPr>
        <w:tab/>
      </w:r>
      <w:r>
        <w:rPr>
          <w:rFonts w:ascii="Arial" w:cs="Arial" w:eastAsia="Arial" w:hAnsi="Arial"/>
          <w:sz w:val="19"/>
          <w:szCs w:val="19"/>
          <w:color w:val="auto"/>
        </w:rPr>
        <w:t>Specifications</w:t>
      </w:r>
    </w:p>
    <w:p>
      <w:pPr>
        <w:spacing w:after="0" w:line="4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The Parties will mutually agree in good faith on the manufacturing and release specifications, including without limitation testing methods and acceptance criteria, for Drug Substance and Drug Product, for each of the First Generation Process and the Second Generation Process (for the Second Generation Process as further specified in Appendix 8.3.3), in each case as updated by the JSC from time to time (the </w:t>
      </w:r>
      <w:r>
        <w:rPr>
          <w:rFonts w:ascii="Arial" w:cs="Arial" w:eastAsia="Arial" w:hAnsi="Arial"/>
          <w:sz w:val="20"/>
          <w:szCs w:val="20"/>
          <w:b w:val="1"/>
          <w:bCs w:val="1"/>
          <w:color w:val="auto"/>
        </w:rPr>
        <w:t>“Specifications</w:t>
      </w:r>
      <w:r>
        <w:rPr>
          <w:rFonts w:ascii="Arial" w:cs="Arial" w:eastAsia="Arial" w:hAnsi="Arial"/>
          <w:sz w:val="20"/>
          <w:szCs w:val="20"/>
          <w:color w:val="auto"/>
        </w:rPr>
        <w:t>”). Each Party shall be solely responsible for establishing the specifications for packaging and labeling of finished Drug Product in its Respective Territory.</w:t>
      </w:r>
    </w:p>
    <w:p>
      <w:pPr>
        <w:spacing w:after="0" w:line="19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8.3.4</w:t>
      </w:r>
      <w:r>
        <w:rPr>
          <w:sz w:val="20"/>
          <w:szCs w:val="20"/>
          <w:color w:val="auto"/>
        </w:rPr>
        <w:tab/>
      </w:r>
      <w:r>
        <w:rPr>
          <w:rFonts w:ascii="Arial" w:cs="Arial" w:eastAsia="Arial" w:hAnsi="Arial"/>
          <w:sz w:val="19"/>
          <w:szCs w:val="19"/>
          <w:color w:val="auto"/>
        </w:rPr>
        <w:t>Decision Making</w:t>
      </w:r>
    </w:p>
    <w:p>
      <w:pPr>
        <w:spacing w:after="0" w:line="4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Parties will collaborate and strive for consensus decision making on matters relating to First Generation Process Development, Early Second Generation Process Development, Later Second Generation Process Development, Commercial Scale-Up, Specifications and the choice of whether to use the First Generation Process or Second Generation Process for commercial manufacturing of Drug Substance, through the JMC. If the Parties are unable to agree on any such matters, the matter will be escalated to the JSC.</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9"/>
          <w:szCs w:val="19"/>
          <w:b w:val="1"/>
          <w:bCs w:val="1"/>
          <w:color w:val="auto"/>
        </w:rPr>
        <w:t>Supply for Retained Indications</w:t>
      </w:r>
    </w:p>
    <w:p>
      <w:pPr>
        <w:spacing w:after="0" w:line="1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Notwithstanding anything to the contrary in this Article 8, Atea shall have the sole right and responsibility for the supply of Compound and Product in the Territory for the Retained Indications at its own cost, unless the Parties otherwise agree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5" w:name="page126"/>
    <w:bookmarkEnd w:id="125"/>
    <w:p>
      <w:pPr>
        <w:ind w:left="420" w:hanging="412"/>
        <w:spacing w:after="0"/>
        <w:tabs>
          <w:tab w:leader="none" w:pos="42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w:t>
      </w:r>
    </w:p>
    <w:p>
      <w:pPr>
        <w:spacing w:after="0" w:line="4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9"/>
          <w:szCs w:val="19"/>
          <w:b w:val="1"/>
          <w:bCs w:val="1"/>
          <w:color w:val="auto"/>
        </w:rPr>
        <w:t>Responsibility</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Roche, at its own expense, shall have the sole responsibility and decision-making authority for the marketing, promotion, sale and distribution of Products in the Field in the Roche Territory.</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Atea, at its own expense, shall have the sole responsibility and decision-making authority for the marketing, promotion, sale and distribution of Products in the Atea Territory (subject to Section 2.3 and any Co-Promotion Agreement).</w:t>
      </w:r>
    </w:p>
    <w:p>
      <w:pPr>
        <w:spacing w:after="0" w:line="19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JOC will review the Parties’ commercialization plans for their Respective Territories for Product for use in the Field, to monitor brand messaging and to make recommendations for consistency and optimization of such messaging. Atea shall in good faith consider reasonable comments from Roche relating to commercialization plans for the Product in the Field in the Atea Territory, made through the JOC or JSC.</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9"/>
          <w:szCs w:val="19"/>
          <w:b w:val="1"/>
          <w:bCs w:val="1"/>
          <w:color w:val="auto"/>
        </w:rPr>
        <w:t>Pricing</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Parties will consider in good faith any global guidelines and strategy for pricing agreed to by the JSC (which shall be non-binding) in establishing pricing of Products. Notwithstanding any provision to the contrary set forth in this Agreement, all decisions for each Product related to any pricing matter, including list price, targeted net pricing, sales-weighted average discounts and rebates, pricing strategy (including the approach to pricing with different types of accounts and plans, including types of discounts and rebates), any non-U.S. equivalents of all of the foregoing, and modifications to any of the foregoing, will be solely made by (a) Roche for the Roche Territory and (b) Atea for the Atea Territory.</w:t>
      </w:r>
    </w:p>
    <w:p>
      <w:pPr>
        <w:spacing w:after="0" w:line="171"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9"/>
          <w:szCs w:val="19"/>
          <w:b w:val="1"/>
          <w:bCs w:val="1"/>
          <w:color w:val="auto"/>
        </w:rPr>
        <w:t>Diligence</w:t>
      </w:r>
    </w:p>
    <w:p>
      <w:pPr>
        <w:spacing w:after="0" w:line="10" w:lineRule="exact"/>
        <w:rPr>
          <w:sz w:val="20"/>
          <w:szCs w:val="20"/>
          <w:color w:val="auto"/>
        </w:rPr>
      </w:pPr>
    </w:p>
    <w:p>
      <w:pPr>
        <w:jc w:val="both"/>
        <w:spacing w:after="0"/>
        <w:rPr>
          <w:sz w:val="20"/>
          <w:szCs w:val="20"/>
          <w:color w:val="auto"/>
        </w:rPr>
      </w:pPr>
      <w:r>
        <w:rPr>
          <w:rFonts w:ascii="Arial" w:cs="Arial" w:eastAsia="Arial" w:hAnsi="Arial"/>
          <w:sz w:val="19"/>
          <w:szCs w:val="19"/>
          <w:color w:val="auto"/>
        </w:rPr>
        <w:t>Roche shall use Commercially Reasonable Efforts to pursue further development and commercialization of Products in the Field in the Roche Territory (other than for the Retained Indications, unless and until the Parties enter into an amendment pursuant to Section 2.1.4). Atea shall use Commercially Reasonable Efforts to pursue further development (and commercialization, in case Atea exercises its Co-Promotion Option) of Products in the Field in the Atea Territory (other than for the Retained Indications). Roche shall be deemed to use Commercially Reasonable Efforts if Roche develops and commercializes at least one Product in at least one Indication. Roche (and its Affiliates) shall not be obliged to seek to market such Product in every country or seek to obtain Regulatory Approval in every country of the Roche Territory. As a result, the exercise of diligence by Roche is to be determined by judging Roche’s Commercially Reasonable Efforts in the Roche Territory, taken as a whole.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Payment</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9"/>
          <w:szCs w:val="19"/>
          <w:b w:val="1"/>
          <w:bCs w:val="1"/>
          <w:color w:val="auto"/>
        </w:rPr>
        <w:t>Initiation Payment</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Within [***] days after the Effective Date and receipt of an invoice from Atea, Roche shall pay to Atea three hundred and fifty million US Dollars (US$ 350,000,000).</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9"/>
          <w:szCs w:val="19"/>
          <w:b w:val="1"/>
          <w:bCs w:val="1"/>
          <w:color w:val="auto"/>
        </w:rPr>
        <w:t>Development and Regulatory Event Payments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Roche shall pay up to a total of three hundred and thirty million US Dollars (US$ 330,000,000) in relation to the achievement of development and regulatory events with respect to Products.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26" w:name="page127"/>
    <w:bookmarkEnd w:id="126"/>
    <w:p>
      <w:pPr>
        <w:jc w:val="both"/>
        <w:spacing w:after="0" w:line="236" w:lineRule="auto"/>
        <w:rPr>
          <w:sz w:val="20"/>
          <w:szCs w:val="20"/>
          <w:color w:val="auto"/>
        </w:rPr>
      </w:pPr>
      <w:r>
        <w:rPr>
          <w:rFonts w:ascii="Arial" w:cs="Arial" w:eastAsia="Arial" w:hAnsi="Arial"/>
          <w:sz w:val="20"/>
          <w:szCs w:val="20"/>
          <w:color w:val="auto"/>
        </w:rPr>
        <w:t>development and regulatory event payments under this Section 10.2 shall be paid by Roche according to the following schedule of development and regulatory events:</w:t>
      </w:r>
    </w:p>
    <w:p>
      <w:pPr>
        <w:spacing w:after="0" w:line="179" w:lineRule="exact"/>
        <w:rPr>
          <w:sz w:val="20"/>
          <w:szCs w:val="20"/>
          <w:color w:val="auto"/>
        </w:rPr>
      </w:pPr>
    </w:p>
    <w:tbl>
      <w:tblPr>
        <w:tblLayout w:type="fixed"/>
        <w:tblInd w:w="710" w:type="dxa"/>
        <w:tblCellMar>
          <w:top w:w="0" w:type="dxa"/>
          <w:left w:w="0" w:type="dxa"/>
          <w:bottom w:w="0" w:type="dxa"/>
          <w:right w:w="0" w:type="dxa"/>
        </w:tblCellMar>
      </w:tblPr>
      <w:tr>
        <w:trPr>
          <w:trHeight w:val="229"/>
        </w:trPr>
        <w:tc>
          <w:tcPr>
            <w:tcW w:w="67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Development and Regulatory Event</w:t>
            </w:r>
          </w:p>
        </w:tc>
        <w:tc>
          <w:tcPr>
            <w:tcW w:w="31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US Dollars (in millions)</w:t>
            </w:r>
          </w:p>
        </w:tc>
      </w:tr>
      <w:tr>
        <w:trPr>
          <w:trHeight w:val="210"/>
        </w:trPr>
        <w:tc>
          <w:tcPr>
            <w:tcW w:w="67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50</w:t>
            </w:r>
          </w:p>
        </w:tc>
      </w:tr>
      <w:tr>
        <w:trPr>
          <w:trHeight w:val="209"/>
        </w:trPr>
        <w:tc>
          <w:tcPr>
            <w:tcW w:w="67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r>
      <w:tr>
        <w:trPr>
          <w:trHeight w:val="209"/>
        </w:trPr>
        <w:tc>
          <w:tcPr>
            <w:tcW w:w="67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r>
      <w:tr>
        <w:trPr>
          <w:trHeight w:val="210"/>
        </w:trPr>
        <w:tc>
          <w:tcPr>
            <w:tcW w:w="67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r>
      <w:tr>
        <w:trPr>
          <w:trHeight w:val="209"/>
        </w:trPr>
        <w:tc>
          <w:tcPr>
            <w:tcW w:w="67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r>
      <w:tr>
        <w:trPr>
          <w:trHeight w:val="209"/>
        </w:trPr>
        <w:tc>
          <w:tcPr>
            <w:tcW w:w="67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r>
      <w:tr>
        <w:trPr>
          <w:trHeight w:val="210"/>
        </w:trPr>
        <w:tc>
          <w:tcPr>
            <w:tcW w:w="67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r>
      <w:tr>
        <w:trPr>
          <w:trHeight w:val="209"/>
        </w:trPr>
        <w:tc>
          <w:tcPr>
            <w:tcW w:w="67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r>
      <w:tr>
        <w:trPr>
          <w:trHeight w:val="20"/>
        </w:trPr>
        <w:tc>
          <w:tcPr>
            <w:tcW w:w="6720" w:type="dxa"/>
            <w:vAlign w:val="bottom"/>
            <w:tcBorders>
              <w:left w:val="single" w:sz="8" w:color="auto"/>
              <w:bottom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6720" w:type="dxa"/>
            <w:vAlign w:val="bottom"/>
            <w:tcBorders>
              <w:left w:val="single" w:sz="8" w:color="auto"/>
              <w:bottom w:val="single" w:sz="8" w:color="auto"/>
              <w:right w:val="single" w:sz="8" w:color="auto"/>
            </w:tcBorders>
          </w:tcPr>
          <w:p>
            <w:pPr>
              <w:ind w:left="120"/>
              <w:spacing w:after="0" w:line="197" w:lineRule="exact"/>
              <w:rPr>
                <w:sz w:val="20"/>
                <w:szCs w:val="20"/>
                <w:color w:val="auto"/>
              </w:rPr>
            </w:pPr>
            <w:r>
              <w:rPr>
                <w:rFonts w:ascii="Arial" w:cs="Arial" w:eastAsia="Arial" w:hAnsi="Arial"/>
                <w:sz w:val="20"/>
                <w:szCs w:val="20"/>
                <w:b w:val="1"/>
                <w:bCs w:val="1"/>
                <w:color w:val="auto"/>
              </w:rPr>
              <w:t>Total potential development and regulatory event payments:</w:t>
            </w:r>
          </w:p>
        </w:tc>
        <w:tc>
          <w:tcPr>
            <w:tcW w:w="3120" w:type="dxa"/>
            <w:vAlign w:val="bottom"/>
            <w:tcBorders>
              <w:bottom w:val="single" w:sz="8" w:color="auto"/>
              <w:right w:val="single" w:sz="8" w:color="auto"/>
            </w:tcBorders>
          </w:tcPr>
          <w:p>
            <w:pPr>
              <w:jc w:val="center"/>
              <w:spacing w:after="0" w:line="197" w:lineRule="exact"/>
              <w:rPr>
                <w:sz w:val="20"/>
                <w:szCs w:val="20"/>
                <w:color w:val="auto"/>
              </w:rPr>
            </w:pPr>
            <w:r>
              <w:rPr>
                <w:rFonts w:ascii="Arial" w:cs="Arial" w:eastAsia="Arial" w:hAnsi="Arial"/>
                <w:sz w:val="20"/>
                <w:szCs w:val="20"/>
                <w:b w:val="1"/>
                <w:bCs w:val="1"/>
                <w:color w:val="auto"/>
                <w:w w:val="95"/>
              </w:rPr>
              <w:t>330</w:t>
            </w:r>
          </w:p>
        </w:tc>
      </w:tr>
    </w:tbl>
    <w:p>
      <w:pPr>
        <w:spacing w:after="0" w:line="21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Each development and regulatory event payment shall be paid only once, the first time that any Product reaches the applicable triggering event and receipt of an invoice, regardless of the number of times such events are reached and by how many Products, subject to Section 10.5.</w:t>
      </w:r>
    </w:p>
    <w:p>
      <w:pPr>
        <w:spacing w:after="0" w:line="19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Upon reaching development and regulatory events (or in the case of manufacture by Atea of a Qualifying Second Generation Batch, receipt of notice by Roche from Atea that Atea has reached such development and regulatory event and confirmation by Roche of the same), Roche shall notify Atea within [***] days of the achievement of each milestone event described in this Section 10.2 and shall be paid by Roche to Atea within [***] days after receipt of an invoice from Atea.</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9"/>
          <w:szCs w:val="19"/>
          <w:b w:val="1"/>
          <w:bCs w:val="1"/>
          <w:color w:val="auto"/>
        </w:rPr>
        <w:t>Sales Based Events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Roche shall pay to Atea up to a total of three hundred and twenty million US Dollars (US$ 320,000,000) based on Calendar Year Net Sales of a Product in the Roche Royalty Territory:</w:t>
      </w:r>
    </w:p>
    <w:p>
      <w:pPr>
        <w:spacing w:after="0" w:line="179" w:lineRule="exact"/>
        <w:rPr>
          <w:sz w:val="20"/>
          <w:szCs w:val="20"/>
          <w:color w:val="auto"/>
        </w:rPr>
      </w:pPr>
    </w:p>
    <w:tbl>
      <w:tblPr>
        <w:tblLayout w:type="fixed"/>
        <w:tblInd w:w="710" w:type="dxa"/>
        <w:tblCellMar>
          <w:top w:w="0" w:type="dxa"/>
          <w:left w:w="0" w:type="dxa"/>
          <w:bottom w:w="0" w:type="dxa"/>
          <w:right w:w="0" w:type="dxa"/>
        </w:tblCellMar>
      </w:tblPr>
      <w:tr>
        <w:trPr>
          <w:trHeight w:val="229"/>
        </w:trPr>
        <w:tc>
          <w:tcPr>
            <w:tcW w:w="67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Sales-Based Event</w:t>
            </w:r>
          </w:p>
        </w:tc>
        <w:tc>
          <w:tcPr>
            <w:tcW w:w="3120" w:type="dxa"/>
            <w:vAlign w:val="bottom"/>
            <w:tcBorders>
              <w:top w:val="single" w:sz="8" w:color="auto"/>
              <w:bottom w:val="single" w:sz="8" w:color="auto"/>
              <w:right w:val="single" w:sz="8" w:color="auto"/>
            </w:tcBorders>
          </w:tcPr>
          <w:p>
            <w:pPr>
              <w:jc w:val="right"/>
              <w:ind w:right="761"/>
              <w:spacing w:after="0"/>
              <w:rPr>
                <w:sz w:val="20"/>
                <w:szCs w:val="20"/>
                <w:color w:val="auto"/>
              </w:rPr>
            </w:pPr>
            <w:r>
              <w:rPr>
                <w:rFonts w:ascii="Arial" w:cs="Arial" w:eastAsia="Arial" w:hAnsi="Arial"/>
                <w:sz w:val="20"/>
                <w:szCs w:val="20"/>
                <w:b w:val="1"/>
                <w:bCs w:val="1"/>
                <w:color w:val="auto"/>
              </w:rPr>
              <w:t>US Dollars (in millions)</w:t>
            </w:r>
          </w:p>
        </w:tc>
      </w:tr>
      <w:tr>
        <w:trPr>
          <w:trHeight w:val="210"/>
        </w:trPr>
        <w:tc>
          <w:tcPr>
            <w:tcW w:w="67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jc w:val="right"/>
              <w:ind w:right="1301"/>
              <w:spacing w:after="0" w:line="209" w:lineRule="exact"/>
              <w:rPr>
                <w:sz w:val="20"/>
                <w:szCs w:val="20"/>
                <w:color w:val="auto"/>
              </w:rPr>
            </w:pPr>
            <w:r>
              <w:rPr>
                <w:rFonts w:ascii="Arial" w:cs="Arial" w:eastAsia="Arial" w:hAnsi="Arial"/>
                <w:sz w:val="20"/>
                <w:szCs w:val="20"/>
                <w:color w:val="auto"/>
              </w:rPr>
              <w:t>[***]</w:t>
            </w:r>
          </w:p>
        </w:tc>
      </w:tr>
      <w:tr>
        <w:trPr>
          <w:trHeight w:val="210"/>
        </w:trPr>
        <w:tc>
          <w:tcPr>
            <w:tcW w:w="67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jc w:val="right"/>
              <w:ind w:right="1301"/>
              <w:spacing w:after="0" w:line="209" w:lineRule="exact"/>
              <w:rPr>
                <w:sz w:val="20"/>
                <w:szCs w:val="20"/>
                <w:color w:val="auto"/>
              </w:rPr>
            </w:pPr>
            <w:r>
              <w:rPr>
                <w:rFonts w:ascii="Arial" w:cs="Arial" w:eastAsia="Arial" w:hAnsi="Arial"/>
                <w:sz w:val="20"/>
                <w:szCs w:val="20"/>
                <w:color w:val="auto"/>
              </w:rPr>
              <w:t>[***]</w:t>
            </w:r>
          </w:p>
        </w:tc>
      </w:tr>
      <w:tr>
        <w:trPr>
          <w:trHeight w:val="210"/>
        </w:trPr>
        <w:tc>
          <w:tcPr>
            <w:tcW w:w="67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jc w:val="right"/>
              <w:ind w:right="1301"/>
              <w:spacing w:after="0" w:line="209" w:lineRule="exact"/>
              <w:rPr>
                <w:sz w:val="20"/>
                <w:szCs w:val="20"/>
                <w:color w:val="auto"/>
              </w:rPr>
            </w:pPr>
            <w:r>
              <w:rPr>
                <w:rFonts w:ascii="Arial" w:cs="Arial" w:eastAsia="Arial" w:hAnsi="Arial"/>
                <w:sz w:val="20"/>
                <w:szCs w:val="20"/>
                <w:color w:val="auto"/>
              </w:rPr>
              <w:t>[***]</w:t>
            </w:r>
          </w:p>
        </w:tc>
      </w:tr>
      <w:tr>
        <w:trPr>
          <w:trHeight w:val="209"/>
        </w:trPr>
        <w:tc>
          <w:tcPr>
            <w:tcW w:w="67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color w:val="auto"/>
              </w:rPr>
              <w:t>[***]</w:t>
            </w:r>
          </w:p>
        </w:tc>
        <w:tc>
          <w:tcPr>
            <w:tcW w:w="3120" w:type="dxa"/>
            <w:vAlign w:val="bottom"/>
            <w:tcBorders>
              <w:bottom w:val="single" w:sz="8" w:color="auto"/>
              <w:right w:val="single" w:sz="8" w:color="auto"/>
            </w:tcBorders>
          </w:tcPr>
          <w:p>
            <w:pPr>
              <w:jc w:val="right"/>
              <w:ind w:right="1301"/>
              <w:spacing w:after="0" w:line="209" w:lineRule="exact"/>
              <w:rPr>
                <w:sz w:val="20"/>
                <w:szCs w:val="20"/>
                <w:color w:val="auto"/>
              </w:rPr>
            </w:pPr>
            <w:r>
              <w:rPr>
                <w:rFonts w:ascii="Arial" w:cs="Arial" w:eastAsia="Arial" w:hAnsi="Arial"/>
                <w:sz w:val="20"/>
                <w:szCs w:val="20"/>
                <w:color w:val="auto"/>
              </w:rPr>
              <w:t>[***]</w:t>
            </w:r>
          </w:p>
        </w:tc>
      </w:tr>
      <w:tr>
        <w:trPr>
          <w:trHeight w:val="20"/>
        </w:trPr>
        <w:tc>
          <w:tcPr>
            <w:tcW w:w="6720" w:type="dxa"/>
            <w:vAlign w:val="bottom"/>
            <w:tcBorders>
              <w:left w:val="single" w:sz="8" w:color="auto"/>
              <w:bottom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6720" w:type="dxa"/>
            <w:vAlign w:val="bottom"/>
            <w:tcBorders>
              <w:left w:val="single" w:sz="8" w:color="auto"/>
              <w:bottom w:val="single" w:sz="8" w:color="auto"/>
              <w:right w:val="single" w:sz="8" w:color="auto"/>
            </w:tcBorders>
          </w:tcPr>
          <w:p>
            <w:pPr>
              <w:ind w:left="120"/>
              <w:spacing w:after="0" w:line="197" w:lineRule="exact"/>
              <w:rPr>
                <w:sz w:val="20"/>
                <w:szCs w:val="20"/>
                <w:color w:val="auto"/>
              </w:rPr>
            </w:pPr>
            <w:r>
              <w:rPr>
                <w:rFonts w:ascii="Arial" w:cs="Arial" w:eastAsia="Arial" w:hAnsi="Arial"/>
                <w:sz w:val="20"/>
                <w:szCs w:val="20"/>
                <w:b w:val="1"/>
                <w:bCs w:val="1"/>
                <w:color w:val="auto"/>
              </w:rPr>
              <w:t>Total potential sales-based event payments:</w:t>
            </w:r>
          </w:p>
        </w:tc>
        <w:tc>
          <w:tcPr>
            <w:tcW w:w="3120" w:type="dxa"/>
            <w:vAlign w:val="bottom"/>
            <w:tcBorders>
              <w:bottom w:val="single" w:sz="8" w:color="auto"/>
              <w:right w:val="single" w:sz="8" w:color="auto"/>
            </w:tcBorders>
          </w:tcPr>
          <w:p>
            <w:pPr>
              <w:jc w:val="right"/>
              <w:ind w:right="1321"/>
              <w:spacing w:after="0" w:line="197" w:lineRule="exact"/>
              <w:rPr>
                <w:sz w:val="20"/>
                <w:szCs w:val="20"/>
                <w:color w:val="auto"/>
              </w:rPr>
            </w:pPr>
            <w:r>
              <w:rPr>
                <w:rFonts w:ascii="Arial" w:cs="Arial" w:eastAsia="Arial" w:hAnsi="Arial"/>
                <w:sz w:val="20"/>
                <w:szCs w:val="20"/>
                <w:b w:val="1"/>
                <w:bCs w:val="1"/>
                <w:color w:val="auto"/>
              </w:rPr>
              <w:t>320</w:t>
            </w:r>
          </w:p>
        </w:tc>
      </w:tr>
    </w:tbl>
    <w:p>
      <w:pPr>
        <w:spacing w:after="0" w:line="21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Each of the sales-based event payments shall be paid no more than once [***] days after the end of the Calendar Quarter in which the event first occurs for the Product in the Roche Royalty Territory first reaching the respective Calendar Year Net Sales threshold and receipt of an invoice from Atea, and shall be non-refundable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19"/>
          <w:szCs w:val="19"/>
          <w:b w:val="1"/>
          <w:bCs w:val="1"/>
          <w:color w:val="auto"/>
        </w:rPr>
        <w:t>Royalty Payments.</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10.4.1</w:t>
      </w:r>
      <w:r>
        <w:rPr>
          <w:sz w:val="20"/>
          <w:szCs w:val="20"/>
          <w:color w:val="auto"/>
        </w:rPr>
        <w:tab/>
      </w:r>
      <w:r>
        <w:rPr>
          <w:rFonts w:ascii="Arial" w:cs="Arial" w:eastAsia="Arial" w:hAnsi="Arial"/>
          <w:sz w:val="19"/>
          <w:szCs w:val="19"/>
          <w:color w:val="auto"/>
        </w:rPr>
        <w:t>Royalty Term</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On a Product-by-Product and country-by-country basis, Roche shall pay to Atea royalties on Net Sales of Products in such country in the Roche Royalty Territory during the relevant Royalty Term. Thereafter, the licenses granted to Roche for a given Product in such country shall be fully paid up, irrevocable and royalty-free.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7" w:name="page128"/>
    <w:bookmarkEnd w:id="127"/>
    <w:p>
      <w:pPr>
        <w:spacing w:after="0"/>
        <w:tabs>
          <w:tab w:leader="none" w:pos="840" w:val="left"/>
        </w:tabs>
        <w:rPr>
          <w:sz w:val="20"/>
          <w:szCs w:val="20"/>
          <w:color w:val="auto"/>
        </w:rPr>
      </w:pPr>
      <w:r>
        <w:rPr>
          <w:rFonts w:ascii="Arial" w:cs="Arial" w:eastAsia="Arial" w:hAnsi="Arial"/>
          <w:sz w:val="20"/>
          <w:szCs w:val="20"/>
          <w:color w:val="auto"/>
        </w:rPr>
        <w:t>10.4.2</w:t>
      </w:r>
      <w:r>
        <w:rPr>
          <w:sz w:val="20"/>
          <w:szCs w:val="20"/>
          <w:color w:val="auto"/>
        </w:rPr>
        <w:tab/>
      </w:r>
      <w:r>
        <w:rPr>
          <w:rFonts w:ascii="Arial" w:cs="Arial" w:eastAsia="Arial" w:hAnsi="Arial"/>
          <w:sz w:val="19"/>
          <w:szCs w:val="19"/>
          <w:color w:val="auto"/>
        </w:rPr>
        <w:t>Royalty Rates</w:t>
      </w:r>
    </w:p>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following royalty rates shall apply to the respective tiers of aggregate Calendar Year Net Sales of a Product in the Roche Royalty Territory, on an incremental basis, as follows:</w:t>
      </w:r>
    </w:p>
    <w:p>
      <w:pPr>
        <w:spacing w:after="0" w:line="179" w:lineRule="exact"/>
        <w:rPr>
          <w:sz w:val="20"/>
          <w:szCs w:val="20"/>
          <w:color w:val="auto"/>
        </w:rPr>
      </w:pPr>
    </w:p>
    <w:tbl>
      <w:tblPr>
        <w:tblLayout w:type="fixed"/>
        <w:tblInd w:w="2090" w:type="dxa"/>
        <w:tblCellMar>
          <w:top w:w="0" w:type="dxa"/>
          <w:left w:w="0" w:type="dxa"/>
          <w:bottom w:w="0" w:type="dxa"/>
          <w:right w:w="0" w:type="dxa"/>
        </w:tblCellMar>
      </w:tblPr>
      <w:tr>
        <w:trPr>
          <w:trHeight w:val="202"/>
        </w:trPr>
        <w:tc>
          <w:tcPr>
            <w:tcW w:w="3760" w:type="dxa"/>
            <w:vAlign w:val="bottom"/>
            <w:tcBorders>
              <w:top w:val="single" w:sz="8" w:color="auto"/>
              <w:left w:val="single" w:sz="8" w:color="auto"/>
              <w:right w:val="single" w:sz="8" w:color="auto"/>
            </w:tcBorders>
          </w:tcPr>
          <w:p>
            <w:pPr>
              <w:jc w:val="center"/>
              <w:spacing w:after="0" w:line="202" w:lineRule="exact"/>
              <w:rPr>
                <w:sz w:val="20"/>
                <w:szCs w:val="20"/>
                <w:color w:val="auto"/>
              </w:rPr>
            </w:pPr>
            <w:r>
              <w:rPr>
                <w:rFonts w:ascii="Arial" w:cs="Arial" w:eastAsia="Arial" w:hAnsi="Arial"/>
                <w:sz w:val="20"/>
                <w:szCs w:val="20"/>
                <w:b w:val="1"/>
                <w:bCs w:val="1"/>
                <w:color w:val="auto"/>
                <w:w w:val="98"/>
              </w:rPr>
              <w:t>Tier of Calendar Year</w:t>
            </w:r>
          </w:p>
        </w:tc>
        <w:tc>
          <w:tcPr>
            <w:tcW w:w="3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9"/>
              </w:rPr>
              <w:t>Percent (%) of Net Sales</w:t>
            </w:r>
          </w:p>
        </w:tc>
        <w:tc>
          <w:tcPr>
            <w:tcW w:w="0" w:type="dxa"/>
            <w:vAlign w:val="bottom"/>
          </w:tcPr>
          <w:p>
            <w:pPr>
              <w:spacing w:after="0"/>
              <w:rPr>
                <w:sz w:val="1"/>
                <w:szCs w:val="1"/>
                <w:color w:val="auto"/>
              </w:rPr>
            </w:pPr>
          </w:p>
        </w:tc>
      </w:tr>
      <w:tr>
        <w:trPr>
          <w:trHeight w:val="153"/>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9"/>
              </w:rPr>
              <w:t>Net Sales in million US$</w:t>
            </w:r>
          </w:p>
        </w:tc>
        <w:tc>
          <w:tcPr>
            <w:tcW w:w="3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37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76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c>
          <w:tcPr>
            <w:tcW w:w="33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09"/>
        </w:trPr>
        <w:tc>
          <w:tcPr>
            <w:tcW w:w="376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c>
          <w:tcPr>
            <w:tcW w:w="33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c>
          <w:tcPr>
            <w:tcW w:w="33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For example, if Net Sales of a Product in the Roche Royalty Territory for a given Calendar Year are US$ [***] million, and such</w:t>
      </w:r>
    </w:p>
    <w:p>
      <w:pPr>
        <w:spacing w:after="0" w:line="225" w:lineRule="auto"/>
        <w:rPr>
          <w:sz w:val="20"/>
          <w:szCs w:val="20"/>
          <w:color w:val="auto"/>
        </w:rPr>
      </w:pPr>
      <w:r>
        <w:rPr>
          <w:rFonts w:ascii="Arial" w:cs="Arial" w:eastAsia="Arial" w:hAnsi="Arial"/>
          <w:sz w:val="20"/>
          <w:szCs w:val="20"/>
          <w:color w:val="auto"/>
        </w:rPr>
        <w:t>Product is a Patent Product, then royalties owed to Atea on such Net Sales of such Product for that Calendar Year shall equal</w:t>
      </w:r>
    </w:p>
    <w:p>
      <w:pPr>
        <w:spacing w:after="0" w:line="225" w:lineRule="auto"/>
        <w:rPr>
          <w:sz w:val="20"/>
          <w:szCs w:val="20"/>
          <w:color w:val="auto"/>
        </w:rPr>
      </w:pPr>
      <w:r>
        <w:rPr>
          <w:rFonts w:ascii="Arial" w:cs="Arial" w:eastAsia="Arial" w:hAnsi="Arial"/>
          <w:sz w:val="20"/>
          <w:szCs w:val="20"/>
          <w:color w:val="auto"/>
        </w:rPr>
        <w:t>US$ [***] calculated as follows: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For the purpose of calculating royalties for a Product, Calendar Year Net Sales and the royalty rates shall be subject to the following adjustments, as applicable:</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10.4.3</w:t>
      </w:r>
      <w:r>
        <w:rPr>
          <w:sz w:val="20"/>
          <w:szCs w:val="20"/>
          <w:color w:val="auto"/>
        </w:rPr>
        <w:tab/>
      </w:r>
      <w:r>
        <w:rPr>
          <w:rFonts w:ascii="Arial" w:cs="Arial" w:eastAsia="Arial" w:hAnsi="Arial"/>
          <w:sz w:val="19"/>
          <w:szCs w:val="19"/>
          <w:color w:val="auto"/>
        </w:rPr>
        <w:t>Combination Product</w:t>
      </w:r>
    </w:p>
    <w:p>
      <w:pPr>
        <w:spacing w:after="0" w:line="4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If Roche or its Affiliates intend to sell a Combination Product, then the Parties shall meet approximately [***] prior to the anticipated First Commercial Sale of such Combination Product in the Territory to negotiate in good faith and agree to an appropriate adjustment to Net Sales to reflect the relative commercial value contributed by the components of the Combination Product (the “</w:t>
      </w:r>
      <w:r>
        <w:rPr>
          <w:rFonts w:ascii="Arial" w:cs="Arial" w:eastAsia="Arial" w:hAnsi="Arial"/>
          <w:sz w:val="20"/>
          <w:szCs w:val="20"/>
          <w:b w:val="1"/>
          <w:bCs w:val="1"/>
          <w:color w:val="auto"/>
        </w:rPr>
        <w:t>Relative Commercial Value</w:t>
      </w:r>
      <w:r>
        <w:rPr>
          <w:rFonts w:ascii="Arial" w:cs="Arial" w:eastAsia="Arial" w:hAnsi="Arial"/>
          <w:sz w:val="20"/>
          <w:szCs w:val="20"/>
          <w:color w:val="auto"/>
        </w:rPr>
        <w:t>”). If, after such good faith negotiations not to exceed [***] days, the Parties cannot agree to an appropriate adjustment, the dispute shall be initially referred to the executive officers of the Parties in accordance with Section 21.2.</w:t>
      </w:r>
    </w:p>
    <w:p>
      <w:pPr>
        <w:spacing w:after="0" w:line="195"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If the Parties are unable to agree on the Relative Commercial Value within [***] days of such referral, then the Relative Commercial Value shall be determined by the following procedure. Roche will select [***], Atea will select [***], and those [***] individuals shall select [***] and who shall be chairman of a committee of the [***] Experts (the “</w:t>
      </w:r>
      <w:r>
        <w:rPr>
          <w:rFonts w:ascii="Arial" w:cs="Arial" w:eastAsia="Arial" w:hAnsi="Arial"/>
          <w:sz w:val="20"/>
          <w:szCs w:val="20"/>
          <w:b w:val="1"/>
          <w:bCs w:val="1"/>
          <w:color w:val="auto"/>
        </w:rPr>
        <w:t>Expert Committee</w:t>
      </w:r>
      <w:r>
        <w:rPr>
          <w:rFonts w:ascii="Arial" w:cs="Arial" w:eastAsia="Arial" w:hAnsi="Arial"/>
          <w:sz w:val="20"/>
          <w:szCs w:val="20"/>
          <w:color w:val="auto"/>
        </w:rPr>
        <w:t>”), each with a single deciding vote. The Expert Committee will promptly hold a meeting to review the issue under review, at which it will consider memoranda submitted by each Party at least [***] days before the meeting, as well as reasonable presentations that each Party may present at the meeting. The determination of the Expert Committee as to the issue under review will be binding on both Parties. The Parties will share equally in the costs of the Expert Committee. Unless otherwise agreed to by the Parties, the Expert Committee may not decide on issues outside the scope mandated under terms of this Agreement.</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10.4.4</w:t>
      </w:r>
      <w:r>
        <w:rPr>
          <w:sz w:val="20"/>
          <w:szCs w:val="20"/>
          <w:color w:val="auto"/>
        </w:rPr>
        <w:tab/>
      </w:r>
      <w:r>
        <w:rPr>
          <w:rFonts w:ascii="Arial" w:cs="Arial" w:eastAsia="Arial" w:hAnsi="Arial"/>
          <w:sz w:val="19"/>
          <w:szCs w:val="19"/>
          <w:color w:val="auto"/>
        </w:rPr>
        <w:t>No Valid Claim; Generic Competition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For a given Product, if in a given country within the Territory there is:</w:t>
      </w:r>
    </w:p>
    <w:p>
      <w:pPr>
        <w:spacing w:after="0" w:line="94" w:lineRule="exact"/>
        <w:rPr>
          <w:sz w:val="20"/>
          <w:szCs w:val="20"/>
          <w:color w:val="auto"/>
        </w:rPr>
      </w:pPr>
    </w:p>
    <w:p>
      <w:pPr>
        <w:ind w:left="420" w:hanging="412"/>
        <w:spacing w:after="0" w:line="236" w:lineRule="auto"/>
        <w:tabs>
          <w:tab w:leader="none" w:pos="4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 Composition of Matter Claim that Covers such Product remains in such country (i.e., such Product is not a Patent Product in such country); or</w:t>
      </w:r>
    </w:p>
    <w:p>
      <w:pPr>
        <w:spacing w:after="0" w:line="87" w:lineRule="exact"/>
        <w:rPr>
          <w:rFonts w:ascii="Arial" w:cs="Arial" w:eastAsia="Arial" w:hAnsi="Arial"/>
          <w:sz w:val="20"/>
          <w:szCs w:val="20"/>
          <w:color w:val="auto"/>
        </w:rPr>
      </w:pPr>
    </w:p>
    <w:p>
      <w:pPr>
        <w:ind w:left="420" w:hanging="412"/>
        <w:spacing w:after="0"/>
        <w:tabs>
          <w:tab w:leader="none" w:pos="4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entry of a Generic Product has occurred;</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then the royalty payments due to Atea for such Product in such country shall be reduced by [***]. If both a) and b) have occurred, then the Royalty Term for such Product in such country shall end (unless the Royalty Term had expired prior to such time for a given Product in a given country),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28" w:name="page129"/>
    <w:bookmarkEnd w:id="128"/>
    <w:p>
      <w:pPr>
        <w:jc w:val="both"/>
        <w:spacing w:after="0" w:line="236" w:lineRule="auto"/>
        <w:rPr>
          <w:sz w:val="20"/>
          <w:szCs w:val="20"/>
          <w:color w:val="auto"/>
        </w:rPr>
      </w:pPr>
      <w:r>
        <w:rPr>
          <w:rFonts w:ascii="Arial" w:cs="Arial" w:eastAsia="Arial" w:hAnsi="Arial"/>
          <w:sz w:val="20"/>
          <w:szCs w:val="20"/>
          <w:color w:val="auto"/>
        </w:rPr>
        <w:t>royalties shall no more be due by Roche in such country for such Product, and the license in that country for such Product shall be fully paid-up and irrevocable.</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10.4.5</w:t>
      </w:r>
      <w:r>
        <w:rPr>
          <w:sz w:val="20"/>
          <w:szCs w:val="20"/>
          <w:color w:val="auto"/>
        </w:rPr>
        <w:tab/>
      </w:r>
      <w:r>
        <w:rPr>
          <w:rFonts w:ascii="Arial" w:cs="Arial" w:eastAsia="Arial" w:hAnsi="Arial"/>
          <w:sz w:val="19"/>
          <w:szCs w:val="19"/>
          <w:color w:val="auto"/>
        </w:rPr>
        <w:t>Apportionment of Compulsory Sublicensee Consideration</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Compulsory Sublicense Compensation received by the Roche Group from a Compulsory Sublicensee during the Royalty Term for a Product in a country shall be shared with Atea on an equivalent profit share percentage (the “</w:t>
      </w:r>
      <w:r>
        <w:rPr>
          <w:rFonts w:ascii="Arial" w:cs="Arial" w:eastAsia="Arial" w:hAnsi="Arial"/>
          <w:sz w:val="20"/>
          <w:szCs w:val="20"/>
          <w:b w:val="1"/>
          <w:bCs w:val="1"/>
          <w:color w:val="auto"/>
        </w:rPr>
        <w:t>Compulsory Profit Share</w:t>
      </w:r>
      <w:r>
        <w:rPr>
          <w:rFonts w:ascii="Arial" w:cs="Arial" w:eastAsia="Arial" w:hAnsi="Arial"/>
          <w:sz w:val="20"/>
          <w:szCs w:val="20"/>
          <w:color w:val="auto"/>
        </w:rPr>
        <w:t xml:space="preserve"> </w:t>
      </w:r>
      <w:r>
        <w:rPr>
          <w:rFonts w:ascii="Arial" w:cs="Arial" w:eastAsia="Arial" w:hAnsi="Arial"/>
          <w:sz w:val="20"/>
          <w:szCs w:val="20"/>
          <w:b w:val="1"/>
          <w:bCs w:val="1"/>
          <w:color w:val="auto"/>
        </w:rPr>
        <w:t>Percentage</w:t>
      </w:r>
      <w:r>
        <w:rPr>
          <w:rFonts w:ascii="Arial" w:cs="Arial" w:eastAsia="Arial" w:hAnsi="Arial"/>
          <w:sz w:val="20"/>
          <w:szCs w:val="20"/>
          <w:color w:val="auto"/>
        </w:rPr>
        <w:t>”) calculated for the respective Calendar Year as follows: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At the end of the Calendar Year, Roche shall pay to Atea the [***]. For clarity, any sales or payments by Compulsory Sublicensees under a Compulsory Sublicense shall not be considered as Net Sales and shall not give rise to any royalty payment under Section 10.4.2 of this Agreement.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9"/>
          <w:szCs w:val="19"/>
          <w:b w:val="1"/>
          <w:bCs w:val="1"/>
          <w:color w:val="auto"/>
        </w:rPr>
        <w:t>Payments for Products containing [***]</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 case the JSC decides to pursue development or commercialization of a Product that contains a [***], then at the time such decision is made, the Parties shall discuss in good faith any reasonable adjustments that may be appropriate to make to the payments from Roche to Atea based on Sections 10.2, 10.3, and 10.4, prior to commencement of any such activities, subject to the following sentence. [***].</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9"/>
          <w:szCs w:val="19"/>
          <w:b w:val="1"/>
          <w:bCs w:val="1"/>
          <w:color w:val="auto"/>
        </w:rPr>
        <w:t>Third Party Payments</w:t>
      </w:r>
    </w:p>
    <w:p>
      <w:pPr>
        <w:spacing w:after="0" w:line="10" w:lineRule="exact"/>
        <w:rPr>
          <w:sz w:val="20"/>
          <w:szCs w:val="20"/>
          <w:color w:val="auto"/>
        </w:rPr>
      </w:pPr>
    </w:p>
    <w:p>
      <w:pPr>
        <w:jc w:val="both"/>
        <w:ind w:firstLine="8"/>
        <w:spacing w:after="0" w:line="237" w:lineRule="auto"/>
        <w:tabs>
          <w:tab w:leader="none" w:pos="416" w:val="left"/>
        </w:tabs>
        <w:numPr>
          <w:ilvl w:val="0"/>
          <w:numId w:val="83"/>
        </w:numPr>
        <w:rPr>
          <w:rFonts w:ascii="Arial" w:cs="Arial" w:eastAsia="Arial" w:hAnsi="Arial"/>
          <w:sz w:val="19"/>
          <w:szCs w:val="19"/>
          <w:color w:val="auto"/>
        </w:rPr>
      </w:pPr>
      <w:r>
        <w:rPr>
          <w:rFonts w:ascii="Arial" w:cs="Arial" w:eastAsia="Arial" w:hAnsi="Arial"/>
          <w:sz w:val="19"/>
          <w:szCs w:val="19"/>
          <w:color w:val="auto"/>
        </w:rPr>
        <w:t>shall be responsible for and pay or have paid the entire consideration owed to any Third Party in relation to [***]. To the extent [***] fails to make any [***] when due, [***] may make such payment to the applicable Third Party [***]. In such event, or if</w:t>
      </w:r>
    </w:p>
    <w:p>
      <w:pPr>
        <w:ind w:left="400" w:hanging="392"/>
        <w:spacing w:after="0" w:line="237" w:lineRule="auto"/>
        <w:tabs>
          <w:tab w:leader="none" w:pos="4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as provided in [***] or enters into a [***] as provided in [***] and makes [***] thereunder, [***] may request [***] as provided in</w:t>
      </w:r>
    </w:p>
    <w:p>
      <w:pPr>
        <w:ind w:left="400" w:hanging="392"/>
        <w:spacing w:after="0"/>
        <w:tabs>
          <w:tab w:leader="none" w:pos="4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or [***] of such [***] under this Agreement.</w:t>
      </w:r>
    </w:p>
    <w:p>
      <w:pPr>
        <w:spacing w:after="0" w:line="202"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responsibility for payment of consideration owed to any Third Party in relation to [***] shall be [***]. The Party making [***] shall be [***] (or, in the case of [***]).</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the event that both [***] and [***] are made under the same agreement with the same Third Party and cannot be clearly distinguished from each other, then the Parties will discuss in good faith and agree on which part of such payments is attributable to [***] or [***]. If, after such good faith negotiations not to exceed [***] days, the Parties cannot agree to an appropriate allocation, the dispute shall be initially referred to the executive officers of the Parties in accordance with Section 21.2. If the Parties are unable to agree on the allocation within [***] days of such referral, then such allocation shall be determined by the procedure described in the second paragraph of Section 10.4.3.</w:t>
      </w:r>
    </w:p>
    <w:p>
      <w:pPr>
        <w:spacing w:after="0" w:line="171"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10.7</w:t>
      </w:r>
      <w:r>
        <w:rPr>
          <w:sz w:val="20"/>
          <w:szCs w:val="20"/>
          <w:color w:val="auto"/>
        </w:rPr>
        <w:tab/>
      </w:r>
      <w:r>
        <w:rPr>
          <w:rFonts w:ascii="Arial" w:cs="Arial" w:eastAsia="Arial" w:hAnsi="Arial"/>
          <w:sz w:val="19"/>
          <w:szCs w:val="19"/>
          <w:b w:val="1"/>
          <w:bCs w:val="1"/>
          <w:color w:val="auto"/>
        </w:rPr>
        <w:t>Disclosure of Payments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Each Party acknowledges that the other Party may be obligated to disclose this financial arrangement, including all fees, payments and transfers of value, as may be advisable or required under Applicable Law, including the US Sunshine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b w:val="1"/>
          <w:bCs w:val="1"/>
          <w:color w:val="auto"/>
        </w:rPr>
        <w:t>11.  Accounting and reporting</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9"/>
          <w:szCs w:val="19"/>
          <w:b w:val="1"/>
          <w:bCs w:val="1"/>
          <w:color w:val="auto"/>
        </w:rPr>
        <w:t>Timing of Royalty Payments</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Roche shall calculate royalties on Net Sales quarterly as of March 31, June 30, September 30 and December 31 (each being the last day of an “</w:t>
      </w:r>
      <w:r>
        <w:rPr>
          <w:rFonts w:ascii="Arial" w:cs="Arial" w:eastAsia="Arial" w:hAnsi="Arial"/>
          <w:sz w:val="20"/>
          <w:szCs w:val="20"/>
          <w:b w:val="1"/>
          <w:bCs w:val="1"/>
          <w:color w:val="auto"/>
        </w:rPr>
        <w:t>Accounting Period</w:t>
      </w:r>
      <w:r>
        <w:rPr>
          <w:rFonts w:ascii="Arial" w:cs="Arial" w:eastAsia="Arial" w:hAnsi="Arial"/>
          <w:sz w:val="20"/>
          <w:szCs w:val="20"/>
          <w:color w:val="auto"/>
        </w:rPr>
        <w:t>”) and shall share with Atea within [***] days after the end of each Accounting Period in which Net Sales occur a good faith estimate of the royalties payable to Atea for such Accounting Period. Within [***] days after the end of each Accounting Period, Roche shall pay the royalties on Net Sales to Atea in line with the finally reported Net Sales for each Calendar Quarter as set forth in Section 11.6, which finally reported Net Sales (i) Roche shall report to Atea during such time period, (ii) may deviate from the good faith estimate provided earlier, and (iii) shall be relevant for the purposes of calculating the royalty owed under Section 10.4.</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b w:val="1"/>
          <w:bCs w:val="1"/>
          <w:color w:val="auto"/>
        </w:rPr>
        <w:t>Late Payment</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Any payment under this Agreement that is not paid on or before the date such payment is due shall bear interest, to the extent permitted by Applicable Law, at [***] percentage points above the [***], as reported by Reuters from time to time, calculated on the number of days such payment is overdue.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9"/>
          <w:szCs w:val="19"/>
          <w:b w:val="1"/>
          <w:bCs w:val="1"/>
          <w:color w:val="auto"/>
        </w:rPr>
        <w:t>Method of Payment</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Royalties on Net Sales shall be paid by Roche in US Dollars (the “</w:t>
      </w:r>
      <w:r>
        <w:rPr>
          <w:rFonts w:ascii="Arial" w:cs="Arial" w:eastAsia="Arial" w:hAnsi="Arial"/>
          <w:sz w:val="20"/>
          <w:szCs w:val="20"/>
          <w:b w:val="1"/>
          <w:bCs w:val="1"/>
          <w:color w:val="auto"/>
        </w:rPr>
        <w:t>Payment Currency</w:t>
      </w:r>
      <w:r>
        <w:rPr>
          <w:rFonts w:ascii="Arial" w:cs="Arial" w:eastAsia="Arial" w:hAnsi="Arial"/>
          <w:sz w:val="20"/>
          <w:szCs w:val="20"/>
          <w:color w:val="auto"/>
        </w:rPr>
        <w:t>”) to account(s) designated by Atea. All other amounts payable by a Party to the other Party hereunder shall be paid in the Payment Currency to account(s) designated by the other Party.</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9"/>
          <w:szCs w:val="19"/>
          <w:b w:val="1"/>
          <w:bCs w:val="1"/>
          <w:color w:val="auto"/>
        </w:rPr>
        <w:t>Currency Conversion</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When calculating the Sales of any Product that occur in currencies other than the Payment Currency, Roche shall convert the amount of such sales into Swiss Francs and then into the Payment Currency using Roche’s then-current internal foreign currency translation method actually used on a consistent basis in preparing its audited financial statements (at the Effective Date, YTD average rate as reported by Reuters).</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9"/>
          <w:szCs w:val="19"/>
          <w:b w:val="1"/>
          <w:bCs w:val="1"/>
          <w:color w:val="auto"/>
        </w:rPr>
        <w:t>Blocked Currency</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In a given country, if by reason of Applicable Law (for example governmental restrictions on foreign exchange trade) the local currency is blocked and cannot be removed from such country, Roche will notify Atea in writing and</w:t>
      </w:r>
    </w:p>
    <w:p>
      <w:pPr>
        <w:spacing w:after="0" w:line="88" w:lineRule="exact"/>
        <w:rPr>
          <w:sz w:val="20"/>
          <w:szCs w:val="20"/>
          <w:color w:val="auto"/>
        </w:rPr>
      </w:pPr>
    </w:p>
    <w:p>
      <w:pPr>
        <w:ind w:left="420" w:hanging="412"/>
        <w:spacing w:after="0" w:line="236" w:lineRule="auto"/>
        <w:tabs>
          <w:tab w:leader="none" w:pos="4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Atea will have the right to receive the applicable royalties of Net Sales in such country in local currency by deposit in a local bank designated by Atea, or</w:t>
      </w:r>
    </w:p>
    <w:p>
      <w:pPr>
        <w:spacing w:after="0" w:line="87" w:lineRule="exact"/>
        <w:rPr>
          <w:rFonts w:ascii="Arial" w:cs="Arial" w:eastAsia="Arial" w:hAnsi="Arial"/>
          <w:sz w:val="20"/>
          <w:szCs w:val="20"/>
          <w:color w:val="auto"/>
        </w:rPr>
      </w:pPr>
    </w:p>
    <w:p>
      <w:pPr>
        <w:jc w:val="both"/>
        <w:ind w:left="420" w:hanging="412"/>
        <w:spacing w:after="0" w:line="229" w:lineRule="auto"/>
        <w:tabs>
          <w:tab w:leader="none" w:pos="4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such local currency payment is not allowed by reason of Applicable Law or if otherwise requested by Atea, then the royalties related to such Net Sales in such country shall continue to be accrued and shall continue to be reported, but such royalties will not be paid until the sales proceeds related to such Net Sales may be removed from such country. At such time as Roche, its Affiliates or their Sublicensees, as the case may be, is able to remove the sales proceeds related to such Net Sales from such country, Roche shall also pay such accrued royalties in Payment Currency using the actual exchange rate which is used to remove such sales proceeds from such country.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3" w:lineRule="exact"/>
        <w:rPr>
          <w:rFonts w:ascii="Arial" w:cs="Arial" w:eastAsia="Arial" w:hAnsi="Arial"/>
          <w:sz w:val="20"/>
          <w:szCs w:val="20"/>
          <w:color w:val="auto"/>
        </w:rPr>
      </w:pPr>
    </w:p>
    <w:p>
      <w:pPr>
        <w:ind w:left="5520" w:hanging="127"/>
        <w:spacing w:after="0"/>
        <w:tabs>
          <w:tab w:leader="none" w:pos="5520" w:val="left"/>
        </w:tabs>
        <w:numPr>
          <w:ilvl w:val="1"/>
          <w:numId w:val="84"/>
        </w:numPr>
        <w:rPr>
          <w:rFonts w:ascii="Arial" w:cs="Arial" w:eastAsia="Arial" w:hAnsi="Arial"/>
          <w:sz w:val="20"/>
          <w:szCs w:val="20"/>
          <w:color w:val="auto"/>
        </w:rPr>
      </w:pPr>
      <w:r>
        <w:rPr>
          <w:rFonts w:ascii="Arial" w:cs="Arial" w:eastAsia="Arial" w:hAnsi="Arial"/>
          <w:sz w:val="20"/>
          <w:szCs w:val="20"/>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0" w:name="page131"/>
    <w:bookmarkEnd w:id="130"/>
    <w:p>
      <w:pPr>
        <w:spacing w:after="0"/>
        <w:tabs>
          <w:tab w:leader="none" w:pos="68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9"/>
          <w:szCs w:val="19"/>
          <w:b w:val="1"/>
          <w:bCs w:val="1"/>
          <w:color w:val="auto"/>
        </w:rPr>
        <w:t>Royalty Reporting</w:t>
      </w:r>
    </w:p>
    <w:p>
      <w:pPr>
        <w:spacing w:after="0" w:line="1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With each royalty payment Roche shall provide Atea in writing for the relevant Calendar Quarter on a Product-by-Product basis the following information:</w:t>
      </w:r>
    </w:p>
    <w:p>
      <w:pPr>
        <w:spacing w:after="0" w:line="182"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Sales in Swiss Francs;</w:t>
      </w:r>
    </w:p>
    <w:p>
      <w:pPr>
        <w:ind w:left="640" w:hanging="632"/>
        <w:spacing w:after="0" w:line="225" w:lineRule="auto"/>
        <w:tabs>
          <w:tab w:leader="none" w:pos="6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Net Sales in Swiss Francs;</w:t>
      </w:r>
    </w:p>
    <w:p>
      <w:pPr>
        <w:ind w:left="640" w:hanging="632"/>
        <w:spacing w:after="0" w:line="225" w:lineRule="auto"/>
        <w:tabs>
          <w:tab w:leader="none" w:pos="6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adjustments made pursuant to Section 10.4.3, adjustments made pursuant to Sections 10.4.4 or 10.5; and</w:t>
      </w:r>
    </w:p>
    <w:p>
      <w:pPr>
        <w:ind w:left="640" w:right="20" w:hanging="632"/>
        <w:spacing w:after="0" w:line="236" w:lineRule="auto"/>
        <w:tabs>
          <w:tab w:leader="none" w:pos="6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total royalty payable in the Payment Currency after adjustments made pursuant to Sections 10.4.4 or 10.5 and the conversion rate used to calculate the same.</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9"/>
          <w:szCs w:val="19"/>
          <w:b w:val="1"/>
          <w:bCs w:val="1"/>
          <w:color w:val="auto"/>
        </w:rPr>
        <w:t>Reimbursement</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For reimbursement of Out of Pocket Expenses and FTE Costs incurred by or on behalf of either Party or any of its Affiliates in connection with its activities under [***], as soon as practicable after the end of each Calendar Quarter, but in any event no later than [***] days after the end of each such Calendar Quarter, each Party shall share with the other Party a good faith estimate of such reimbursable costs incurred by such Party. In no event later than [***] days after the end of such Calendar Quarter each Party shall update the good faith estimate to reflect changes in the Out of Pocket Expenses and FTE Costs (each, a </w:t>
      </w:r>
      <w:r>
        <w:rPr>
          <w:rFonts w:ascii="Arial" w:cs="Arial" w:eastAsia="Arial" w:hAnsi="Arial"/>
          <w:sz w:val="20"/>
          <w:szCs w:val="20"/>
          <w:b w:val="1"/>
          <w:bCs w:val="1"/>
          <w:color w:val="auto"/>
        </w:rPr>
        <w:t>“Reconciliation Interim Report”</w:t>
      </w:r>
      <w:r>
        <w:rPr>
          <w:rFonts w:ascii="Arial" w:cs="Arial" w:eastAsia="Arial" w:hAnsi="Arial"/>
          <w:sz w:val="20"/>
          <w:szCs w:val="20"/>
          <w:color w:val="auto"/>
        </w:rPr>
        <w:t>), together with reasonable supporting documentation for such costs. Each Party shall have</w:t>
      </w:r>
      <w:r>
        <w:rPr>
          <w:rFonts w:ascii="Arial" w:cs="Arial" w:eastAsia="Arial" w:hAnsi="Arial"/>
          <w:sz w:val="20"/>
          <w:szCs w:val="20"/>
          <w:b w:val="1"/>
          <w:bCs w:val="1"/>
          <w:color w:val="auto"/>
        </w:rPr>
        <w:t xml:space="preserve"> </w:t>
      </w:r>
      <w:r>
        <w:rPr>
          <w:rFonts w:ascii="Arial" w:cs="Arial" w:eastAsia="Arial" w:hAnsi="Arial"/>
          <w:sz w:val="20"/>
          <w:szCs w:val="20"/>
          <w:color w:val="auto"/>
        </w:rPr>
        <w:t>[***] days after the delivery of the other Party’s Reconciliation Interim Report to review and ask questions.</w:t>
      </w:r>
    </w:p>
    <w:p>
      <w:pPr>
        <w:spacing w:after="0" w:line="19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Within [***] days following the end of such Calendar Quarter, each Party shall update its Reconciliation Interim Report to reflect the final amounts and the Parties shall coordinate to aggregate the reports to calculate the total amount to be reimbursed under this Agreement (</w:t>
      </w:r>
      <w:r>
        <w:rPr>
          <w:rFonts w:ascii="Arial" w:cs="Arial" w:eastAsia="Arial" w:hAnsi="Arial"/>
          <w:sz w:val="20"/>
          <w:szCs w:val="20"/>
          <w:b w:val="1"/>
          <w:bCs w:val="1"/>
          <w:color w:val="auto"/>
        </w:rPr>
        <w:t>“Reconciliation Final Report”</w:t>
      </w:r>
      <w:r>
        <w:rPr>
          <w:rFonts w:ascii="Arial" w:cs="Arial" w:eastAsia="Arial" w:hAnsi="Arial"/>
          <w:sz w:val="20"/>
          <w:szCs w:val="20"/>
          <w:color w:val="auto"/>
        </w:rPr>
        <w:t>). The Party that owes payment to the other Party pursuant to the Reconciliation Final Report shall pay such amount (to the extent not subject to a good faith dispute) within [***] days after receipt of an invoice from the Party that is due payment.</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For all amounts for which a Party (the “</w:t>
      </w:r>
      <w:r>
        <w:rPr>
          <w:rFonts w:ascii="Arial" w:cs="Arial" w:eastAsia="Arial" w:hAnsi="Arial"/>
          <w:sz w:val="20"/>
          <w:szCs w:val="20"/>
          <w:b w:val="1"/>
          <w:bCs w:val="1"/>
          <w:color w:val="auto"/>
        </w:rPr>
        <w:t>Owing Party</w:t>
      </w:r>
      <w:r>
        <w:rPr>
          <w:rFonts w:ascii="Arial" w:cs="Arial" w:eastAsia="Arial" w:hAnsi="Arial"/>
          <w:sz w:val="20"/>
          <w:szCs w:val="20"/>
          <w:color w:val="auto"/>
        </w:rPr>
        <w:t>”) is obligated to reimburse or pay the other Party (the “</w:t>
      </w:r>
      <w:r>
        <w:rPr>
          <w:rFonts w:ascii="Arial" w:cs="Arial" w:eastAsia="Arial" w:hAnsi="Arial"/>
          <w:sz w:val="20"/>
          <w:szCs w:val="20"/>
          <w:b w:val="1"/>
          <w:bCs w:val="1"/>
          <w:color w:val="auto"/>
        </w:rPr>
        <w:t>Owed Party</w:t>
      </w:r>
      <w:r>
        <w:rPr>
          <w:rFonts w:ascii="Arial" w:cs="Arial" w:eastAsia="Arial" w:hAnsi="Arial"/>
          <w:sz w:val="20"/>
          <w:szCs w:val="20"/>
          <w:color w:val="auto"/>
        </w:rPr>
        <w:t>”) pursuant to this Agreement for which no specific provision is provided hereunder regarding how such payment shall be made, the Owed Party shall send to the Owing Party an invoice for such amount within [***] days after the Owed Party’s determination that such amount is payable by the Owing Party, which invoice shall include a reference to the section of this Agreement under which the Owed Party is requesting reimbursement or payment and be accompanied by reasonable documentation of the incurrence or accrual of the costs to be reimbursed. Payment with respect to each such invoice shall be due within [***] days after receipt by the Owing Party thereof.</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Taxes</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9"/>
          <w:szCs w:val="19"/>
          <w:b w:val="1"/>
          <w:bCs w:val="1"/>
          <w:color w:val="auto"/>
        </w:rPr>
        <w:t>Indirect Taxes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All payments provided for in this Agreement are exclusive of Indirect Taxes. If any Indirect Taxes are chargeable in respect of any such payments, the paying Party shall pay such Indirect Taxes at the applicable rate in respect of any such payments following the receipt, where applicable, of an Indirect Taxes invoice issued by the payee Party in respect of those payments. The Parties shall cooperate in good faith to minimize Indirect Taxes addressed in this Section 12.1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1" w:name="page132"/>
    <w:bookmarkEnd w:id="131"/>
    <w:p>
      <w:pPr>
        <w:spacing w:after="0"/>
        <w:tabs>
          <w:tab w:leader="none" w:pos="68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9"/>
          <w:szCs w:val="19"/>
          <w:b w:val="1"/>
          <w:bCs w:val="1"/>
          <w:color w:val="auto"/>
        </w:rPr>
        <w:t>Tax Withholding</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Each Party shall be entitled to deduct and withhold from any amounts payable under this Agreement such taxes as are required to be deducted or withheld therefrom under any provision of Applicable Law; provided, however, that [***]. The Party that is required by Applicable Law to make such deduction or withholding shall deduct such amounts from such payment, promptly pay such amount on behalf of the other Party to the proper governmental authority, and promptly furnish the other Party with proof of payment on a timely basis following such payment. [***].</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9"/>
          <w:szCs w:val="19"/>
          <w:b w:val="1"/>
          <w:bCs w:val="1"/>
          <w:color w:val="auto"/>
        </w:rPr>
        <w:t>Assistance</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Each Party agrees to reasonably assist the other Party in claiming refunds or exemption from such deductions or withholdings under double taxation or similar agreement or treaty from time to time in force and in minimizing the amount required to be so withheld or deducted.</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9"/>
          <w:szCs w:val="19"/>
          <w:b w:val="1"/>
          <w:bCs w:val="1"/>
          <w:color w:val="auto"/>
        </w:rPr>
        <w:t>Tax Documentation</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Each Party receiving payments under this Agreement shall provide to the other Party, at the time or times reasonably requested by such other Party or as required by Applicable Law, such properly completed and duly executed documentation (for example, IRS Form W-9 or applicable Form W-8) as will permit payments made under this Agreement to be made without, or at a reduced rate of, withholding for taxes.</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9"/>
          <w:szCs w:val="19"/>
          <w:b w:val="1"/>
          <w:bCs w:val="1"/>
          <w:color w:val="auto"/>
        </w:rPr>
        <w:t>Tax Information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Auditing</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9"/>
          <w:szCs w:val="19"/>
          <w:b w:val="1"/>
          <w:bCs w:val="1"/>
          <w:color w:val="auto"/>
        </w:rPr>
        <w:t>Atea Right to Audit</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Roche shall keep, and shall require its Affiliates and Sublicensees to keep, full, true and accurate books of account containing all particulars that may be necessary for the purpose of calculating all royalties payable under this Agreement. Such books of accounts shall be kept at their principal place of business. Atea shall, at its own expense, have the right to engage an internationally recognized independent public accountant reasonably acceptable to Roche to perform, on behalf of Atea, an audit of such books and records of Roche and its Affiliates that are deemed necessary by the independent public accountant to report on Net Sales of Product for the period or periods requested by Atea and the correctness of any financial report or payments made under this Agreement.</w:t>
      </w:r>
    </w:p>
    <w:p>
      <w:pPr>
        <w:spacing w:after="0" w:line="199" w:lineRule="exact"/>
        <w:rPr>
          <w:sz w:val="20"/>
          <w:szCs w:val="20"/>
          <w:color w:val="auto"/>
        </w:rPr>
      </w:pPr>
    </w:p>
    <w:p>
      <w:pPr>
        <w:jc w:val="both"/>
        <w:ind w:left="860" w:hanging="849"/>
        <w:spacing w:after="0" w:line="228" w:lineRule="auto"/>
        <w:tabs>
          <w:tab w:leader="none" w:pos="840" w:val="left"/>
        </w:tabs>
        <w:rPr>
          <w:sz w:val="20"/>
          <w:szCs w:val="20"/>
          <w:color w:val="auto"/>
        </w:rPr>
      </w:pPr>
      <w:r>
        <w:rPr>
          <w:rFonts w:ascii="Arial" w:cs="Arial" w:eastAsia="Arial" w:hAnsi="Arial"/>
          <w:sz w:val="20"/>
          <w:szCs w:val="20"/>
          <w:color w:val="auto"/>
        </w:rPr>
        <w:t>13.1.1</w:t>
        <w:tab/>
        <w:t>Upon timely request and at least [***] working days’ prior written notice from Atea, such audit shall be conducted for those countries Atea has specifically requested, during regular business hours in such a manner as to not unnecessarily interfere with Roche’s normal business activities. Such audit shall be limited to results in the [***] Calendar Years prior to audit notification, and if Atea requests an audit for a given Calendar Year, no additional audits may be conducted in the Territory for such Calendar Year. If Atea does not request an audit of a given Calendar Year on or before the [***] anniversary of the end of such Calendar Year, then Atea will be deemed to have accepted the royalty payments and reports in such Calendar Year.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2" w:name="page133"/>
    <w:bookmarkEnd w:id="132"/>
    <w:p>
      <w:pPr>
        <w:jc w:val="both"/>
        <w:ind w:left="860" w:right="20" w:hanging="849"/>
        <w:spacing w:after="0" w:line="236" w:lineRule="auto"/>
        <w:tabs>
          <w:tab w:leader="none" w:pos="840" w:val="left"/>
        </w:tabs>
        <w:rPr>
          <w:sz w:val="20"/>
          <w:szCs w:val="20"/>
          <w:color w:val="auto"/>
        </w:rPr>
      </w:pPr>
      <w:r>
        <w:rPr>
          <w:rFonts w:ascii="Arial" w:cs="Arial" w:eastAsia="Arial" w:hAnsi="Arial"/>
          <w:sz w:val="20"/>
          <w:szCs w:val="20"/>
          <w:color w:val="auto"/>
        </w:rPr>
        <w:t>13.1.2</w:t>
        <w:tab/>
        <w:t>Such audit shall not be performed more frequently than [***] per Calendar Year nor more frequently than once with respect to records covering any specific period of time.</w:t>
      </w:r>
    </w:p>
    <w:p>
      <w:pPr>
        <w:spacing w:after="0" w:line="250" w:lineRule="exact"/>
        <w:rPr>
          <w:sz w:val="20"/>
          <w:szCs w:val="20"/>
          <w:color w:val="auto"/>
        </w:rPr>
      </w:pPr>
    </w:p>
    <w:p>
      <w:pPr>
        <w:jc w:val="both"/>
        <w:ind w:left="860" w:hanging="849"/>
        <w:spacing w:after="0" w:line="229" w:lineRule="auto"/>
        <w:tabs>
          <w:tab w:leader="none" w:pos="840" w:val="left"/>
        </w:tabs>
        <w:rPr>
          <w:sz w:val="20"/>
          <w:szCs w:val="20"/>
          <w:color w:val="auto"/>
        </w:rPr>
      </w:pPr>
      <w:r>
        <w:rPr>
          <w:rFonts w:ascii="Arial" w:cs="Arial" w:eastAsia="Arial" w:hAnsi="Arial"/>
          <w:sz w:val="20"/>
          <w:szCs w:val="20"/>
          <w:color w:val="auto"/>
        </w:rPr>
        <w:t>13.1.3</w:t>
        <w:tab/>
        <w:t>All information, data documents and abstracts herein referred to shall be used only for the purpose of verifying royalty statements, shall be treated as Roche’s Confidential Information subject to the obligations of this Agreement and need neither be retained more than [***] year after completion of an audit hereof, if an audit has been requested; nor more than [***] years from the end of the Calendar Year to which each shall pertain; nor more than [***] years after the date of termination of this Agreement.</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9"/>
          <w:szCs w:val="19"/>
          <w:b w:val="1"/>
          <w:bCs w:val="1"/>
          <w:color w:val="auto"/>
        </w:rPr>
        <w:t>Audit Reports</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auditors shall only state factual findings in the audit reports and shall not interpret the agreement. The auditors shall share all draft audit findings with Roche before sharing such findings with Atea and before the final audit report is issued. The final audit report shall be shared with Roche at the same time it is shared with Atea.</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9"/>
          <w:szCs w:val="19"/>
          <w:b w:val="1"/>
          <w:bCs w:val="1"/>
          <w:color w:val="auto"/>
        </w:rPr>
        <w:t>Over-or Underpayment</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If the audit reveals an overpayment, Atea shall reimburse Roche for the amount of the overpayment within [***] days. If the audit reveals an underpayment, Roche shall make up such underpayment with the next royalty payment or, if no further royalty payments are owed by Roche, Roche shall reimburse Atea for the amount of the underpayment within [***] days. Roche shall pay for the audit costs if the underpayment of Roche exceeds [***] of the aggregate amount of royalty payments owed with regard to the royalty statements subject to the audit. Section 11.2 shall apply to this Section 13.3.</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Intellectual Property</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19"/>
          <w:szCs w:val="19"/>
          <w:b w:val="1"/>
          <w:bCs w:val="1"/>
          <w:color w:val="auto"/>
        </w:rPr>
        <w:t>Ownership of Inventions and Collaboration Know-How</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Atea shall own all Atea Inventions, Roche shall own all Roche Inventions, and Atea and Roche shall jointly own all Joint Inventions. Atea and Roche each shall require all of its employees to assign all inventions related to Products made by them to Roche and Atea, as the case may be.</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determination of inventorship for Inventions shall be in accordance with US inventorship laws as if such Inventions were made in the US.</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Subject to the licenses granted under this Agreement, Atea and Roche will each have an equal undivided share in the Joint Patent Rights, without obligation to account to the other for exploitation thereof, or to seek consent of the other Party for the grant of any license thereunder. Each Party hereby waives any right it may have under the laws of any jurisdiction to require such approval, consent or accounting with respect to jointly owned Inventions and Joint Patent Rights. Each Party hereby grants to the other party a nonexclusive, royalty-free (except as provided in this Agreement), worldwide license, with the right to grant sublicenses through multiple tiers (except as otherwise expressly provided in this Agreement) under their undivided interest in jointly owned Inventions and Joint Patent Rights to exploit jointly owned Inventions.</w:t>
      </w:r>
    </w:p>
    <w:p>
      <w:pPr>
        <w:spacing w:after="0" w:line="19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Except as specifically set forth herein, this Agreement shall not be construed as (i) giving any of the Parties any license, right, title, interest in or ownership to the Confidential Information; (ii) granting any license or right under any intellectual property rights; or (iii) representing any commitment by either Party to enter into any additional agreement, by implication or otherwise.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33" w:name="page134"/>
    <w:bookmarkEnd w:id="133"/>
    <w:p>
      <w:pPr>
        <w:jc w:val="both"/>
        <w:spacing w:after="0" w:line="232" w:lineRule="auto"/>
        <w:rPr>
          <w:sz w:val="20"/>
          <w:szCs w:val="20"/>
          <w:color w:val="auto"/>
        </w:rPr>
      </w:pPr>
      <w:r>
        <w:rPr>
          <w:rFonts w:ascii="Arial" w:cs="Arial" w:eastAsia="Arial" w:hAnsi="Arial"/>
          <w:sz w:val="20"/>
          <w:szCs w:val="20"/>
          <w:color w:val="auto"/>
        </w:rPr>
        <w:t>With respect to Know-How (other than Inventions) generated pursuant to the Global Development Plan, Atea shall own such Know-How made by employees of Atea solely or jointly with a Third Party, Roche shall own such Know-How made by employees of the Roche Group solely or jointly with a Third Party, and the Parties shall jointly own such Joint Know-How</w:t>
      </w:r>
      <w:r>
        <w:rPr>
          <w:rFonts w:ascii="Arial" w:cs="Arial" w:eastAsia="Arial" w:hAnsi="Arial"/>
          <w:sz w:val="20"/>
          <w:szCs w:val="20"/>
          <w:b w:val="1"/>
          <w:bCs w:val="1"/>
          <w:color w:val="auto"/>
        </w:rPr>
        <w: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9"/>
          <w:szCs w:val="19"/>
          <w:b w:val="1"/>
          <w:bCs w:val="1"/>
          <w:color w:val="auto"/>
        </w:rPr>
        <w:t>German Statute on Employee Inventions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 accordance with the German Statute on Employees Inventions, each Party agrees to claim the unlimited use of any Invention conceived, reduced to practice, developed, made or created in the performance of, or as a result of, any activities conducted under the Agreement by employees of any German Affiliates. For the avoidance of doubt, each Party is responsible for fulfilling the obligations towards their employees under the German Statute of Employee’s Inventions.</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9"/>
          <w:szCs w:val="19"/>
          <w:b w:val="1"/>
          <w:bCs w:val="1"/>
          <w:color w:val="auto"/>
        </w:rPr>
        <w:t>Trademarks</w:t>
      </w:r>
    </w:p>
    <w:p>
      <w:pPr>
        <w:spacing w:after="0" w:line="10" w:lineRule="exact"/>
        <w:rPr>
          <w:sz w:val="20"/>
          <w:szCs w:val="20"/>
          <w:color w:val="auto"/>
        </w:rPr>
      </w:pPr>
    </w:p>
    <w:p>
      <w:pPr>
        <w:ind w:firstLine="8"/>
        <w:spacing w:after="0" w:line="257" w:lineRule="auto"/>
        <w:tabs>
          <w:tab w:leader="none" w:pos="404" w:val="left"/>
        </w:tabs>
        <w:numPr>
          <w:ilvl w:val="0"/>
          <w:numId w:val="86"/>
        </w:numPr>
        <w:rPr>
          <w:rFonts w:ascii="Arial" w:cs="Arial" w:eastAsia="Arial" w:hAnsi="Arial"/>
          <w:sz w:val="19"/>
          <w:szCs w:val="19"/>
          <w:color w:val="auto"/>
        </w:rPr>
      </w:pPr>
      <w:r>
        <w:rPr>
          <w:rFonts w:ascii="Arial" w:cs="Arial" w:eastAsia="Arial" w:hAnsi="Arial"/>
          <w:sz w:val="19"/>
          <w:szCs w:val="19"/>
          <w:color w:val="auto"/>
        </w:rPr>
        <w:t>shall have the right to obtain the International Non-proprietary Name (INN) from the World Health Organization and the US Adopted Name (USAN) from the US adopted Names Council (USANC) as the generic name(s) for the Products other than [***].</w:t>
      </w:r>
    </w:p>
    <w:p>
      <w:pPr>
        <w:spacing w:after="0" w:line="18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Atea shall own all trademarks used on or in connection with Products in the Atea Territory, and shall, at its sole cost, be responsible for procurement, maintenance, enforcement and defense of all trademarks used on or in connection with Products in the Atea Territory.</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Roche shall own all trademarks used on or in connection with Products in the Roche Territory, and shall, at its sole cost, be responsible for procurement, maintenance, enforcement and defense of all trademarks used on or in connection with Products in the Roche Territory.</w:t>
      </w:r>
    </w:p>
    <w:p>
      <w:pPr>
        <w:spacing w:after="0" w:line="197"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Parties shall attempt to use a global trademark and logo for the Product; provided, that each Party may use such trademark as it selects to promote the sale of the Product in its Respective Territory (the “</w:t>
      </w:r>
      <w:r>
        <w:rPr>
          <w:rFonts w:ascii="Arial" w:cs="Arial" w:eastAsia="Arial" w:hAnsi="Arial"/>
          <w:sz w:val="19"/>
          <w:szCs w:val="19"/>
          <w:b w:val="1"/>
          <w:bCs w:val="1"/>
          <w:color w:val="auto"/>
        </w:rPr>
        <w:t>Product Trademarks</w:t>
      </w:r>
      <w:r>
        <w:rPr>
          <w:rFonts w:ascii="Arial" w:cs="Arial" w:eastAsia="Arial" w:hAnsi="Arial"/>
          <w:sz w:val="19"/>
          <w:szCs w:val="19"/>
          <w:color w:val="auto"/>
        </w:rPr>
        <w:t>”). Each Party shall grant the other Party a non-exclusive, royalty-free license to use the Product Trademarks it selects and owns solely for the purposes of manufacturing, distributing, promoting, selling and offering for sale the Product as permitted by this Agreement. Such trademark licenses shall be non-transferable, except that Atea shall have the right to sublicense such rights to its licensees in the Atea Territory, and Roche shall have the right to sublicense such rights to its permitted Sublicensees in the Roche Territory.</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Party owning each Product Trademark shall maintain all registrations of such Product Trademarks and the other Party shall not file any registrations or other filings in respect of any of such Product Trademarks without the owner’s prior written consent.</w:t>
      </w:r>
    </w:p>
    <w:p>
      <w:pPr>
        <w:spacing w:after="0" w:line="18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Each Party shall use the Product Trademarks in accordance with sound trademark and trade name usage principles and in accordance with all Applicable Law as reasonably necessary to maintain the validity and enforceability of the Product Trademarks. Each Party recognizes that the Product Trademarks owned by the other Party represent a valuable asset of such other Party, and that substantial recognition and goodwill are associated with such name, logo and trademarks. Each Party hereby agrees that, except as expressly stated in this Agreement or otherwise agreed in writing by the other Party, it shall not use such other Party’s Product Trademarks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34" w:name="page135"/>
    <w:bookmarkEnd w:id="134"/>
    <w:p>
      <w:pPr>
        <w:spacing w:after="0"/>
        <w:tabs>
          <w:tab w:leader="none" w:pos="68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9"/>
          <w:szCs w:val="19"/>
          <w:b w:val="1"/>
          <w:bCs w:val="1"/>
          <w:color w:val="auto"/>
        </w:rPr>
        <w:t>Prosecution of Atea Patent Rights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Atea shall, at its own expense (and with regard to (i) at its own discretion), (i) Handle all Atea Patent Rights, (ii) consult with Roche as to the Handling of such Atea Patent Rights, and (iii) furnish to Roche copies of all documents relevant to any such Handling. Atea shall furnish such documents and consult with Roche [***] before any action by Atea is due to allow Roche to provide comments thereon, [***]. At Atea’s expense and reasonable request, Roche shall cooperate, in all reasonable ways with the Handling of all Atea Patent Rights.</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9"/>
          <w:szCs w:val="19"/>
          <w:b w:val="1"/>
          <w:bCs w:val="1"/>
          <w:color w:val="auto"/>
        </w:rPr>
        <w:t>Abandonment of Atea Patent Rights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222222"/>
        </w:rPr>
        <w:t>If Atea determines to abandon any Atea Patent Right that is licensed to Roche under this Agreement then, prior to such abandonment, Atea shall offer such Patent Right to Roche to Handle thereafter at its own cost and expense, subject to the following: Roche shall (i) consult with Atea, through the patent coordination team as to the Handling thereof, and (ii) furnish to Atea copies of all documents relevant to any such Handling.</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19"/>
          <w:szCs w:val="19"/>
          <w:b w:val="1"/>
          <w:bCs w:val="1"/>
          <w:color w:val="auto"/>
        </w:rPr>
        <w:t>Prosecution of Roche Patent Rights Claiming Roche Inventions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Roche shall, at its own expense (and with regard to (i) at its own discretion), (i) Handle all Roche Patent Rights claiming Roche Inventions, (ii) consult with Atea as to the Handling of such Roche Patent Rights, and (iii) furnish to Atea copies of all documents relevant to any such Handling. Roche shall furnish such documents and consult with Atea [***] before any action by Roche is due with respect to such Roche Patent Rights to allow Atea to provide comments thereon, [***]. At Roche’s expense and reasonable request, Atea shall cooperate, in all reasonable ways with the Handling of all such Roche Patent Rights.</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9"/>
          <w:szCs w:val="19"/>
          <w:b w:val="1"/>
          <w:bCs w:val="1"/>
          <w:color w:val="auto"/>
        </w:rPr>
        <w:t>Abandonment of Roche Patent Rights Claiming Roche Inventions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If Roche determines to abandon any Roche Patent Right Covering Roche Inventions then, prior to such abandonment, Roche shall offer such Patent Right to Atea to Handle thereafter at its own cost and expense, subject to the following: Atea shall (i) consult with Roche, through the patent coordination team as to the Handling thereof, and (ii) furnish to Roche copies of all documents relevant to any such Handling.</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19"/>
          <w:szCs w:val="19"/>
          <w:b w:val="1"/>
          <w:bCs w:val="1"/>
          <w:color w:val="auto"/>
        </w:rPr>
        <w:t>Prosecution of Joint Patent Rights</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Atea shall, at its own expense (and with regard to (i) at its own discretion), (i) Handle all Joint Patent Rights that claim the Compound or Product, or the composition or formulation, methods-of-treatment, or therapeutic uses of the Compound or Product (except such Joint Patent Rights that claim manufacturing processes, intermediates, and IV formulations resulting from any IV Lead Compound Formulation activities), (ii) consult with Roche as to the Handling of such Joint Patent Rights, and (iii) furnish to Roche copies of all documents relevant to any such Handling. Atea shall furnish such documents and consult with Roche [***] before any action by Atea is due to allow Roche to provide comments thereon, [***]. At Atea’s expense and reasonable request, Roche shall cooperate, in all reasonable ways with the Handling of all such Joint Patent Rights.</w:t>
      </w:r>
    </w:p>
    <w:p>
      <w:pPr>
        <w:spacing w:after="0" w:line="19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Roche shall, at its own expense and discretion, (i) Handle all Joint Patent Rights that are not Handled by Atea, (ii) consult with Atea as to the Handling of such Joint Patent Rights, and (iii) furnish to Atea copies of all documents relevant to any such Handling. Roche shall furnish such documents and consult with Atea [***] before any action by Roche is due to allow Atea to provide comments thereon, [***]. At Roche’s expense and reasonable request, Atea shall cooperate, in all reasonable ways with the Handling of all such Joint 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5" w:name="page136"/>
    <w:bookmarkEnd w:id="135"/>
    <w:p>
      <w:pPr>
        <w:spacing w:after="0"/>
        <w:tabs>
          <w:tab w:leader="none" w:pos="68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9"/>
          <w:szCs w:val="19"/>
          <w:b w:val="1"/>
          <w:bCs w:val="1"/>
          <w:color w:val="auto"/>
        </w:rPr>
        <w:t>Abandonment of Joint Patent Rights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If the Party Handling Joint Patent Rights pursuant to Section 14.8 determines to abandon any Joint Patent Right then, prior to such abandonment, such Party shall offer such Joint Patent Right to the other Party to Handle thereafter at its own cost and expense, subject to the following: the other Party shall (i) consult with the abandoning Party, through the patent coordination team as to the Handling thereof, and (ii) furnish to the abandoning Party copies of all documents relevant to any such Handling.</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14.10</w:t>
      </w:r>
      <w:r>
        <w:rPr>
          <w:sz w:val="20"/>
          <w:szCs w:val="20"/>
          <w:color w:val="auto"/>
        </w:rPr>
        <w:tab/>
      </w:r>
      <w:r>
        <w:rPr>
          <w:rFonts w:ascii="Arial" w:cs="Arial" w:eastAsia="Arial" w:hAnsi="Arial"/>
          <w:sz w:val="19"/>
          <w:szCs w:val="19"/>
          <w:b w:val="1"/>
          <w:bCs w:val="1"/>
          <w:color w:val="auto"/>
        </w:rPr>
        <w:t>Patent Coordination Team</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Where the Parties need to consult with each other on the Handling of Patent Rights, the Parties shall establish a patent coordination team and shall adopt procedures for interacting on patent matters.</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14.11</w:t>
      </w:r>
      <w:r>
        <w:rPr>
          <w:sz w:val="20"/>
          <w:szCs w:val="20"/>
          <w:color w:val="auto"/>
        </w:rPr>
        <w:tab/>
      </w:r>
      <w:r>
        <w:rPr>
          <w:rFonts w:ascii="Arial" w:cs="Arial" w:eastAsia="Arial" w:hAnsi="Arial"/>
          <w:sz w:val="19"/>
          <w:szCs w:val="19"/>
          <w:b w:val="1"/>
          <w:bCs w:val="1"/>
          <w:color w:val="auto"/>
        </w:rPr>
        <w:t>[***]</w:t>
      </w:r>
    </w:p>
    <w:p>
      <w:pPr>
        <w:spacing w:after="0" w:line="20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14.12</w:t>
      </w:r>
      <w:r>
        <w:rPr>
          <w:sz w:val="20"/>
          <w:szCs w:val="20"/>
          <w:color w:val="auto"/>
        </w:rPr>
        <w:tab/>
      </w:r>
      <w:r>
        <w:rPr>
          <w:rFonts w:ascii="Arial" w:cs="Arial" w:eastAsia="Arial" w:hAnsi="Arial"/>
          <w:sz w:val="19"/>
          <w:szCs w:val="19"/>
          <w:b w:val="1"/>
          <w:bCs w:val="1"/>
          <w:color w:val="auto"/>
        </w:rPr>
        <w:t>CREATE Act</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It is the intention of the Parties that this Agreement is a “joint research agreement” as that phrase is defined in 35 USC § 102(c) (AIA). In the event that either Party to this Agreement intends to overcome a rejection of a claimed invention covered by Joint Patent Rights or the Atea Patent Rights pursuant to the provisions of 35 USC §§ 102(a)-(d), such Party shall first obtain the prior written consent of the other Party. Following receipt of such written consent, such Party shall limit any amendment to the specification or statement to the patent office with respect to this Agreement to that which is strictly required by the applicable subsection of 35 USC § 102 and the rules and regulations promulgated thereunder and which is consistent with the terms and conditions of this Agreement (including the scope of the Global Development Plan). To the extent that the Parties agree that, in order to overcome a rejection of a claimed invention covered by Joint Patent Rights or the Atea Patent Rights pursuant to the provisions of the applicable subsection of 35 USC § 102, if the filing of a terminal disclaimer is required or advisable, the Parties shall first agree on terms and conditions under which the patent application subject to such terminal disclaimer and the patent or application over which such application is disclaimed shall be jointly enforced, to the extent that the Parties have not previously agreed to such terms and conditions. In the event that Roche enters into an agreement with a Third Party with respect to the further research, development or commercialization of a Product, Atea shall, upon Roche’s request, similarly enter into such agreement with such Third Party for the purposes of furthering the Parties’ objectives under this Agreement, provided that such agreement does not place any material obligation on Atea.</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14.13</w:t>
      </w:r>
      <w:r>
        <w:rPr>
          <w:sz w:val="20"/>
          <w:szCs w:val="20"/>
          <w:color w:val="auto"/>
        </w:rPr>
        <w:tab/>
      </w:r>
      <w:r>
        <w:rPr>
          <w:rFonts w:ascii="Arial" w:cs="Arial" w:eastAsia="Arial" w:hAnsi="Arial"/>
          <w:sz w:val="19"/>
          <w:szCs w:val="19"/>
          <w:b w:val="1"/>
          <w:bCs w:val="1"/>
          <w:color w:val="auto"/>
        </w:rPr>
        <w:t>Infringement</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Each Party shall promptly provide written notice to the other Party during the Agreement Term of any (a) known infringement or suspected infringement by a Third Party of any Atea Patent Rights, Roche Patent Rights or Joint Patent Rights (an “</w:t>
      </w:r>
      <w:r>
        <w:rPr>
          <w:rFonts w:ascii="Arial" w:cs="Arial" w:eastAsia="Arial" w:hAnsi="Arial"/>
          <w:sz w:val="20"/>
          <w:szCs w:val="20"/>
          <w:b w:val="1"/>
          <w:bCs w:val="1"/>
          <w:color w:val="auto"/>
        </w:rPr>
        <w:t>Infringement</w:t>
      </w:r>
      <w:r>
        <w:rPr>
          <w:rFonts w:ascii="Arial" w:cs="Arial" w:eastAsia="Arial" w:hAnsi="Arial"/>
          <w:sz w:val="20"/>
          <w:szCs w:val="20"/>
          <w:color w:val="auto"/>
        </w:rPr>
        <w:t>”), or (b) known or suspected unauthorized use or misappropriation by a Third Party of any Atea Know-How, Roche Know-How or Joint Know-How (a “</w:t>
      </w:r>
      <w:r>
        <w:rPr>
          <w:rFonts w:ascii="Arial" w:cs="Arial" w:eastAsia="Arial" w:hAnsi="Arial"/>
          <w:sz w:val="20"/>
          <w:szCs w:val="20"/>
          <w:b w:val="1"/>
          <w:bCs w:val="1"/>
          <w:color w:val="auto"/>
        </w:rPr>
        <w:t>Misappropriation</w:t>
      </w:r>
      <w:r>
        <w:rPr>
          <w:rFonts w:ascii="Arial" w:cs="Arial" w:eastAsia="Arial" w:hAnsi="Arial"/>
          <w:sz w:val="20"/>
          <w:szCs w:val="20"/>
          <w:color w:val="auto"/>
        </w:rPr>
        <w:t>”), and shall provide the other Party with all evidence in its possession supporting such Infringement or Misappropriation.</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Within [***] days after the Dominant Party provides or receives such written notice (“</w:t>
      </w:r>
      <w:r>
        <w:rPr>
          <w:rFonts w:ascii="Arial" w:cs="Arial" w:eastAsia="Arial" w:hAnsi="Arial"/>
          <w:sz w:val="20"/>
          <w:szCs w:val="20"/>
          <w:b w:val="1"/>
          <w:bCs w:val="1"/>
          <w:color w:val="auto"/>
        </w:rPr>
        <w:t>Decision Period</w:t>
      </w:r>
      <w:r>
        <w:rPr>
          <w:rFonts w:ascii="Arial" w:cs="Arial" w:eastAsia="Arial" w:hAnsi="Arial"/>
          <w:sz w:val="20"/>
          <w:szCs w:val="20"/>
          <w:color w:val="auto"/>
        </w:rPr>
        <w:t>”), the Dominant Party, in its sole discretion, shall decide whether or not to initiate a suit or action in the Territory regarding such infringement or unauthorized use or misappropriation and shall notify other Party of its decision in writing (“</w:t>
      </w:r>
      <w:r>
        <w:rPr>
          <w:rFonts w:ascii="Arial" w:cs="Arial" w:eastAsia="Arial" w:hAnsi="Arial"/>
          <w:sz w:val="20"/>
          <w:szCs w:val="20"/>
          <w:b w:val="1"/>
          <w:bCs w:val="1"/>
          <w:color w:val="auto"/>
        </w:rPr>
        <w:t>Suit Notice</w:t>
      </w:r>
      <w:r>
        <w:rPr>
          <w:rFonts w:ascii="Arial" w:cs="Arial" w:eastAsia="Arial" w:hAnsi="Arial"/>
          <w:sz w:val="20"/>
          <w:szCs w:val="20"/>
          <w:color w:val="auto"/>
        </w:rPr>
        <w:t>”). The “</w:t>
      </w:r>
      <w:r>
        <w:rPr>
          <w:rFonts w:ascii="Arial" w:cs="Arial" w:eastAsia="Arial" w:hAnsi="Arial"/>
          <w:sz w:val="20"/>
          <w:szCs w:val="20"/>
          <w:b w:val="1"/>
          <w:bCs w:val="1"/>
          <w:color w:val="auto"/>
        </w:rPr>
        <w:t>Dominant</w:t>
      </w:r>
      <w:r>
        <w:rPr>
          <w:rFonts w:ascii="Arial" w:cs="Arial" w:eastAsia="Arial" w:hAnsi="Arial"/>
          <w:sz w:val="20"/>
          <w:szCs w:val="20"/>
          <w:color w:val="auto"/>
        </w:rPr>
        <w:t xml:space="preserve"> </w:t>
      </w:r>
      <w:r>
        <w:rPr>
          <w:rFonts w:ascii="Arial" w:cs="Arial" w:eastAsia="Arial" w:hAnsi="Arial"/>
          <w:sz w:val="20"/>
          <w:szCs w:val="20"/>
          <w:b w:val="1"/>
          <w:bCs w:val="1"/>
          <w:color w:val="auto"/>
        </w:rPr>
        <w:t>Party</w:t>
      </w:r>
      <w:r>
        <w:rPr>
          <w:rFonts w:ascii="Arial" w:cs="Arial" w:eastAsia="Arial" w:hAnsi="Arial"/>
          <w:sz w:val="20"/>
          <w:szCs w:val="20"/>
          <w:color w:val="auto"/>
        </w:rPr>
        <w:t>” shall be (i) Roche in the case of (A) a Misappropriation of Roche Know-How in the Atea Territory (a “</w:t>
      </w:r>
      <w:r>
        <w:rPr>
          <w:rFonts w:ascii="Arial" w:cs="Arial" w:eastAsia="Arial" w:hAnsi="Arial"/>
          <w:sz w:val="20"/>
          <w:szCs w:val="20"/>
          <w:b w:val="1"/>
          <w:bCs w:val="1"/>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6" w:name="page137"/>
    <w:bookmarkEnd w:id="136"/>
    <w:p>
      <w:pPr>
        <w:jc w:val="both"/>
        <w:spacing w:after="0" w:line="257" w:lineRule="auto"/>
        <w:rPr>
          <w:sz w:val="20"/>
          <w:szCs w:val="20"/>
          <w:color w:val="auto"/>
        </w:rPr>
      </w:pPr>
      <w:r>
        <w:rPr>
          <w:rFonts w:ascii="Arial" w:cs="Arial" w:eastAsia="Arial" w:hAnsi="Arial"/>
          <w:sz w:val="20"/>
          <w:szCs w:val="20"/>
          <w:b w:val="1"/>
          <w:bCs w:val="1"/>
          <w:color w:val="auto"/>
        </w:rPr>
        <w:t>Roche Know-How Misappropriation</w:t>
      </w:r>
      <w:r>
        <w:rPr>
          <w:rFonts w:ascii="Arial" w:cs="Arial" w:eastAsia="Arial" w:hAnsi="Arial"/>
          <w:sz w:val="20"/>
          <w:szCs w:val="20"/>
          <w:color w:val="auto"/>
        </w:rPr>
        <w:t>” or (B) an Infringement or Misappropriation in the Roche Territory, and (ii) Atea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case of an Infringement or Misappropriation of in the Atea Territory other than a US Roche Know-How Misappropriation.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If the Dominant Party decides to bring a suit or take action, once the Dominant Party provides Suit Notice, the Dominant Party may immediately commence such suit or take such action. In the event that the Dominant Party (i) does not in writing advise the other Party within the Decision Period that the Dominant Party will commence suit or take action, or (ii) fails to commence suit or take action within a reasonable time after providing Suit Notice, the other Party shall thereafter have the right to commence suit or take action and shall provide written notice to the Dominant Party of any such suit commenced or action taken by it.</w:t>
      </w:r>
    </w:p>
    <w:p>
      <w:pPr>
        <w:spacing w:after="0" w:line="17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Upon written request, the Party bringing suit or taking action (“</w:t>
      </w:r>
      <w:r>
        <w:rPr>
          <w:rFonts w:ascii="Arial" w:cs="Arial" w:eastAsia="Arial" w:hAnsi="Arial"/>
          <w:sz w:val="20"/>
          <w:szCs w:val="20"/>
          <w:b w:val="1"/>
          <w:bCs w:val="1"/>
          <w:color w:val="auto"/>
        </w:rPr>
        <w:t>Initiating Party</w:t>
      </w:r>
      <w:r>
        <w:rPr>
          <w:rFonts w:ascii="Arial" w:cs="Arial" w:eastAsia="Arial" w:hAnsi="Arial"/>
          <w:sz w:val="20"/>
          <w:szCs w:val="20"/>
          <w:color w:val="auto"/>
        </w:rPr>
        <w:t>”) shall keep the other Party informed of the status of any such suit or action and shall provide the other Party with copies, to the extent the Initiating Party is lawfully permitted to do so, of all substantive documents or communications filed in such suit or action. The Initiating Party shall have the sole and exclusive right to select counsel for any such suit or action; provided that the other Party may engage counsel to monitor such suit or action at such other Party’s expense.</w:t>
      </w:r>
    </w:p>
    <w:p>
      <w:pPr>
        <w:spacing w:after="0" w:line="199"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The Initiating Party shall, except as provided below, pay all expenses of the suit or action, including the Initiating Party’s attorneys’ fees and court costs. Unless otherwise agreed by the Parties, and subject to the Parties’ respective obligations under Article 16, all monies recovered upon the final judgment or settlement of any action described in this Section 14.13 shall be used as follows:</w:t>
      </w:r>
    </w:p>
    <w:p>
      <w:pPr>
        <w:spacing w:after="0" w:line="2" w:lineRule="exact"/>
        <w:rPr>
          <w:sz w:val="20"/>
          <w:szCs w:val="20"/>
          <w:color w:val="auto"/>
        </w:rPr>
      </w:pPr>
    </w:p>
    <w:p>
      <w:pPr>
        <w:ind w:left="580" w:hanging="572"/>
        <w:spacing w:after="0" w:line="225" w:lineRule="auto"/>
        <w:tabs>
          <w:tab w:leader="none" w:pos="5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First, to reimburse the Initiating Party for its costs associated with such action and, if any remains, to the other Party for any fees and costs incurred in connection with such action; and</w:t>
      </w:r>
    </w:p>
    <w:p>
      <w:pPr>
        <w:ind w:left="580" w:hanging="572"/>
        <w:spacing w:after="0" w:line="225" w:lineRule="auto"/>
        <w:tabs>
          <w:tab w:leader="none" w:pos="5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Second,</w:t>
      </w:r>
    </w:p>
    <w:p>
      <w:pPr>
        <w:ind w:left="920" w:hanging="413"/>
        <w:spacing w:after="0" w:line="225" w:lineRule="auto"/>
        <w:tabs>
          <w:tab w:leader="none" w:pos="920" w:val="left"/>
        </w:tabs>
        <w:numPr>
          <w:ilvl w:val="1"/>
          <w:numId w:val="87"/>
        </w:numPr>
        <w:rPr>
          <w:rFonts w:ascii="Arial" w:cs="Arial" w:eastAsia="Arial" w:hAnsi="Arial"/>
          <w:sz w:val="20"/>
          <w:szCs w:val="20"/>
          <w:color w:val="auto"/>
        </w:rPr>
      </w:pPr>
      <w:r>
        <w:rPr>
          <w:rFonts w:ascii="Arial" w:cs="Arial" w:eastAsia="Arial" w:hAnsi="Arial"/>
          <w:sz w:val="20"/>
          <w:szCs w:val="20"/>
          <w:color w:val="auto"/>
        </w:rPr>
        <w:t>[***]; and</w:t>
      </w:r>
    </w:p>
    <w:p>
      <w:pPr>
        <w:ind w:left="920" w:hanging="413"/>
        <w:spacing w:after="0"/>
        <w:tabs>
          <w:tab w:leader="none" w:pos="920" w:val="left"/>
        </w:tabs>
        <w:numPr>
          <w:ilvl w:val="1"/>
          <w:numId w:val="87"/>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If the Initiating Party believes it is reasonably necessary or desirable to obtain an effective remedy, upon written request the other Party agrees to be joined as a party to the suit or action but shall be under no obligation to participate except to the extent that such participation is required as the result of its being a named party to the suit or action. At the Initiating Party’s written request, the other Party shall offer reasonable assistance to the Initiating Party in connection therewith at no charge to the Initiating Party except for reimbursement of reasonable out-of-pocket expenses incurred by the other Party in rendering such assistance. The other Party shall have the right to participate and be represented in any such suit or action by its own counsel at its own expense.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Initiating Party may settle, consent judgment or otherwise voluntarily dispose of the suit or action (“</w:t>
      </w:r>
      <w:r>
        <w:rPr>
          <w:rFonts w:ascii="Arial" w:cs="Arial" w:eastAsia="Arial" w:hAnsi="Arial"/>
          <w:sz w:val="19"/>
          <w:szCs w:val="19"/>
          <w:b w:val="1"/>
          <w:bCs w:val="1"/>
          <w:color w:val="auto"/>
        </w:rPr>
        <w:t>Settlement</w:t>
      </w:r>
      <w:r>
        <w:rPr>
          <w:rFonts w:ascii="Arial" w:cs="Arial" w:eastAsia="Arial" w:hAnsi="Arial"/>
          <w:sz w:val="19"/>
          <w:szCs w:val="19"/>
          <w:color w:val="auto"/>
        </w:rPr>
        <w:t>”) without the written consent of the other Party but only if such Settlement can be achieved without adversely affecting the other Party or its Affiliates (including their interest in and to the Product or to any of their Patent Rights). If a Settlement could adversely affect the other Party, then the written consent of the other Party would be required, which consent shall not be unreasonably withheld.</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For any patent that is not an Atea Patent Right or a Joint Patent Right, Roche, in its sole discretion, shall decide whether or not to initiate such suit or action in the Territory. Roche shall have full discretion as to how it wishes to handle such suit and may reach Settlement and retain all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7" w:name="page138"/>
    <w:bookmarkEnd w:id="137"/>
    <w:p>
      <w:pPr>
        <w:jc w:val="both"/>
        <w:spacing w:after="0" w:line="230" w:lineRule="auto"/>
        <w:rPr>
          <w:sz w:val="20"/>
          <w:szCs w:val="20"/>
          <w:color w:val="auto"/>
        </w:rPr>
      </w:pPr>
      <w:r>
        <w:rPr>
          <w:rFonts w:ascii="Arial" w:cs="Arial" w:eastAsia="Arial" w:hAnsi="Arial"/>
          <w:sz w:val="20"/>
          <w:szCs w:val="20"/>
          <w:color w:val="auto"/>
        </w:rPr>
        <w:t>damages, settlement fees or other consideration under any terms and conditions it desires and retain whatever proceeds are realized in such suit or action. Only if a Settlement could adversely affect Atea or its Affiliates (including their interest in and to the Product or to any of their Patent Rights) shall the written consent of Atea be required, which consent shall not be unreasonably withheld.</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14.14</w:t>
      </w:r>
      <w:r>
        <w:rPr>
          <w:sz w:val="20"/>
          <w:szCs w:val="20"/>
          <w:color w:val="auto"/>
        </w:rPr>
        <w:tab/>
      </w:r>
      <w:r>
        <w:rPr>
          <w:rFonts w:ascii="Arial" w:cs="Arial" w:eastAsia="Arial" w:hAnsi="Arial"/>
          <w:sz w:val="19"/>
          <w:szCs w:val="19"/>
          <w:b w:val="1"/>
          <w:bCs w:val="1"/>
          <w:color w:val="auto"/>
        </w:rPr>
        <w:t>Defense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14.14.1 Notice</w:t>
      </w:r>
    </w:p>
    <w:p>
      <w:pPr>
        <w:jc w:val="both"/>
        <w:spacing w:after="0" w:line="232" w:lineRule="auto"/>
        <w:rPr>
          <w:sz w:val="20"/>
          <w:szCs w:val="20"/>
          <w:color w:val="auto"/>
        </w:rPr>
      </w:pPr>
      <w:r>
        <w:rPr>
          <w:rFonts w:ascii="Arial" w:cs="Arial" w:eastAsia="Arial" w:hAnsi="Arial"/>
          <w:sz w:val="20"/>
          <w:szCs w:val="20"/>
          <w:color w:val="auto"/>
        </w:rPr>
        <w:t>If a Third Party asserts that a Patent Right controlled by it is, or will be, infringed by the exploitation of the Product in the Territory in accordance with this Agreement, then the Party first obtaining knowledge of such claim will promptly provide the other with prompt written notice thereof and the related facts in reasonable detail.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14.14.2 Responsibility to Defend</w:t>
      </w:r>
    </w:p>
    <w:p>
      <w:pPr>
        <w:jc w:val="both"/>
        <w:spacing w:after="0" w:line="228" w:lineRule="auto"/>
        <w:rPr>
          <w:sz w:val="20"/>
          <w:szCs w:val="20"/>
          <w:color w:val="auto"/>
        </w:rPr>
      </w:pPr>
      <w:r>
        <w:rPr>
          <w:rFonts w:ascii="Arial" w:cs="Arial" w:eastAsia="Arial" w:hAnsi="Arial"/>
          <w:sz w:val="20"/>
          <w:szCs w:val="20"/>
          <w:color w:val="auto"/>
        </w:rPr>
        <w:t>During the Agreement Term, if a Third Party asserts that a Patent Right controlled by such Third Party is infringed, or will be infringed, by the exploitation of the Product, then the JSC will promptly discuss the matter and the appropriate course of action. If the JSC cannot agree on a course of action within [***] days following the date on which the JSC receives notice of such Third Party claim, then: (a) Atea will have the first right, but not the obligation, to defend such claim in the Atea Territory using counsel of its own choosing, and (b) Roche will have the first right, but not the obligation, to defend such claim in the Roche Territory using external counsel agreed by the Parties. If the Party having the first right does not take affirmative steps to defend such claim in the Respective Territory within [***] days (or such shorter period of time as is legally required to answer to such claim), then the other Party may defend such claim in such territory.</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Party defending such claim will (i) keep the other Party reasonably informed regarding any such assertion, including by providing the other Party with copies of all pleadings and other documents filed in any proceeding relating to such claim, (ii) consider reasonable input from the other Party during the course of the claim, and (iii) provide the other Party with the opportunity to attend any substantive meetings, hearings, or other proceedings related to such claim (together with its own counsel, at its own expense) and to review and comment on all substantive documents related to such claim prior to filing or submission of such documents. The Parties will reasonably assist each other and cooperate and share information with respect to any such claim. Each Party will bear its own costs and expenses with respect to any such claim.</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14.14.3 Settlement</w:t>
      </w:r>
    </w:p>
    <w:p>
      <w:pPr>
        <w:jc w:val="both"/>
        <w:spacing w:after="0" w:line="229" w:lineRule="auto"/>
        <w:rPr>
          <w:sz w:val="20"/>
          <w:szCs w:val="20"/>
          <w:color w:val="auto"/>
        </w:rPr>
      </w:pPr>
      <w:r>
        <w:rPr>
          <w:rFonts w:ascii="Arial" w:cs="Arial" w:eastAsia="Arial" w:hAnsi="Arial"/>
          <w:sz w:val="20"/>
          <w:szCs w:val="20"/>
          <w:color w:val="auto"/>
        </w:rPr>
        <w:t>Each Party is free to pursue or enter into any settlement or license agreement with any Third Party with respect to the Patent Rights that are the subject of a claim brought by a Third Party that a Patent Right controlled by such Third Party is infringed by the exploitation of the Product in the Relevant Territory without the other Party’s prior written consent provided such settlement or license agreement does not affect the other Party or its Affiliates (including their interest in and to the Product or to any of their Patent Rights). The Parties acknowledge and agree that [***].</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14.15</w:t>
      </w:r>
      <w:r>
        <w:rPr>
          <w:sz w:val="20"/>
          <w:szCs w:val="20"/>
          <w:color w:val="auto"/>
        </w:rPr>
        <w:tab/>
      </w:r>
      <w:r>
        <w:rPr>
          <w:rFonts w:ascii="Arial" w:cs="Arial" w:eastAsia="Arial" w:hAnsi="Arial"/>
          <w:sz w:val="19"/>
          <w:szCs w:val="19"/>
          <w:b w:val="1"/>
          <w:bCs w:val="1"/>
          <w:color w:val="auto"/>
        </w:rPr>
        <w:t>Third Party Licenses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If in either Party’s opinion a license to Third Party Patent Rights or other intellectual property rights is necessary or reasonably useful to develop, make, use or sell Products, then such Party may notify the other Party in writing of the Third Party and the applicable intellectual property rights, and the Parties will cooperate to negotiate and enter into a license or other agreement with the Third Party to obtain a license to such Third Party intellectual property rights (a “</w:t>
      </w:r>
      <w:r>
        <w:rPr>
          <w:rFonts w:ascii="Arial" w:cs="Arial" w:eastAsia="Arial" w:hAnsi="Arial"/>
          <w:sz w:val="20"/>
          <w:szCs w:val="20"/>
          <w:b w:val="1"/>
          <w:bCs w:val="1"/>
          <w:color w:val="auto"/>
        </w:rPr>
        <w:t>Third Party IP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8" w:name="page139"/>
    <w:bookmarkEnd w:id="138"/>
    <w:p>
      <w:pPr>
        <w:jc w:val="both"/>
        <w:spacing w:after="0" w:line="229" w:lineRule="auto"/>
        <w:rPr>
          <w:sz w:val="20"/>
          <w:szCs w:val="20"/>
          <w:color w:val="auto"/>
        </w:rPr>
      </w:pPr>
      <w:r>
        <w:rPr>
          <w:rFonts w:ascii="Arial" w:cs="Arial" w:eastAsia="Arial" w:hAnsi="Arial"/>
          <w:sz w:val="20"/>
          <w:szCs w:val="20"/>
          <w:b w:val="1"/>
          <w:bCs w:val="1"/>
          <w:color w:val="auto"/>
        </w:rPr>
        <w:t>License</w:t>
      </w:r>
      <w:r>
        <w:rPr>
          <w:rFonts w:ascii="Arial" w:cs="Arial" w:eastAsia="Arial" w:hAnsi="Arial"/>
          <w:sz w:val="20"/>
          <w:szCs w:val="20"/>
          <w:color w:val="auto"/>
        </w:rPr>
        <w:t>”). [***] shall have the first right to negotiate and enter into a Third Party IP License with a Third Party to obtain [***]</w:t>
      </w:r>
      <w:r>
        <w:rPr>
          <w:rFonts w:ascii="Arial" w:cs="Arial" w:eastAsia="Arial" w:hAnsi="Arial"/>
          <w:sz w:val="20"/>
          <w:szCs w:val="20"/>
          <w:b w:val="1"/>
          <w:bCs w:val="1"/>
          <w:color w:val="auto"/>
        </w:rPr>
        <w:t xml:space="preserve"> </w:t>
      </w:r>
      <w:r>
        <w:rPr>
          <w:rFonts w:ascii="Arial" w:cs="Arial" w:eastAsia="Arial" w:hAnsi="Arial"/>
          <w:sz w:val="20"/>
          <w:szCs w:val="20"/>
          <w:color w:val="auto"/>
        </w:rPr>
        <w:t>Third Party Rights, and [***] shall have the first right to negotiate and enter into a Third Party IP License to obtain [***] Third Party Rights (the Party having the first right to negotiate and enter into any such license or other agreement being the “</w:t>
      </w:r>
      <w:r>
        <w:rPr>
          <w:rFonts w:ascii="Arial" w:cs="Arial" w:eastAsia="Arial" w:hAnsi="Arial"/>
          <w:sz w:val="20"/>
          <w:szCs w:val="20"/>
          <w:b w:val="1"/>
          <w:bCs w:val="1"/>
          <w:color w:val="auto"/>
        </w:rPr>
        <w:t>Primary</w:t>
      </w:r>
      <w:r>
        <w:rPr>
          <w:rFonts w:ascii="Arial" w:cs="Arial" w:eastAsia="Arial" w:hAnsi="Arial"/>
          <w:sz w:val="20"/>
          <w:szCs w:val="20"/>
          <w:color w:val="auto"/>
        </w:rPr>
        <w:t xml:space="preserve"> </w:t>
      </w:r>
      <w:r>
        <w:rPr>
          <w:rFonts w:ascii="Arial" w:cs="Arial" w:eastAsia="Arial" w:hAnsi="Arial"/>
          <w:sz w:val="20"/>
          <w:szCs w:val="20"/>
          <w:b w:val="1"/>
          <w:bCs w:val="1"/>
          <w:color w:val="auto"/>
        </w:rPr>
        <w:t>Negotiating Party</w:t>
      </w:r>
      <w:r>
        <w:rPr>
          <w:rFonts w:ascii="Arial" w:cs="Arial" w:eastAsia="Arial" w:hAnsi="Arial"/>
          <w:sz w:val="20"/>
          <w:szCs w:val="20"/>
          <w:color w:val="auto"/>
        </w:rPr>
        <w:t>”). The Primary Negotiating Party will have the right for a reasonable period following such notice to negotiate</w:t>
      </w:r>
      <w:r>
        <w:rPr>
          <w:rFonts w:ascii="Arial" w:cs="Arial" w:eastAsia="Arial" w:hAnsi="Arial"/>
          <w:sz w:val="20"/>
          <w:szCs w:val="20"/>
          <w:b w:val="1"/>
          <w:bCs w:val="1"/>
          <w:color w:val="auto"/>
        </w:rPr>
        <w:t xml:space="preserve"> </w:t>
      </w:r>
      <w:r>
        <w:rPr>
          <w:rFonts w:ascii="Arial" w:cs="Arial" w:eastAsia="Arial" w:hAnsi="Arial"/>
          <w:sz w:val="20"/>
          <w:szCs w:val="20"/>
          <w:color w:val="auto"/>
        </w:rPr>
        <w:t>the Third Party IP License or otherwise resolve the matter by, for example, challenging the relevant Third Party Patent Rights or conducting any oppositions, inter partes reviews or similar proceedings. If the Primary Negotiating Party is unable or unwilling to obtain such license within such reasonable period, then the other Party shall have the right to obtain such license from the Third Party or otherwise resolve the matter by, for example, challenging the relevant Third Party Patent Rights or conducting any oppositions, inter partes reviews or similar proceedings. Notwithstanding which Party negotiates and enters into a Third Party IP License pursuant to this Section 14.15, the Parties will mutually agree on the terms and conditions of any such Third Party IP License. If the Parties are unable to agree on the terms and conditions of any Third Party IP License, the matter will be escalated to the JSC.</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14.16</w:t>
      </w:r>
      <w:r>
        <w:rPr>
          <w:sz w:val="20"/>
          <w:szCs w:val="20"/>
          <w:color w:val="auto"/>
        </w:rPr>
        <w:tab/>
      </w:r>
      <w:r>
        <w:rPr>
          <w:rFonts w:ascii="Arial" w:cs="Arial" w:eastAsia="Arial" w:hAnsi="Arial"/>
          <w:sz w:val="19"/>
          <w:szCs w:val="19"/>
          <w:b w:val="1"/>
          <w:bCs w:val="1"/>
          <w:color w:val="auto"/>
        </w:rPr>
        <w:t>Common Interest Disclosures</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With regard to any information or opinions disclosed pursuant to this Agreement by one Party to each other regarding intellectual property or technology owned by Third Parties, the Parties agree that they have a common legal interest in determining whether, and to what extent, Third Party intellectual property rights may affect the conduct of the development or manufacturing activities under this Agreement or Compounds or Products, and have a further common legal interest in defending against any actual or prospective Third Party claims based on allegations of misuse or infringement of intellectual property rights relating to the conduct of the development or manufacturing activities under this Agreement or Compounds or Products. Accordingly, the Parties agree that all such information and materials obtained by Atea and Roche from each other will be used solely for purposes of the Parties’ common legal interests with respect to the conduct of the Agreement. All information and materials will be treated as protected by the attorney-client privilege, the work product privilege, and any other privilege or immunity that may otherwise be applicable. By sharing any such information and materials, neither Party intends to waive or limit any privilege or immunity that may apply to the shared information and materials. Neither Party shall have the authority to waive any privilege or immunity on behalf of the other Party without such other Party’s prior written consent, nor shall the waiver of privilege or immunity resulting from the conduct of one Party be deemed to apply against any other Party. Notwithstanding the foregoing, neither Party’s attorney represents the other Party.</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14.17</w:t>
      </w:r>
      <w:r>
        <w:rPr>
          <w:sz w:val="20"/>
          <w:szCs w:val="20"/>
          <w:color w:val="auto"/>
        </w:rPr>
        <w:tab/>
      </w:r>
      <w:r>
        <w:rPr>
          <w:rFonts w:ascii="Arial" w:cs="Arial" w:eastAsia="Arial" w:hAnsi="Arial"/>
          <w:sz w:val="19"/>
          <w:szCs w:val="19"/>
          <w:b w:val="1"/>
          <w:bCs w:val="1"/>
          <w:color w:val="auto"/>
        </w:rPr>
        <w:t>Hatch-Waxman</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Notwithstanding anything herein to the contrary, should a Party receive a certification for a Product pursuant to the Drug Price Competition and Patent Term Restoration Act of 1984 (Public Law 98-417, known as the Hatch-Waxman Act), as amended, or its equivalent in a country other than the US, then such Party shall immediately provide the other Party with a copy of such certification.</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Atea shall have the sole right to bring suit, at its expense, within a [***] day period from the date of any such certification in the Atea Territory.</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Roche shall have the sole right to bring suit, at its expense, within the applicable, country-specific maximum period of time from the date of any such certification in the Roche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9" w:name="page140"/>
    <w:bookmarkEnd w:id="139"/>
    <w:p>
      <w:pPr>
        <w:spacing w:after="0"/>
        <w:tabs>
          <w:tab w:leader="none" w:pos="680" w:val="left"/>
        </w:tabs>
        <w:rPr>
          <w:sz w:val="20"/>
          <w:szCs w:val="20"/>
          <w:color w:val="auto"/>
        </w:rPr>
      </w:pPr>
      <w:r>
        <w:rPr>
          <w:rFonts w:ascii="Arial" w:cs="Arial" w:eastAsia="Arial" w:hAnsi="Arial"/>
          <w:sz w:val="20"/>
          <w:szCs w:val="20"/>
          <w:b w:val="1"/>
          <w:bCs w:val="1"/>
          <w:color w:val="auto"/>
        </w:rPr>
        <w:t>14.18</w:t>
      </w:r>
      <w:r>
        <w:rPr>
          <w:sz w:val="20"/>
          <w:szCs w:val="20"/>
          <w:color w:val="auto"/>
        </w:rPr>
        <w:tab/>
      </w:r>
      <w:r>
        <w:rPr>
          <w:rFonts w:ascii="Arial" w:cs="Arial" w:eastAsia="Arial" w:hAnsi="Arial"/>
          <w:sz w:val="19"/>
          <w:szCs w:val="19"/>
          <w:b w:val="1"/>
          <w:bCs w:val="1"/>
          <w:color w:val="auto"/>
        </w:rPr>
        <w:t>Patent Term Extensions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Atea shall use Commercially Reasonable Efforts to obtain all available patent term extensions, adjustments or restorations, or supplementary protection certificates (“</w:t>
      </w:r>
      <w:r>
        <w:rPr>
          <w:rFonts w:ascii="Arial" w:cs="Arial" w:eastAsia="Arial" w:hAnsi="Arial"/>
          <w:sz w:val="20"/>
          <w:szCs w:val="20"/>
          <w:b w:val="1"/>
          <w:bCs w:val="1"/>
          <w:color w:val="auto"/>
        </w:rPr>
        <w:t>SPCs</w:t>
      </w:r>
      <w:r>
        <w:rPr>
          <w:rFonts w:ascii="Arial" w:cs="Arial" w:eastAsia="Arial" w:hAnsi="Arial"/>
          <w:sz w:val="20"/>
          <w:szCs w:val="20"/>
          <w:color w:val="auto"/>
        </w:rPr>
        <w:t>”, and together with patent term extensions, adjustments and restorations, “</w:t>
      </w:r>
      <w:r>
        <w:rPr>
          <w:rFonts w:ascii="Arial" w:cs="Arial" w:eastAsia="Arial" w:hAnsi="Arial"/>
          <w:sz w:val="20"/>
          <w:szCs w:val="20"/>
          <w:b w:val="1"/>
          <w:bCs w:val="1"/>
          <w:color w:val="auto"/>
        </w:rPr>
        <w:t>Patent</w:t>
      </w:r>
      <w:r>
        <w:rPr>
          <w:rFonts w:ascii="Arial" w:cs="Arial" w:eastAsia="Arial" w:hAnsi="Arial"/>
          <w:sz w:val="20"/>
          <w:szCs w:val="20"/>
          <w:color w:val="auto"/>
        </w:rPr>
        <w:t xml:space="preserve"> </w:t>
      </w:r>
      <w:r>
        <w:rPr>
          <w:rFonts w:ascii="Arial" w:cs="Arial" w:eastAsia="Arial" w:hAnsi="Arial"/>
          <w:sz w:val="20"/>
          <w:szCs w:val="20"/>
          <w:b w:val="1"/>
          <w:bCs w:val="1"/>
          <w:color w:val="auto"/>
        </w:rPr>
        <w:t>Term Extensions</w:t>
      </w:r>
      <w:r>
        <w:rPr>
          <w:rFonts w:ascii="Arial" w:cs="Arial" w:eastAsia="Arial" w:hAnsi="Arial"/>
          <w:sz w:val="20"/>
          <w:szCs w:val="20"/>
          <w:color w:val="auto"/>
        </w:rPr>
        <w:t>”) for Atea Patent Rights or Joint Patent Rights with respect to the Product that Atea Handles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14.8. All filings for such Patent Term Extensions shall be made by Atea (unless the Parties otherwise agree in writing); provided, that in the event that Atea elects not to file for a Patent Term Extension, Atea shall (a) promptly inform Roche of its intention not to file and (b) grant Roche the right to file for such Patent Term Extension.</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Roche shall use Commercially Reasonable Efforts to obtain all available SPCs and Patent Term Extensions for Roche Patent Rights or Joint Patent Rights with respect to the Product that Roche Handles pursuant to Section 14.8. All filings for such Patent Term Extensions shall be made by Roche (unless the Parties otherwise agree in writing); provided, that in the event that Roche elects not to file for a Patent Term Extension, Roche shall (a) promptly inform Atea of its intention not to file and (b) grant Atea the right to file for such Patent Term Extension.</w:t>
      </w:r>
    </w:p>
    <w:p>
      <w:pPr>
        <w:spacing w:after="0" w:line="19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Each Party shall execute such authorizations and other documents and take such other actions as may be reasonably requested by the other Party to obtain such Patent Term Extensions. The Parties shall cooperate with each other in gaining patent term restorations, extensions or SPCs wherever applicable to such Atea Patent Rights, Roche Patent Rights or Joint Patent Rights.</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Representations and Warranties</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15.1</w:t>
      </w:r>
      <w:r>
        <w:rPr>
          <w:sz w:val="20"/>
          <w:szCs w:val="20"/>
          <w:color w:val="auto"/>
        </w:rPr>
        <w:tab/>
      </w:r>
      <w:r>
        <w:rPr>
          <w:rFonts w:ascii="Arial" w:cs="Arial" w:eastAsia="Arial" w:hAnsi="Arial"/>
          <w:sz w:val="19"/>
          <w:szCs w:val="19"/>
          <w:b w:val="1"/>
          <w:bCs w:val="1"/>
          <w:color w:val="auto"/>
        </w:rPr>
        <w:t>Atea Representations and Warranties.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Atea represents and warrants to Roche as follows as of the Effective Date:</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15.1.1</w:t>
      </w:r>
      <w:r>
        <w:rPr>
          <w:sz w:val="20"/>
          <w:szCs w:val="20"/>
          <w:color w:val="auto"/>
        </w:rPr>
        <w:tab/>
      </w:r>
      <w:r>
        <w:rPr>
          <w:rFonts w:ascii="Arial" w:cs="Arial" w:eastAsia="Arial" w:hAnsi="Arial"/>
          <w:sz w:val="19"/>
          <w:szCs w:val="19"/>
          <w:color w:val="auto"/>
        </w:rPr>
        <w:t>Safety Data</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Atea has disclosed to Roche and will immediately continue to disclose to Roche (i) the material results of all preclinical testing and human clinical testing of Products in its possession or control and (ii) all material information in its possession or control concerning side effects, injury, toxicity or sensitivity reaction and incidents or severity thereof with respect to Products, if any.</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15.1.2</w:t>
      </w:r>
      <w:r>
        <w:rPr>
          <w:sz w:val="20"/>
          <w:szCs w:val="20"/>
          <w:color w:val="auto"/>
        </w:rPr>
        <w:tab/>
      </w:r>
      <w:r>
        <w:rPr>
          <w:rFonts w:ascii="Arial" w:cs="Arial" w:eastAsia="Arial" w:hAnsi="Arial"/>
          <w:sz w:val="19"/>
          <w:szCs w:val="19"/>
          <w:color w:val="auto"/>
        </w:rPr>
        <w:t>Third Party Patent Rights</w:t>
      </w:r>
    </w:p>
    <w:p>
      <w:pPr>
        <w:spacing w:after="0" w:line="4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Atea has no knowledge of the existence of any patent or patent application owned by or licensed to any Third Party, in which the researching, having researched, developing, having developed, registering, having registered, using, having used, making, having made, importing, having imported, exporting, having exported, marketing, having marketed, distributing, having distributed, selling or having sold Compounds, Products and Companion Diagnostics in the Field and in the Roche Territory would infringe a valid and enforceable claim of such patent or patent application (determined as if such application were to issue with substantially the same scope of claim existing as of the Effective Date).</w:t>
      </w:r>
    </w:p>
    <w:p>
      <w:pPr>
        <w:spacing w:after="0" w:line="19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15.1.3</w:t>
      </w:r>
      <w:r>
        <w:rPr>
          <w:sz w:val="20"/>
          <w:szCs w:val="20"/>
          <w:color w:val="auto"/>
        </w:rPr>
        <w:tab/>
      </w:r>
      <w:r>
        <w:rPr>
          <w:rFonts w:ascii="Arial" w:cs="Arial" w:eastAsia="Arial" w:hAnsi="Arial"/>
          <w:sz w:val="19"/>
          <w:szCs w:val="19"/>
          <w:color w:val="auto"/>
        </w:rPr>
        <w:t>Ownership of Patent Rights</w:t>
      </w:r>
    </w:p>
    <w:p>
      <w:pPr>
        <w:spacing w:after="0" w:line="4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Atea is the sole and exclusive owner of the Atea Patent Rights. To Atea’s knowledge, no Third Parties have any right, title or interest in or to the Atea Patent Rights. Except for rights granted under this Agreement, the Atea Patent Rights are free and clear of all liens, claims, security interests and other encumbrances of any kind or nature. Atea has not granted any licenses to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0" w:name="page141"/>
    <w:bookmarkEnd w:id="140"/>
    <w:p>
      <w:pPr>
        <w:jc w:val="both"/>
        <w:spacing w:after="0" w:line="232" w:lineRule="auto"/>
        <w:rPr>
          <w:sz w:val="20"/>
          <w:szCs w:val="20"/>
          <w:color w:val="auto"/>
        </w:rPr>
      </w:pPr>
      <w:r>
        <w:rPr>
          <w:rFonts w:ascii="Arial" w:cs="Arial" w:eastAsia="Arial" w:hAnsi="Arial"/>
          <w:sz w:val="20"/>
          <w:szCs w:val="20"/>
          <w:color w:val="auto"/>
        </w:rPr>
        <w:t>Atea Patent Rights to any Third Party for the development and commercialization of Compounds or Products in the Field in the Roche Territory (excluding rights granted to Third Parties performing activities on behalf of Atea), nor has Atea effectuated any prior transfer, sale or assignment of any part of the Atea Patent Rights.</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15.1.4</w:t>
      </w:r>
      <w:r>
        <w:rPr>
          <w:sz w:val="20"/>
          <w:szCs w:val="20"/>
          <w:color w:val="auto"/>
        </w:rPr>
        <w:tab/>
      </w:r>
      <w:r>
        <w:rPr>
          <w:rFonts w:ascii="Arial" w:cs="Arial" w:eastAsia="Arial" w:hAnsi="Arial"/>
          <w:sz w:val="19"/>
          <w:szCs w:val="19"/>
          <w:color w:val="auto"/>
        </w:rPr>
        <w:t>Inventors</w:t>
      </w:r>
    </w:p>
    <w:p>
      <w:pPr>
        <w:spacing w:after="0" w:line="4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Atea warrants that the inventors of the inventions claimed in Atea Patent Rights have transferred to Atea full ownership of the Patent Rights and Know-How licensed to Roche under this Agreement. All of Atea’s employees, officers and consultants performing activities with respect to Compounds and Products have executed agreements requiring assignment to Atea of all inventions made by such individuals during the course of and as a result of their association with Atea.</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15.1.5</w:t>
      </w:r>
      <w:r>
        <w:rPr>
          <w:sz w:val="20"/>
          <w:szCs w:val="20"/>
          <w:color w:val="auto"/>
        </w:rPr>
        <w:tab/>
      </w:r>
      <w:r>
        <w:rPr>
          <w:rFonts w:ascii="Arial" w:cs="Arial" w:eastAsia="Arial" w:hAnsi="Arial"/>
          <w:sz w:val="19"/>
          <w:szCs w:val="19"/>
          <w:color w:val="auto"/>
        </w:rPr>
        <w:t>Grants</w:t>
      </w:r>
    </w:p>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To Atea’s knowledge, Atea has the lawful right to grant Roche and its Affiliates the rights and licenses described in this Agreement.</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15.1.6</w:t>
      </w:r>
      <w:r>
        <w:rPr>
          <w:sz w:val="20"/>
          <w:szCs w:val="20"/>
          <w:color w:val="auto"/>
        </w:rPr>
        <w:tab/>
      </w:r>
      <w:r>
        <w:rPr>
          <w:rFonts w:ascii="Arial" w:cs="Arial" w:eastAsia="Arial" w:hAnsi="Arial"/>
          <w:sz w:val="19"/>
          <w:szCs w:val="19"/>
          <w:color w:val="auto"/>
        </w:rPr>
        <w:t>Validity of Patent Rights</w:t>
      </w:r>
    </w:p>
    <w:p>
      <w:pPr>
        <w:spacing w:after="0" w:line="40"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Atea has no knowledge of information that could reasonably be deemed to render invalid or unenforceable any claims that are in any of the issued Atea Patent Rights. Atea has no knowledge of any inventorship disputes concerning any Atea Patent Rights.</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15.1.7</w:t>
      </w:r>
      <w:r>
        <w:rPr>
          <w:sz w:val="20"/>
          <w:szCs w:val="20"/>
          <w:color w:val="auto"/>
        </w:rPr>
        <w:tab/>
      </w:r>
      <w:r>
        <w:rPr>
          <w:rFonts w:ascii="Arial" w:cs="Arial" w:eastAsia="Arial" w:hAnsi="Arial"/>
          <w:sz w:val="19"/>
          <w:szCs w:val="19"/>
          <w:color w:val="auto"/>
        </w:rPr>
        <w:t>Ownership and Legitimacy of Know-How</w:t>
      </w:r>
    </w:p>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Atea’s Know-How is legitimately in the possession of Atea and to Atea’s knowledge has not been misappropriated from any Third Party. Atea has taken reasonable measures to protect the confidentiality of its Know-How.</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15.1.8</w:t>
      </w:r>
      <w:r>
        <w:rPr>
          <w:sz w:val="20"/>
          <w:szCs w:val="20"/>
          <w:color w:val="auto"/>
        </w:rPr>
        <w:tab/>
      </w:r>
      <w:r>
        <w:rPr>
          <w:rFonts w:ascii="Arial" w:cs="Arial" w:eastAsia="Arial" w:hAnsi="Arial"/>
          <w:sz w:val="19"/>
          <w:szCs w:val="19"/>
          <w:color w:val="auto"/>
        </w:rPr>
        <w:t>No Claims</w:t>
      </w:r>
    </w:p>
    <w:p>
      <w:pPr>
        <w:spacing w:after="0" w:line="4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There are no claims or investigations, pending or, to Atea’s knowledge, threatened against Atea or any of its Affiliates, at law or in equity, or before or by any governmental authority (excluding ordinary course prosecution before a patent authority) relating to the matters contemplated under this Agreement or that would materially adversely affect Atea’s ability to perform its obligations hereunder.</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9"/>
          <w:szCs w:val="19"/>
          <w:b w:val="1"/>
          <w:bCs w:val="1"/>
          <w:color w:val="auto"/>
        </w:rPr>
        <w:t>Mutual Representations and Warranties</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15.2.1</w:t>
      </w:r>
      <w:r>
        <w:rPr>
          <w:sz w:val="20"/>
          <w:szCs w:val="20"/>
          <w:color w:val="auto"/>
        </w:rPr>
        <w:tab/>
      </w:r>
      <w:r>
        <w:rPr>
          <w:rFonts w:ascii="Arial" w:cs="Arial" w:eastAsia="Arial" w:hAnsi="Arial"/>
          <w:sz w:val="19"/>
          <w:szCs w:val="19"/>
          <w:color w:val="auto"/>
        </w:rPr>
        <w:t>Authorization</w:t>
      </w:r>
    </w:p>
    <w:p>
      <w:pPr>
        <w:spacing w:after="0" w:line="4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execution, delivery and performance of this Agreement by either Party and all instruments and documents to be delivered by either Party, hereunder: (i) are within the corporate power of such Party; (ii) have been duly authorized by all necessary or proper corporate action; (iii) are not in contravention of any provision of the certificate of formation or limited liability company agreement of such Party; (iv) to the knowledge of such Party, will not violate any law or regulation or any order or decree of any court of governmental instrumentality; (v) will not violate the terms of any indenture, mortgage, deed of trust, lease, agreement, or other instrument to which such Party is a party or by which such Party or any of its property is bound, which violation would have an adverse effect on the financial condition of such Party or on the ability of such Party to perform its obligations hereunder; and (vi) do not require any filing or registration with, or the consent or approval of, any governmental body, agency, authority or any other person, which has not been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1" w:name="page142"/>
    <w:bookmarkEnd w:id="141"/>
    <w:p>
      <w:pPr>
        <w:jc w:val="both"/>
        <w:ind w:right="20"/>
        <w:spacing w:after="0" w:line="236" w:lineRule="auto"/>
        <w:rPr>
          <w:sz w:val="20"/>
          <w:szCs w:val="20"/>
          <w:color w:val="auto"/>
        </w:rPr>
      </w:pPr>
      <w:r>
        <w:rPr>
          <w:rFonts w:ascii="Arial" w:cs="Arial" w:eastAsia="Arial" w:hAnsi="Arial"/>
          <w:sz w:val="20"/>
          <w:szCs w:val="20"/>
          <w:color w:val="auto"/>
        </w:rPr>
        <w:t>made or obtained previously (other than Regulatory Approvals required for the sale of Products and filings with Regulatory Authorities required in connection with Products).</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15.2.2</w:t>
      </w:r>
      <w:r>
        <w:rPr>
          <w:sz w:val="20"/>
          <w:szCs w:val="20"/>
          <w:color w:val="auto"/>
        </w:rPr>
        <w:tab/>
      </w:r>
      <w:r>
        <w:rPr>
          <w:rFonts w:ascii="Arial" w:cs="Arial" w:eastAsia="Arial" w:hAnsi="Arial"/>
          <w:sz w:val="19"/>
          <w:szCs w:val="19"/>
          <w:color w:val="auto"/>
        </w:rPr>
        <w:t>No Conflict</w:t>
      </w:r>
    </w:p>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Neither Party nor any of its Affiliates is or will be under any obligation to any person, contractual or otherwise, that is conflicting with the terms of this Agreement or that would impede the fulfillment of such Party’s obligations hereunder.</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15.2.3</w:t>
      </w:r>
      <w:r>
        <w:rPr>
          <w:sz w:val="20"/>
          <w:szCs w:val="20"/>
          <w:color w:val="auto"/>
        </w:rPr>
        <w:tab/>
      </w:r>
      <w:r>
        <w:rPr>
          <w:rFonts w:ascii="Arial" w:cs="Arial" w:eastAsia="Arial" w:hAnsi="Arial"/>
          <w:sz w:val="19"/>
          <w:szCs w:val="19"/>
          <w:color w:val="auto"/>
        </w:rPr>
        <w:t>Insurance</w:t>
      </w:r>
    </w:p>
    <w:p>
      <w:pPr>
        <w:spacing w:after="0" w:line="4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During the Agreement Term and for a minimum period of [***] years thereafter and for an otherwise longer period as may be required by Applicable Law, each Party will procure and maintain insurance consistent with industry practice or required by Applicable Law, which may be through self-insurance. Such insurance shall insure against liability arising from this Agreement on the part of either party or any of its respective Affiliates, due to injury, disability or death of any person or persons, or property damage arising from activities performed by such Party or its Affiliates in connection with this Agreement. Any insurance proceeds received by a Party in connection with any indemnified claim shall be retained by such Party and shall not reduce any obligation of the other Party under Article 16 with respect to such claim.</w:t>
      </w:r>
    </w:p>
    <w:p>
      <w:pPr>
        <w:spacing w:after="0" w:line="19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15.2.4</w:t>
      </w:r>
      <w:r>
        <w:rPr>
          <w:sz w:val="20"/>
          <w:szCs w:val="20"/>
          <w:color w:val="auto"/>
        </w:rPr>
        <w:tab/>
      </w:r>
      <w:r>
        <w:rPr>
          <w:rFonts w:ascii="Arial" w:cs="Arial" w:eastAsia="Arial" w:hAnsi="Arial"/>
          <w:sz w:val="19"/>
          <w:szCs w:val="19"/>
          <w:color w:val="auto"/>
        </w:rPr>
        <w:t>Debarment</w:t>
      </w:r>
    </w:p>
    <w:p>
      <w:pPr>
        <w:spacing w:after="0" w:line="4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Each Party represents and warrants that as of the Effective Date it and its Affiliates and its and their respective employees, in each case involved in the development of the Compounds or the Products under this Agreement, are not debarred under 21 U.S.C. §335a, disqualified under 21 C.F.R. §312.70 or §812.119, sanctioned by a Federal Health Care Program (as defined in 42 U.S.C §1320 a-7b(f)), including the federal Medicare or a state Medicaid program, or debarred, suspended, excluded or otherwise declared ineligible from any other similar federal or state agency or program in the United States or any other country. In the event a Party, any of its Affiliates or an employee of such Party or its Affiliates, in each case involved in development of the Compounds or the Products under this Agreement, receives notice of debarment, suspension, sanction, exclusion, ineligibility or disqualification under the above-referenced statutes or any other similar federal or state agency or program in the United States or any other country, such Party shall immediately notify the other Party in writing.</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15.2.5</w:t>
      </w:r>
      <w:r>
        <w:rPr>
          <w:sz w:val="20"/>
          <w:szCs w:val="20"/>
          <w:color w:val="auto"/>
        </w:rPr>
        <w:tab/>
      </w:r>
      <w:r>
        <w:rPr>
          <w:rFonts w:ascii="Arial" w:cs="Arial" w:eastAsia="Arial" w:hAnsi="Arial"/>
          <w:sz w:val="19"/>
          <w:szCs w:val="19"/>
          <w:color w:val="auto"/>
        </w:rPr>
        <w:t>Anti-Bribery and Anti-Corruption Compliance</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Each Party represents and warrants to the other Party that it, with respect to the development, manufacture and commercialization of the Compounds or the Products under this Agreement, has complied and will comply with all Applicable Laws governing bribery, money laundering, and other corrupt practices and behavior.</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9"/>
          <w:szCs w:val="19"/>
          <w:b w:val="1"/>
          <w:bCs w:val="1"/>
          <w:color w:val="auto"/>
        </w:rPr>
        <w:t>No Other Representations and Warranties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EXCEPT AS OTHERWISE PROVIDED IN THIS AGREEMENT, THE FOREGOING REPRESENTATIONS AND WARRANTIES ARE IN LIEU OF ALL OTHER REPRESENTATIONS AND WARRANTIES, EXPRESS OR IMPLIED, INCLUDING WITHOUT LIMITATION, WARRANTIES OF MERCHANTABILITY OR FITNESS FOR A PARTICULAR PURPOSE OF PRODUCTS AND FREEDOM FROM INFRINGEMENT OF THIRD PARTY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b w:val="1"/>
          <w:bCs w:val="1"/>
          <w:color w:val="auto"/>
        </w:rPr>
        <w:t>16.  Indemnification</w:t>
      </w:r>
    </w:p>
    <w:p>
      <w:pPr>
        <w:spacing w:after="0" w:line="4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16.1</w:t>
      </w:r>
      <w:r>
        <w:rPr>
          <w:sz w:val="20"/>
          <w:szCs w:val="20"/>
          <w:color w:val="auto"/>
        </w:rPr>
        <w:tab/>
      </w:r>
      <w:r>
        <w:rPr>
          <w:rFonts w:ascii="Arial" w:cs="Arial" w:eastAsia="Arial" w:hAnsi="Arial"/>
          <w:sz w:val="19"/>
          <w:szCs w:val="19"/>
          <w:b w:val="1"/>
          <w:bCs w:val="1"/>
          <w:color w:val="auto"/>
        </w:rPr>
        <w:t>Indemnification by Roche</w:t>
      </w:r>
    </w:p>
    <w:p>
      <w:pPr>
        <w:spacing w:after="0" w:line="1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Roche shall indemnify, hold harmless and defend Atea, Atea’s Affiliates and their directors, officers, employees and agents (“</w:t>
      </w:r>
      <w:r>
        <w:rPr>
          <w:rFonts w:ascii="Arial" w:cs="Arial" w:eastAsia="Arial" w:hAnsi="Arial"/>
          <w:sz w:val="20"/>
          <w:szCs w:val="20"/>
          <w:b w:val="1"/>
          <w:bCs w:val="1"/>
          <w:color w:val="auto"/>
        </w:rPr>
        <w:t>Atea Indemnitees</w:t>
      </w:r>
      <w:r>
        <w:rPr>
          <w:rFonts w:ascii="Arial" w:cs="Arial" w:eastAsia="Arial" w:hAnsi="Arial"/>
          <w:sz w:val="20"/>
          <w:szCs w:val="20"/>
          <w:color w:val="auto"/>
        </w:rPr>
        <w:t>”) from and against any and all losses, damages, expenses, costs of defense (including without limitation reasonable attorneys’ fees, witness fees, damages, judgments, fines and amounts paid in settlement) and any other amounts (collectively, “</w:t>
      </w:r>
      <w:r>
        <w:rPr>
          <w:rFonts w:ascii="Arial" w:cs="Arial" w:eastAsia="Arial" w:hAnsi="Arial"/>
          <w:sz w:val="20"/>
          <w:szCs w:val="20"/>
          <w:b w:val="1"/>
          <w:bCs w:val="1"/>
          <w:color w:val="auto"/>
        </w:rPr>
        <w:t>Losses</w:t>
      </w:r>
      <w:r>
        <w:rPr>
          <w:rFonts w:ascii="Arial" w:cs="Arial" w:eastAsia="Arial" w:hAnsi="Arial"/>
          <w:sz w:val="20"/>
          <w:szCs w:val="20"/>
          <w:color w:val="auto"/>
        </w:rPr>
        <w:t>”) resulting from Third Party claims or suits (“</w:t>
      </w:r>
      <w:r>
        <w:rPr>
          <w:rFonts w:ascii="Arial" w:cs="Arial" w:eastAsia="Arial" w:hAnsi="Arial"/>
          <w:sz w:val="20"/>
          <w:szCs w:val="20"/>
          <w:b w:val="1"/>
          <w:bCs w:val="1"/>
          <w:color w:val="auto"/>
        </w:rPr>
        <w:t>Third Party Claims</w:t>
      </w:r>
      <w:r>
        <w:rPr>
          <w:rFonts w:ascii="Arial" w:cs="Arial" w:eastAsia="Arial" w:hAnsi="Arial"/>
          <w:sz w:val="20"/>
          <w:szCs w:val="20"/>
          <w:color w:val="auto"/>
        </w:rPr>
        <w:t>”) arising out of or relating to (a) the breach of the Agreement by Roche, (b) the development, manufacture, commercialization, storage, transportation, handling, formulation or other exploitation of Compounds or Products by or on behalf of Roche in the Roche Territory or pursuant to a Unilateral Study conducted by Roche in the Territory (e.g. product liability claims), or (c) the negligence or willful misconduct of Roche Indemnitees, except, in each case (a), (b) and (c), to the extent such Losses are subject to indemnification by Atea pursuant to Section 16.2.</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9"/>
          <w:szCs w:val="19"/>
          <w:b w:val="1"/>
          <w:bCs w:val="1"/>
          <w:color w:val="auto"/>
        </w:rPr>
        <w:t>Indemnification by Atea</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Atea shall indemnify, hold harmless and defend Roche, Roche’s Affiliates and their directors, officers, employees and agents (“</w:t>
      </w:r>
      <w:r>
        <w:rPr>
          <w:rFonts w:ascii="Arial" w:cs="Arial" w:eastAsia="Arial" w:hAnsi="Arial"/>
          <w:sz w:val="20"/>
          <w:szCs w:val="20"/>
          <w:b w:val="1"/>
          <w:bCs w:val="1"/>
          <w:color w:val="auto"/>
        </w:rPr>
        <w:t>Roche Indemnitees</w:t>
      </w:r>
      <w:r>
        <w:rPr>
          <w:rFonts w:ascii="Arial" w:cs="Arial" w:eastAsia="Arial" w:hAnsi="Arial"/>
          <w:sz w:val="20"/>
          <w:szCs w:val="20"/>
          <w:color w:val="auto"/>
        </w:rPr>
        <w:t>”) from and against any and all Losses resulting from Third Party Claims arising out of or relating to (a) the breach of the Agreement by Atea, (b) the development, manufacture, commercialization, storage, transportation, handling, formulation or other exploitation of Compounds or Products by or on behalf of Atea in the Atea Territory or pursuant to a Unilateral Study conducted by Atea in the Territory (e.g. product liability claims), or (c) the negligence or willful misconduct of Atea Indemnitees, except, in each case (a), (b) and (c), to the extent such Losses are subject to indemnification by Roche pursuant to Section 16.1.</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19"/>
          <w:szCs w:val="19"/>
          <w:b w:val="1"/>
          <w:bCs w:val="1"/>
          <w:color w:val="auto"/>
        </w:rPr>
        <w:t>Procedure</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In the event of a Third Party Claim against a Party entitled to indemnification under this Agreement (“</w:t>
      </w:r>
      <w:r>
        <w:rPr>
          <w:rFonts w:ascii="Arial" w:cs="Arial" w:eastAsia="Arial" w:hAnsi="Arial"/>
          <w:sz w:val="20"/>
          <w:szCs w:val="20"/>
          <w:b w:val="1"/>
          <w:bCs w:val="1"/>
          <w:color w:val="auto"/>
        </w:rPr>
        <w:t>Indemnified Party</w:t>
      </w:r>
      <w:r>
        <w:rPr>
          <w:rFonts w:ascii="Arial" w:cs="Arial" w:eastAsia="Arial" w:hAnsi="Arial"/>
          <w:sz w:val="20"/>
          <w:szCs w:val="20"/>
          <w:color w:val="auto"/>
        </w:rPr>
        <w:t>”), the Indemnified Party shall promptly notify the other Party (“</w:t>
      </w:r>
      <w:r>
        <w:rPr>
          <w:rFonts w:ascii="Arial" w:cs="Arial" w:eastAsia="Arial" w:hAnsi="Arial"/>
          <w:sz w:val="20"/>
          <w:szCs w:val="20"/>
          <w:b w:val="1"/>
          <w:bCs w:val="1"/>
          <w:color w:val="auto"/>
        </w:rPr>
        <w:t>Indemnifying Party</w:t>
      </w:r>
      <w:r>
        <w:rPr>
          <w:rFonts w:ascii="Arial" w:cs="Arial" w:eastAsia="Arial" w:hAnsi="Arial"/>
          <w:sz w:val="20"/>
          <w:szCs w:val="20"/>
          <w:color w:val="auto"/>
        </w:rPr>
        <w:t>”) in writing of the claim and the Indemnifying Party shall undertake and solely manage and control, at its sole expense, the defense of the claim and its settlement. The Indemnified Party shall cooperate with the Indemnifying Party and may, at its option and expense, be represented in any such action or proceeding by counsel of its choice. The Indemnifying Party shall not be liable for any litigation costs or expenses incurred by the Indemnified Party without the Indemnifying Party’s written consent. The Indemnifying Party shall not settle any such claim unless such settlement fully and unconditionally releases the Indemnified Party from all liability relating thereto, unless the Indemnified Party otherwise agrees in writing.</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Liability</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9"/>
          <w:szCs w:val="19"/>
          <w:b w:val="1"/>
          <w:bCs w:val="1"/>
          <w:color w:val="auto"/>
        </w:rPr>
        <w:t>Limitation of Liability</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EXCEPT IN THE CASE OF A BREACH OF ARTICLE 18, AND WITHOUT LIMITING THE PARTIES' OBLIGATIONS UNDER ARTICLE 16, NEITHER PARTY SHALL BE LIABLE TO THE OTHER PARTY FOR SPECIAL, INDIRECT, INCIDENTAL, PUNITIVE OR CONSEQUENTIAL DAMAGES (INCLUDING WITHOUT LIMITATION DAMAGES RESULTING FROM LOSS OF USE, LOSS OF PROFITS, INTERRUPTION OR LOSS OF BUSINESS, OR OTHER ECONOMIC LOSS) ARISING OUT OF THIS AGREEMENT OR WITH RESPECT TO A PARTY'S PERFORMANCE OR NON-PERFORMANCE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b w:val="1"/>
          <w:bCs w:val="1"/>
          <w:color w:val="auto"/>
        </w:rPr>
        <w:t>18.  Obligation Not to Disclose Confidential Information</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18.1</w:t>
      </w:r>
      <w:r>
        <w:rPr>
          <w:sz w:val="20"/>
          <w:szCs w:val="20"/>
          <w:color w:val="auto"/>
        </w:rPr>
        <w:tab/>
      </w:r>
      <w:r>
        <w:rPr>
          <w:rFonts w:ascii="Arial" w:cs="Arial" w:eastAsia="Arial" w:hAnsi="Arial"/>
          <w:sz w:val="19"/>
          <w:szCs w:val="19"/>
          <w:b w:val="1"/>
          <w:bCs w:val="1"/>
          <w:color w:val="auto"/>
        </w:rPr>
        <w:t>Non-Use and Non-Disclosure</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During the Agreement Term and for [***] years thereafter, a Receiving Party shall (i) treat Confidential Information provided by Disclosing Party as it would treat its own information of a similar nature, (ii) take all reasonable precautions not to disclose such Confidential Information to Third Parties, without the Disclosing Party’s prior written consent, and (iii) not use such Confidential Information other than for fulfilling its obligations under this Agreement.</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18.2</w:t>
      </w:r>
      <w:r>
        <w:rPr>
          <w:sz w:val="20"/>
          <w:szCs w:val="20"/>
          <w:color w:val="auto"/>
        </w:rPr>
        <w:tab/>
      </w:r>
      <w:r>
        <w:rPr>
          <w:rFonts w:ascii="Arial" w:cs="Arial" w:eastAsia="Arial" w:hAnsi="Arial"/>
          <w:sz w:val="19"/>
          <w:szCs w:val="19"/>
          <w:b w:val="1"/>
          <w:bCs w:val="1"/>
          <w:color w:val="auto"/>
        </w:rPr>
        <w:t>Permitted Disclosure</w:t>
      </w:r>
    </w:p>
    <w:p>
      <w:pPr>
        <w:spacing w:after="0" w:line="10"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Notwithstanding the obligation of non-use and non-disclosure set forth in Section 18.1, the Parties recognize the need for certain exceptions to this obligation, specifically set forth below, with respect to press releases, patent rights, publications, certain commercial considerations and for the purposes of complying with Applicable Law.</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19"/>
          <w:szCs w:val="19"/>
          <w:b w:val="1"/>
          <w:bCs w:val="1"/>
          <w:color w:val="auto"/>
        </w:rPr>
        <w:t>Press Releases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Parties may issue a press release announcing the existence and selected key terms of this Agreement, in a form substantially similar to the template attached as Appendix 18.3.</w:t>
      </w:r>
    </w:p>
    <w:p>
      <w:pPr>
        <w:spacing w:after="0" w:line="19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Subject to the first sentence of this Section 18.3, during the Agreement Term, each Party may only issue press releases making reference to the other Party in connection with this Agreement, this Agreement and/or any activities or information related to this Agreement, that in each case either (i) have been approved by the other Party or (ii) are required to be issued as a matter of Applicable Law (including, for clarity, the rules of any securities exchange). Prior to issuing such press release, the issuing Party shall provide the other Party with a copy of a substantially final draft press release at least [***] (or such shorter amount of time to comply with Applicable Law, including the U.S. Securities Act of 1933 and the U.S. Securities Exchange Act of 1934, and the rules of any securities regulator, where it was not possible to provide the other Party such draft [***] in advance) prior to its intended publication for the other Party’s review. The non-issuing Party may provide the issuing Party with suggested modification to the draft press release. The issuing Party shall consider the other Party’s suggestions in good faith in issuing its press release.</w:t>
      </w:r>
    </w:p>
    <w:p>
      <w:pPr>
        <w:spacing w:after="0" w:line="20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To ensure communication alignment, responses (if any) to inquiries by media or other Third Parties after issuance of a permitted press release by a Party (solely or jointly with the other Party) shall consist solely of the press release language or shall follow the response guidelines that may be mutually developed by the Parties.</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18.4</w:t>
      </w:r>
      <w:r>
        <w:rPr>
          <w:sz w:val="20"/>
          <w:szCs w:val="20"/>
          <w:color w:val="auto"/>
        </w:rPr>
        <w:tab/>
      </w:r>
      <w:r>
        <w:rPr>
          <w:rFonts w:ascii="Arial" w:cs="Arial" w:eastAsia="Arial" w:hAnsi="Arial"/>
          <w:sz w:val="19"/>
          <w:szCs w:val="19"/>
          <w:b w:val="1"/>
          <w:bCs w:val="1"/>
          <w:color w:val="auto"/>
        </w:rPr>
        <w:t>Publications</w:t>
      </w:r>
    </w:p>
    <w:p>
      <w:pPr>
        <w:spacing w:after="0" w:line="10"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During the Agreement Term, the following restrictions shall apply with respect to disclosure by any Party of Confidential Information relating to the Product in any publication or presentation:</w:t>
      </w:r>
    </w:p>
    <w:p>
      <w:pPr>
        <w:spacing w:after="0" w:line="1" w:lineRule="exact"/>
        <w:rPr>
          <w:sz w:val="20"/>
          <w:szCs w:val="20"/>
          <w:color w:val="auto"/>
        </w:rPr>
      </w:pPr>
    </w:p>
    <w:p>
      <w:pPr>
        <w:jc w:val="both"/>
        <w:ind w:left="580" w:hanging="572"/>
        <w:spacing w:after="0" w:line="225" w:lineRule="auto"/>
        <w:tabs>
          <w:tab w:leader="none" w:pos="580" w:val="left"/>
        </w:tabs>
        <w:numPr>
          <w:ilvl w:val="0"/>
          <w:numId w:val="88"/>
        </w:numPr>
        <w:rPr>
          <w:rFonts w:ascii="Arial" w:cs="Arial" w:eastAsia="Arial" w:hAnsi="Arial"/>
          <w:sz w:val="20"/>
          <w:szCs w:val="20"/>
          <w:color w:val="auto"/>
        </w:rPr>
      </w:pPr>
      <w:r>
        <w:rPr>
          <w:rFonts w:ascii="Arial" w:cs="Arial" w:eastAsia="Arial" w:hAnsi="Arial"/>
          <w:sz w:val="20"/>
          <w:szCs w:val="20"/>
          <w:color w:val="auto"/>
        </w:rPr>
        <w:t>Both Parties acknowledge that it is their policy for the studies and results thereof to be registered and published in accordance with their internal guidelines. Each Party, in accordance with its internal policies and procedures, shall have the right to publish all studies, clinical trials and results thereof on the clinical trial registries that are maintained by or on behalf of such Party.</w:t>
      </w:r>
    </w:p>
    <w:p>
      <w:pPr>
        <w:spacing w:after="0" w:line="1" w:lineRule="exact"/>
        <w:rPr>
          <w:rFonts w:ascii="Arial" w:cs="Arial" w:eastAsia="Arial" w:hAnsi="Arial"/>
          <w:sz w:val="20"/>
          <w:szCs w:val="20"/>
          <w:color w:val="auto"/>
        </w:rPr>
      </w:pPr>
    </w:p>
    <w:p>
      <w:pPr>
        <w:ind w:left="580" w:hanging="572"/>
        <w:spacing w:after="0" w:line="237" w:lineRule="auto"/>
        <w:tabs>
          <w:tab w:leader="none" w:pos="5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A Party (“</w:t>
      </w:r>
      <w:r>
        <w:rPr>
          <w:rFonts w:ascii="Arial" w:cs="Arial" w:eastAsia="Arial" w:hAnsi="Arial"/>
          <w:sz w:val="19"/>
          <w:szCs w:val="19"/>
          <w:b w:val="1"/>
          <w:bCs w:val="1"/>
          <w:color w:val="auto"/>
        </w:rPr>
        <w:t>Publishing Party</w:t>
      </w:r>
      <w:r>
        <w:rPr>
          <w:rFonts w:ascii="Arial" w:cs="Arial" w:eastAsia="Arial" w:hAnsi="Arial"/>
          <w:sz w:val="19"/>
          <w:szCs w:val="19"/>
          <w:color w:val="auto"/>
        </w:rPr>
        <w:t>”) shall provide the other Party with a copy of any proposed publication or presentation at least</w:t>
      </w:r>
    </w:p>
    <w:p>
      <w:pPr>
        <w:jc w:val="both"/>
        <w:ind w:left="580" w:hanging="5"/>
        <w:spacing w:after="0" w:line="232" w:lineRule="auto"/>
        <w:tabs>
          <w:tab w:leader="none" w:pos="982" w:val="left"/>
        </w:tabs>
        <w:numPr>
          <w:ilvl w:val="1"/>
          <w:numId w:val="88"/>
        </w:numPr>
        <w:rPr>
          <w:rFonts w:ascii="Arial" w:cs="Arial" w:eastAsia="Arial" w:hAnsi="Arial"/>
          <w:sz w:val="20"/>
          <w:szCs w:val="20"/>
          <w:color w:val="auto"/>
        </w:rPr>
      </w:pPr>
      <w:r>
        <w:rPr>
          <w:rFonts w:ascii="Arial" w:cs="Arial" w:eastAsia="Arial" w:hAnsi="Arial"/>
          <w:sz w:val="20"/>
          <w:szCs w:val="20"/>
          <w:color w:val="auto"/>
        </w:rPr>
        <w:t>days (or at least [***] days in the case of oral presentations) prior to submission for publication so as to provide such other Party with an opportunity to recommend any changes it reasonably believes are necessary to continue to maintain the Confidential Information disclosed by the other Party to the Publishing Party in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ind w:left="5520" w:hanging="127"/>
        <w:spacing w:after="0"/>
        <w:tabs>
          <w:tab w:leader="none" w:pos="5520" w:val="left"/>
        </w:tabs>
        <w:numPr>
          <w:ilvl w:val="2"/>
          <w:numId w:val="88"/>
        </w:numPr>
        <w:rPr>
          <w:rFonts w:ascii="Arial" w:cs="Arial" w:eastAsia="Arial" w:hAnsi="Arial"/>
          <w:sz w:val="20"/>
          <w:szCs w:val="20"/>
          <w:color w:val="auto"/>
        </w:rPr>
      </w:pPr>
      <w:r>
        <w:rPr>
          <w:rFonts w:ascii="Arial" w:cs="Arial" w:eastAsia="Arial" w:hAnsi="Arial"/>
          <w:sz w:val="20"/>
          <w:szCs w:val="20"/>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4" w:name="page145"/>
    <w:bookmarkEnd w:id="144"/>
    <w:p>
      <w:pPr>
        <w:jc w:val="both"/>
        <w:ind w:left="580"/>
        <w:spacing w:after="0" w:line="226" w:lineRule="auto"/>
        <w:rPr>
          <w:sz w:val="20"/>
          <w:szCs w:val="20"/>
          <w:color w:val="auto"/>
        </w:rPr>
      </w:pPr>
      <w:r>
        <w:rPr>
          <w:rFonts w:ascii="Arial" w:cs="Arial" w:eastAsia="Arial" w:hAnsi="Arial"/>
          <w:sz w:val="20"/>
          <w:szCs w:val="20"/>
          <w:color w:val="auto"/>
        </w:rPr>
        <w:t>accordance with the requirements of this Agreement. The incorporation of such recommended changes shall not be unreasonably refused; and if such other Party notifies (“</w:t>
      </w:r>
      <w:r>
        <w:rPr>
          <w:rFonts w:ascii="Arial" w:cs="Arial" w:eastAsia="Arial" w:hAnsi="Arial"/>
          <w:sz w:val="20"/>
          <w:szCs w:val="20"/>
          <w:b w:val="1"/>
          <w:bCs w:val="1"/>
          <w:color w:val="auto"/>
        </w:rPr>
        <w:t>Publishing Notice</w:t>
      </w:r>
      <w:r>
        <w:rPr>
          <w:rFonts w:ascii="Arial" w:cs="Arial" w:eastAsia="Arial" w:hAnsi="Arial"/>
          <w:sz w:val="20"/>
          <w:szCs w:val="20"/>
          <w:color w:val="auto"/>
        </w:rPr>
        <w:t>”) the Publishing Party in writing, within [***] days after receipt of the copy of the proposed publication or presentation (or at least [***] days in the case of oral presentations), that such publication or presentation in its reasonable judgment (i) contains an invention, solely or jointly conceived or reduced to practice by the other Party, for which the other Party reasonably desires to obtain patent protection or (ii) could be expected to have a material adverse effect on the commercial value of any Confidential Information disclosed by the other Party to the Publishing Party, the Publishing Party shall prevent such publication or delay such publication for a mutually agreeable period of time. In the case of inventions disclosed therein, a delay shall be for a period reasonably sufficient to permit the timely preparation and filing of a patent application(s) on such invention, and in no event less than [***] days from the date of the Publishing Notice. With respect to proposed publications from any Clinical Studies conducted pursuant to the Global Development Plan that are not Atea Ongoing Studies or studies in the Retained Indications, the Parties shall also coordinate and collaborate on such publications. In order to facilitate such coordination and collaboration, the Parties shall strive to develop a joint publication strategy, and discuss and review such proposed publications, through the JOC.</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18.5</w:t>
      </w:r>
      <w:r>
        <w:rPr>
          <w:sz w:val="20"/>
          <w:szCs w:val="20"/>
          <w:color w:val="auto"/>
        </w:rPr>
        <w:tab/>
      </w:r>
      <w:r>
        <w:rPr>
          <w:rFonts w:ascii="Arial" w:cs="Arial" w:eastAsia="Arial" w:hAnsi="Arial"/>
          <w:sz w:val="19"/>
          <w:szCs w:val="19"/>
          <w:b w:val="1"/>
          <w:bCs w:val="1"/>
          <w:color w:val="auto"/>
        </w:rPr>
        <w:t>Commercial Considerations</w:t>
      </w:r>
    </w:p>
    <w:p>
      <w:pPr>
        <w:spacing w:after="0" w:line="235" w:lineRule="auto"/>
        <w:rPr>
          <w:sz w:val="20"/>
          <w:szCs w:val="20"/>
          <w:color w:val="auto"/>
        </w:rPr>
      </w:pPr>
      <w:r>
        <w:rPr>
          <w:rFonts w:ascii="Arial" w:cs="Arial" w:eastAsia="Arial" w:hAnsi="Arial"/>
          <w:sz w:val="20"/>
          <w:szCs w:val="20"/>
          <w:color w:val="auto"/>
        </w:rPr>
        <w:t>Nothing in this Agreement shall prevent either Party or its Affiliates from disclosing Confidential Information of the other Party to</w:t>
      </w:r>
    </w:p>
    <w:p>
      <w:pPr>
        <w:spacing w:after="0" w:line="1" w:lineRule="exact"/>
        <w:rPr>
          <w:sz w:val="20"/>
          <w:szCs w:val="20"/>
          <w:color w:val="auto"/>
        </w:rPr>
      </w:pPr>
    </w:p>
    <w:p>
      <w:pPr>
        <w:jc w:val="both"/>
        <w:ind w:firstLine="8"/>
        <w:spacing w:after="0" w:line="228" w:lineRule="auto"/>
        <w:tabs>
          <w:tab w:leader="none" w:pos="266" w:val="left"/>
        </w:tabs>
        <w:numPr>
          <w:ilvl w:val="0"/>
          <w:numId w:val="89"/>
        </w:numPr>
        <w:rPr>
          <w:rFonts w:ascii="Arial" w:cs="Arial" w:eastAsia="Arial" w:hAnsi="Arial"/>
          <w:sz w:val="20"/>
          <w:szCs w:val="20"/>
          <w:color w:val="auto"/>
        </w:rPr>
      </w:pPr>
      <w:r>
        <w:rPr>
          <w:rFonts w:ascii="Arial" w:cs="Arial" w:eastAsia="Arial" w:hAnsi="Arial"/>
          <w:sz w:val="20"/>
          <w:szCs w:val="20"/>
          <w:color w:val="auto"/>
        </w:rPr>
        <w:t>governmental agencies [***] to secure government approval for the development, manufacture or sale of Product in the Territory, including with respect to Roche as permitted in Section 2.1, (ii) Third Parties acting on behalf of such Party, [***] for the development, manufacture or sale of Product in the Territory, as permitted under this Agreement, (iii) [***] or (iv) Third Parties to the extent reasonably necessary to market the Product in the Territory, as set forth in this Agreement. Each Party may further disclose Confidential Information of the other Party, including the terms of this Agreement, to its actual or potential sublicensees; provided that such sublicensees are subject to obligations of confidentiality and non-use with respect to such Confidential Information that are no less restrictive than the obligations of confidentiality and non-use of any Receiving Party pursuant to this Article 18.</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18.6</w:t>
      </w:r>
      <w:r>
        <w:rPr>
          <w:sz w:val="20"/>
          <w:szCs w:val="20"/>
          <w:color w:val="auto"/>
        </w:rPr>
        <w:tab/>
      </w:r>
      <w:r>
        <w:rPr>
          <w:rFonts w:ascii="Arial" w:cs="Arial" w:eastAsia="Arial" w:hAnsi="Arial"/>
          <w:sz w:val="19"/>
          <w:szCs w:val="19"/>
          <w:b w:val="1"/>
          <w:bCs w:val="1"/>
          <w:color w:val="auto"/>
        </w:rPr>
        <w:t>Complying with Applicable Law or Judicial Process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Receiving Party may disclose Confidential Information of the Disclosing Party to the extent that such Confidential Information is required to be disclosed by the Receiving Party to comply with Applicable Law, including the U.S. Securities Act of 1933 and the U.S. Securities Exchange Act of 1934, to comply with the rules of any securities regulator, to defend or prosecute litigation or to comply with governmental regulations or any judicial process, provided that the Receiving Party provides prior written notice of such disclosure to the Disclosing Party to the extent permitted under Applicable Law and, to the extent practicable, takes reasonable and lawful actions to minimize the degree of such disclosure.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Term and Termination</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19.1</w:t>
      </w:r>
      <w:r>
        <w:rPr>
          <w:sz w:val="20"/>
          <w:szCs w:val="20"/>
          <w:color w:val="auto"/>
        </w:rPr>
        <w:tab/>
      </w:r>
      <w:r>
        <w:rPr>
          <w:rFonts w:ascii="Arial" w:cs="Arial" w:eastAsia="Arial" w:hAnsi="Arial"/>
          <w:sz w:val="19"/>
          <w:szCs w:val="19"/>
          <w:b w:val="1"/>
          <w:bCs w:val="1"/>
          <w:color w:val="auto"/>
        </w:rPr>
        <w:t>Commencement and Term</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shall commence upon the Effective Date and continue for the Agreement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5" w:name="page146"/>
    <w:bookmarkEnd w:id="145"/>
    <w:p>
      <w:pPr>
        <w:spacing w:after="0"/>
        <w:tabs>
          <w:tab w:leader="none" w:pos="680" w:val="left"/>
        </w:tabs>
        <w:rPr>
          <w:sz w:val="20"/>
          <w:szCs w:val="20"/>
          <w:color w:val="auto"/>
        </w:rPr>
      </w:pPr>
      <w:r>
        <w:rPr>
          <w:rFonts w:ascii="Arial" w:cs="Arial" w:eastAsia="Arial" w:hAnsi="Arial"/>
          <w:sz w:val="20"/>
          <w:szCs w:val="20"/>
          <w:b w:val="1"/>
          <w:bCs w:val="1"/>
          <w:color w:val="auto"/>
        </w:rPr>
        <w:t>19.2</w:t>
      </w:r>
      <w:r>
        <w:rPr>
          <w:sz w:val="20"/>
          <w:szCs w:val="20"/>
          <w:color w:val="auto"/>
        </w:rPr>
        <w:tab/>
      </w:r>
      <w:r>
        <w:rPr>
          <w:rFonts w:ascii="Arial" w:cs="Arial" w:eastAsia="Arial" w:hAnsi="Arial"/>
          <w:sz w:val="19"/>
          <w:szCs w:val="19"/>
          <w:b w:val="1"/>
          <w:bCs w:val="1"/>
          <w:color w:val="auto"/>
        </w:rPr>
        <w:t>Termination</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19.2.1</w:t>
      </w:r>
      <w:r>
        <w:rPr>
          <w:sz w:val="20"/>
          <w:szCs w:val="20"/>
          <w:color w:val="auto"/>
        </w:rPr>
        <w:tab/>
      </w:r>
      <w:r>
        <w:rPr>
          <w:rFonts w:ascii="Arial" w:cs="Arial" w:eastAsia="Arial" w:hAnsi="Arial"/>
          <w:sz w:val="19"/>
          <w:szCs w:val="19"/>
          <w:color w:val="auto"/>
        </w:rPr>
        <w:t>Termination for Breach</w:t>
      </w:r>
    </w:p>
    <w:p>
      <w:pPr>
        <w:spacing w:after="0" w:line="1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 Party (“</w:t>
      </w:r>
      <w:r>
        <w:rPr>
          <w:rFonts w:ascii="Arial" w:cs="Arial" w:eastAsia="Arial" w:hAnsi="Arial"/>
          <w:sz w:val="20"/>
          <w:szCs w:val="20"/>
          <w:b w:val="1"/>
          <w:bCs w:val="1"/>
          <w:color w:val="auto"/>
        </w:rPr>
        <w:t>Non-Breaching Party</w:t>
      </w:r>
      <w:r>
        <w:rPr>
          <w:rFonts w:ascii="Arial" w:cs="Arial" w:eastAsia="Arial" w:hAnsi="Arial"/>
          <w:sz w:val="20"/>
          <w:szCs w:val="20"/>
          <w:color w:val="auto"/>
        </w:rPr>
        <w:t>”) shall have the right to terminate this Agreement in its entirety or on a country-by-country basis in the event the other Party (“</w:t>
      </w:r>
      <w:r>
        <w:rPr>
          <w:rFonts w:ascii="Arial" w:cs="Arial" w:eastAsia="Arial" w:hAnsi="Arial"/>
          <w:sz w:val="20"/>
          <w:szCs w:val="20"/>
          <w:b w:val="1"/>
          <w:bCs w:val="1"/>
          <w:color w:val="auto"/>
        </w:rPr>
        <w:t>Breaching Party</w:t>
      </w:r>
      <w:r>
        <w:rPr>
          <w:rFonts w:ascii="Arial" w:cs="Arial" w:eastAsia="Arial" w:hAnsi="Arial"/>
          <w:sz w:val="20"/>
          <w:szCs w:val="20"/>
          <w:color w:val="auto"/>
        </w:rPr>
        <w:t>”) is in breach of any of its material obligations under this Agreement. The non-Breaching Party shall provide written notice to the Breaching Party, which notice shall identify the breach and the countries in which the Non-Breaching Party intends to have this Agreement terminate. The Breaching Party shall have a period of ninety (90) days after such written notice is provided (“</w:t>
      </w:r>
      <w:r>
        <w:rPr>
          <w:rFonts w:ascii="Arial" w:cs="Arial" w:eastAsia="Arial" w:hAnsi="Arial"/>
          <w:sz w:val="20"/>
          <w:szCs w:val="20"/>
          <w:b w:val="1"/>
          <w:bCs w:val="1"/>
          <w:color w:val="auto"/>
        </w:rPr>
        <w:t>Peremptory Notice Period</w:t>
      </w:r>
      <w:r>
        <w:rPr>
          <w:rFonts w:ascii="Arial" w:cs="Arial" w:eastAsia="Arial" w:hAnsi="Arial"/>
          <w:sz w:val="20"/>
          <w:szCs w:val="20"/>
          <w:color w:val="auto"/>
        </w:rPr>
        <w:t>”) to cure such breach. If the Breaching Party has a dispute as to whether such breach occurred or has been cured, it will so notify the Non-Breaching Party, and the expiration of the Peremptory Notice Period shall be tolled until such dispute is resolved pursuant to Section 21.2. Upon a determination of breach or failure to cure, the Breaching Party may have the remainder of the Peremptory Notice Period to cure such breach. If such breach is not cured within the Peremptory Notice Period, then absent withdrawal of the Non-Breaching Party’s request for termination, this Agreement shall terminate in its entirety or such identified countries effective as of the expiration of the Peremptory Notice Period.</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19.2.2</w:t>
      </w:r>
      <w:r>
        <w:rPr>
          <w:sz w:val="20"/>
          <w:szCs w:val="20"/>
          <w:color w:val="auto"/>
        </w:rPr>
        <w:tab/>
      </w:r>
      <w:r>
        <w:rPr>
          <w:rFonts w:ascii="Arial" w:cs="Arial" w:eastAsia="Arial" w:hAnsi="Arial"/>
          <w:sz w:val="19"/>
          <w:szCs w:val="19"/>
          <w:color w:val="auto"/>
        </w:rPr>
        <w:t>Insolvency</w:t>
      </w:r>
    </w:p>
    <w:p>
      <w:pPr>
        <w:spacing w:after="0" w:line="4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 Party shall have the right to terminate this Agreement, if the other Party experiences an Insolvency Event; provided, however, in the case of any involuntary bankruptcy proceeding, such right to terminate shall only become effective if the Party that incurs the Insolvency Event consents to the involuntary bankruptcy or such proceeding is not dismissed within ninety (90) days after the filing thereof.</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19.2.3</w:t>
      </w:r>
      <w:r>
        <w:rPr>
          <w:sz w:val="20"/>
          <w:szCs w:val="20"/>
          <w:color w:val="auto"/>
        </w:rPr>
        <w:tab/>
      </w:r>
      <w:r>
        <w:rPr>
          <w:rFonts w:ascii="Arial" w:cs="Arial" w:eastAsia="Arial" w:hAnsi="Arial"/>
          <w:sz w:val="19"/>
          <w:szCs w:val="19"/>
          <w:color w:val="auto"/>
        </w:rPr>
        <w:t>Termination by Roche without a Cause</w:t>
      </w:r>
    </w:p>
    <w:p>
      <w:pPr>
        <w:spacing w:after="0" w:line="4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Roche shall have the right to terminate this Agreement at any time as a whole or on a Product-by-Product or country-by-country basis upon either (i) three (3) months prior written notice if such notice is provided before First Commercial Sale of the first Product under this Agreement, provided that at the time when Roche sends the termination notice under this Section 19.2.3(i) the Post-Exposure Prophylaxis study as described in the Global Development Plan in Appendix 1.47 is not ongoing, but if Roche sends its termination notice under this Section 19.2.3(i) during the time when the Post-Exposure Prophylaxis study as described in the Global Development Plan in Appendix 1.47 is ongoing (“ongoing” shall mean, for the purposes of this Section, that the first patient has been dosed and the last patient has not yet been dosed in such study), then the earlier of the end of such study (but not earlier than three (3) months after the time Roche sends the termination notice), or six (6) months after such termination notice is sent; or (ii) nine (9) months prior written notice if such notice is provided on or after the First Commercial Sale of the first Product under this Agreement. The effective date of termination under this Section 19.2.3 shall be the date three (3) months (as adjusted in accordance with subsection (i) above), or nine (9) months, as the case may be, after Roche provides such written notice to Atea.</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19.3</w:t>
      </w:r>
      <w:r>
        <w:rPr>
          <w:sz w:val="20"/>
          <w:szCs w:val="20"/>
          <w:color w:val="auto"/>
        </w:rPr>
        <w:tab/>
      </w:r>
      <w:r>
        <w:rPr>
          <w:rFonts w:ascii="Arial" w:cs="Arial" w:eastAsia="Arial" w:hAnsi="Arial"/>
          <w:sz w:val="19"/>
          <w:szCs w:val="19"/>
          <w:b w:val="1"/>
          <w:bCs w:val="1"/>
          <w:color w:val="auto"/>
        </w:rPr>
        <w:t>Consequences of Termination</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19.3.1</w:t>
      </w:r>
      <w:r>
        <w:rPr>
          <w:sz w:val="20"/>
          <w:szCs w:val="20"/>
          <w:color w:val="auto"/>
        </w:rPr>
        <w:tab/>
      </w:r>
      <w:r>
        <w:rPr>
          <w:rFonts w:ascii="Arial" w:cs="Arial" w:eastAsia="Arial" w:hAnsi="Arial"/>
          <w:sz w:val="19"/>
          <w:szCs w:val="19"/>
          <w:color w:val="auto"/>
        </w:rPr>
        <w:t>Termination by Atea for Breach by Roche or by Roche without a Cause</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Upon any termination by Atea for breach by Roche or by Roche without a cause, the rights and licenses granted by Atea to Roche under this Agreement shall terminate in their entirety or on a country-by-country and Product-by-Product basis, as applicable, on the effective date of termination.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6" w:name="page147"/>
    <w:bookmarkEnd w:id="146"/>
    <w:p>
      <w:pPr>
        <w:jc w:val="both"/>
        <w:spacing w:after="0" w:line="232" w:lineRule="auto"/>
        <w:rPr>
          <w:sz w:val="20"/>
          <w:szCs w:val="20"/>
          <w:color w:val="auto"/>
        </w:rPr>
      </w:pPr>
      <w:r>
        <w:rPr>
          <w:rFonts w:ascii="Arial" w:cs="Arial" w:eastAsia="Arial" w:hAnsi="Arial"/>
          <w:sz w:val="20"/>
          <w:szCs w:val="20"/>
          <w:color w:val="auto"/>
        </w:rPr>
        <w:t>If Atea desires to continue development or commercialization of Product(s), Atea shall give a Continuation Election Notice to Roche within [***] days of Atea’s notice of termination for breach by Roche or Atea’s receipt of Roche’s notice of termination without cause. If Roche receives such a timely Continuation Election Notice, and to the extent reasonably requested by Atea:</w:t>
      </w:r>
    </w:p>
    <w:p>
      <w:pPr>
        <w:spacing w:after="0" w:line="197" w:lineRule="exact"/>
        <w:rPr>
          <w:sz w:val="20"/>
          <w:szCs w:val="20"/>
          <w:color w:val="auto"/>
        </w:rPr>
      </w:pPr>
    </w:p>
    <w:p>
      <w:pPr>
        <w:jc w:val="both"/>
        <w:ind w:left="420" w:hanging="412"/>
        <w:spacing w:after="0" w:line="227" w:lineRule="auto"/>
        <w:tabs>
          <w:tab w:leader="none" w:pos="4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After the effective date of termination Roche shall, to the extent Roche has the right to do so, transfer and assign to Atea all regulatory filings and approvals, all final pre-clinical and clinical study reports and clinical study protocols, Product Trademarks and all data, including clinical data, in Roche’s possession or control related to Product(s) in the Roche Territory necessary for Atea to continue to develop and commercialize the Product(s). All data shall be transferred in the form and format in which it is maintained by Roche. Original paper copies shall only be transferred, if legally required. Roche shall not be required to prepare or finalize any new data, reports or information solely for purposes of transfer to Atea. Roche shall use reasonable efforts to secure from any Sublicensee or Third Party or Affiliate performing activities under this Agreement sufficient rights in and to the foregoing items to enable Roche to provide to Atea all of the foregoing items.</w:t>
      </w:r>
    </w:p>
    <w:p>
      <w:pPr>
        <w:spacing w:after="0" w:line="202" w:lineRule="exact"/>
        <w:rPr>
          <w:rFonts w:ascii="Arial" w:cs="Arial" w:eastAsia="Arial" w:hAnsi="Arial"/>
          <w:sz w:val="20"/>
          <w:szCs w:val="20"/>
          <w:color w:val="auto"/>
        </w:rPr>
      </w:pPr>
    </w:p>
    <w:p>
      <w:pPr>
        <w:jc w:val="both"/>
        <w:ind w:left="420" w:hanging="412"/>
        <w:spacing w:after="0" w:line="229" w:lineRule="auto"/>
        <w:tabs>
          <w:tab w:leader="none" w:pos="4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Roche shall assign all clinical trial agreements or other manufacturing or vendor agreements to which Roche is a party related to the Product to the extent legally possible, and to the extent such agreements have not been cancelled and are assignable without Roche paying any consideration or commencing litigation in order to effect an assignment of any such agreement. If Roche cannot assign such agreements it will reasonably cooperate with Atea to enable Atea to negotiate and enter into a separate agreement with the relevant counterparty by, for example, waiving any exclusivity obligations of such counterparty that may prevent Atea from entering into such agreement with such counterparty.</w:t>
      </w:r>
    </w:p>
    <w:p>
      <w:pPr>
        <w:spacing w:after="0" w:line="195" w:lineRule="exact"/>
        <w:rPr>
          <w:rFonts w:ascii="Arial" w:cs="Arial" w:eastAsia="Arial" w:hAnsi="Arial"/>
          <w:sz w:val="20"/>
          <w:szCs w:val="20"/>
          <w:color w:val="auto"/>
        </w:rPr>
      </w:pPr>
    </w:p>
    <w:p>
      <w:pPr>
        <w:jc w:val="both"/>
        <w:ind w:left="420" w:hanging="412"/>
        <w:spacing w:after="0" w:line="229" w:lineRule="auto"/>
        <w:tabs>
          <w:tab w:leader="none" w:pos="4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Roche shall and hereby does grant to Atea, effective as of the effective date of termination, an exclusive license under the Roche Know-How and Roche Patent Rights, including Roche's interest in the Joint Patent Rights, solely to the extent necessary to allow Atea, its Affiliates or licensees to develop, make, have made, use, sell, offer to sell, import, and export the Product(s) in the Territory, provided that with respect to any Roche Know-How or Roche Patent Right obtained pursuant to an agreement with a Third Party, Atea assumes all of Roche's obligations (including payment obligations) under such agreement to the extent applicable to such Product(s).</w:t>
      </w:r>
    </w:p>
    <w:p>
      <w:pPr>
        <w:spacing w:after="0" w:line="195" w:lineRule="exact"/>
        <w:rPr>
          <w:rFonts w:ascii="Arial" w:cs="Arial" w:eastAsia="Arial" w:hAnsi="Arial"/>
          <w:sz w:val="20"/>
          <w:szCs w:val="20"/>
          <w:color w:val="auto"/>
        </w:rPr>
      </w:pPr>
    </w:p>
    <w:p>
      <w:pPr>
        <w:ind w:left="420" w:hanging="412"/>
        <w:spacing w:after="0"/>
        <w:tabs>
          <w:tab w:leader="none" w:pos="4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Roche shall assign or license to Atea the Product Trademarks with respect to the Product(s) in the Roche Territory.</w:t>
      </w:r>
    </w:p>
    <w:p>
      <w:pPr>
        <w:spacing w:after="0" w:line="202" w:lineRule="exact"/>
        <w:rPr>
          <w:rFonts w:ascii="Arial" w:cs="Arial" w:eastAsia="Arial" w:hAnsi="Arial"/>
          <w:sz w:val="20"/>
          <w:szCs w:val="20"/>
          <w:color w:val="auto"/>
        </w:rPr>
      </w:pPr>
    </w:p>
    <w:p>
      <w:pPr>
        <w:jc w:val="both"/>
        <w:ind w:left="420" w:hanging="412"/>
        <w:spacing w:after="0" w:line="237" w:lineRule="auto"/>
        <w:tabs>
          <w:tab w:leader="none" w:pos="42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Atea shall, upon transfer, have the right to disclose and file such filings, approvals and data to (i) governmental agencies of the relevant country(ies) to the extent required or desirable to secure government approval for the development, manufacture or sale of Product(s) in the Roche Territory; (ii) Third Parties acting on behalf of Atea, its Affiliates or licensees, to the extent reasonably necessary solely for the development, manufacture, or sale of Product(s) in the Roche Territory; or</w:t>
      </w:r>
    </w:p>
    <w:p>
      <w:pPr>
        <w:ind w:left="740" w:hanging="314"/>
        <w:spacing w:after="0"/>
        <w:tabs>
          <w:tab w:leader="none" w:pos="740"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Third Parties to the extent reasonably necessary to market Product(s) in the Roche Territory.</w:t>
      </w:r>
    </w:p>
    <w:p>
      <w:pPr>
        <w:spacing w:after="0" w:line="202" w:lineRule="exact"/>
        <w:rPr>
          <w:rFonts w:ascii="Arial" w:cs="Arial" w:eastAsia="Arial" w:hAnsi="Arial"/>
          <w:sz w:val="20"/>
          <w:szCs w:val="20"/>
          <w:color w:val="auto"/>
        </w:rPr>
      </w:pPr>
    </w:p>
    <w:p>
      <w:pPr>
        <w:ind w:left="420" w:right="20" w:hanging="412"/>
        <w:spacing w:after="0" w:line="236" w:lineRule="auto"/>
        <w:tabs>
          <w:tab w:leader="none" w:pos="4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Roche shall provide reasonable assistance and technical expertise, at Atea's cost, in a technology transfer from Roche to a Third Party designated by Atea with respect to the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7" w:lineRule="exact"/>
        <w:rPr>
          <w:rFonts w:ascii="Arial" w:cs="Arial" w:eastAsia="Arial" w:hAnsi="Arial"/>
          <w:sz w:val="20"/>
          <w:szCs w:val="20"/>
          <w:color w:val="auto"/>
        </w:rPr>
      </w:pPr>
    </w:p>
    <w:p>
      <w:pPr>
        <w:ind w:left="5520" w:hanging="127"/>
        <w:spacing w:after="0"/>
        <w:tabs>
          <w:tab w:leader="none" w:pos="5520" w:val="left"/>
        </w:tabs>
        <w:numPr>
          <w:ilvl w:val="2"/>
          <w:numId w:val="90"/>
        </w:numPr>
        <w:rPr>
          <w:rFonts w:ascii="Arial" w:cs="Arial" w:eastAsia="Arial" w:hAnsi="Arial"/>
          <w:sz w:val="20"/>
          <w:szCs w:val="20"/>
          <w:color w:val="auto"/>
        </w:rPr>
      </w:pPr>
      <w:r>
        <w:rPr>
          <w:rFonts w:ascii="Arial" w:cs="Arial" w:eastAsia="Arial" w:hAnsi="Arial"/>
          <w:sz w:val="20"/>
          <w:szCs w:val="20"/>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47" w:name="page148"/>
    <w:bookmarkEnd w:id="147"/>
    <w:p>
      <w:pPr>
        <w:ind w:left="420"/>
        <w:spacing w:after="0" w:line="236" w:lineRule="auto"/>
        <w:rPr>
          <w:sz w:val="20"/>
          <w:szCs w:val="20"/>
          <w:color w:val="auto"/>
        </w:rPr>
      </w:pPr>
      <w:r>
        <w:rPr>
          <w:rFonts w:ascii="Arial" w:cs="Arial" w:eastAsia="Arial" w:hAnsi="Arial"/>
          <w:sz w:val="20"/>
          <w:szCs w:val="20"/>
          <w:color w:val="auto"/>
        </w:rPr>
        <w:t>manufacturing of the Product(s), including the transfer of chemistry, manufacturing and controls processes with respect thereto.</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19.3.2</w:t>
      </w:r>
      <w:r>
        <w:rPr>
          <w:sz w:val="20"/>
          <w:szCs w:val="20"/>
          <w:color w:val="auto"/>
        </w:rPr>
        <w:tab/>
      </w:r>
      <w:r>
        <w:rPr>
          <w:rFonts w:ascii="Arial" w:cs="Arial" w:eastAsia="Arial" w:hAnsi="Arial"/>
          <w:sz w:val="19"/>
          <w:szCs w:val="19"/>
          <w:color w:val="auto"/>
        </w:rPr>
        <w:t>Termination by Roche for Breach by Atea or for Atea Insolvency</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Upon any termination by Roche for breach by Atea or Atea’s Insolvency Event, the rights and licenses granted by one Party to the other Party under this Agreement shall terminate in their entirety or on a country-by-country and a Product-by-Product basis, as applicable, on the effective date of termination.</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19.3.3</w:t>
      </w:r>
      <w:r>
        <w:rPr>
          <w:sz w:val="20"/>
          <w:szCs w:val="20"/>
          <w:color w:val="auto"/>
        </w:rPr>
        <w:tab/>
      </w:r>
      <w:r>
        <w:rPr>
          <w:rFonts w:ascii="Arial" w:cs="Arial" w:eastAsia="Arial" w:hAnsi="Arial"/>
          <w:sz w:val="19"/>
          <w:szCs w:val="19"/>
          <w:color w:val="auto"/>
        </w:rPr>
        <w:t>Direct License</w:t>
      </w:r>
    </w:p>
    <w:p>
      <w:pPr>
        <w:spacing w:after="0" w:line="40" w:lineRule="exact"/>
        <w:rPr>
          <w:sz w:val="20"/>
          <w:szCs w:val="20"/>
          <w:color w:val="auto"/>
        </w:rPr>
      </w:pPr>
    </w:p>
    <w:p>
      <w:pPr>
        <w:ind w:left="420" w:hanging="412"/>
        <w:spacing w:after="0" w:line="236" w:lineRule="auto"/>
        <w:tabs>
          <w:tab w:leader="none" w:pos="4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Irrespective of anything to the contrary in this Agreement, any Compulsory Sublicense shall remain in full force and effect as may be required by Applicable Law, and</w:t>
      </w:r>
    </w:p>
    <w:p>
      <w:pPr>
        <w:spacing w:after="0" w:line="87" w:lineRule="exact"/>
        <w:rPr>
          <w:rFonts w:ascii="Arial" w:cs="Arial" w:eastAsia="Arial" w:hAnsi="Arial"/>
          <w:sz w:val="20"/>
          <w:szCs w:val="20"/>
          <w:color w:val="auto"/>
        </w:rPr>
      </w:pPr>
    </w:p>
    <w:p>
      <w:pPr>
        <w:jc w:val="both"/>
        <w:ind w:left="420" w:hanging="412"/>
        <w:spacing w:after="0" w:line="228" w:lineRule="auto"/>
        <w:tabs>
          <w:tab w:leader="none" w:pos="4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any existing, permitted sublicense granted by Roche under Section 2.2 of this Agreement (and any further sublicenses thereunder) shall, upon the written request of Roche, remain in full force and effect, provided that (i) such Sublicensee is not then in breach of its sublicense agreement (and, in the case of termination by Atea for breach by Roche, that such Sublicensee and any further sublicensees did not cause the breach that gave rise to the termination by Atea); and (ii) and such Sublicensee agrees to be bound to Atea under the terms and conditions of such sublicense agreement. Roche shall remain responsible for and shall ensure that each Sublicensee (including any further permitted sublicensee thereof) complies with the terms and conditions of this Agreement.</w:t>
      </w:r>
    </w:p>
    <w:p>
      <w:pPr>
        <w:spacing w:after="0" w:line="19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19.3.4</w:t>
      </w:r>
      <w:r>
        <w:rPr>
          <w:sz w:val="20"/>
          <w:szCs w:val="20"/>
          <w:color w:val="auto"/>
        </w:rPr>
        <w:tab/>
      </w:r>
      <w:r>
        <w:rPr>
          <w:rFonts w:ascii="Arial" w:cs="Arial" w:eastAsia="Arial" w:hAnsi="Arial"/>
          <w:sz w:val="19"/>
          <w:szCs w:val="19"/>
          <w:color w:val="auto"/>
        </w:rPr>
        <w:t>Other Obligations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19.3.4.1</w:t>
      </w:r>
      <w:r>
        <w:rPr>
          <w:sz w:val="20"/>
          <w:szCs w:val="20"/>
          <w:color w:val="auto"/>
        </w:rPr>
        <w:tab/>
      </w:r>
      <w:r>
        <w:rPr>
          <w:rFonts w:ascii="Arial" w:cs="Arial" w:eastAsia="Arial" w:hAnsi="Arial"/>
          <w:sz w:val="19"/>
          <w:szCs w:val="19"/>
          <w:color w:val="auto"/>
        </w:rPr>
        <w:t>Obligations Related to Ongoing Activities</w:t>
      </w:r>
    </w:p>
    <w:p>
      <w:pPr>
        <w:spacing w:after="0" w:line="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If Atea does not provide a timely Continuation Election Notice, then Roche (a) shall have the right to cancel all ongoing obligations and (b) shall complete all non-cancellable obligations at its own expense, except in each case to the extent inconsistent with protecting patient safety.</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If Atea provides such timely Continuation Election Notice, then from the date of notice of termination until the effective date of termination, Roche shall continue activities, including preparatory activities, ongoing as of the date of notice of termination unless otherwise agreed by the Parties, with expenses thereof incurred prior to the effective date of termination to be shared equally (50/50) by the Parties consistent with Section 6.2. Such obligation to continue activities may include without limitation continuing to perform under any then-effective contracts applicable to the development, manufacture or commercialization of Compound or Product until completion all of such relevant activities, unless Atea otherwise agrees in writing or requests in writing, subject to Atea’s obligations to bear any portion thereof or to pay for any supply of Product as set forth in this Agreement. However, Roche shall not be obliged to initiate any new activities not ongoing at the date of notice of termination.</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Except in case Roche terminates for Atea’s uncured material breach (Section 19.2.1) or for Atea’s insolvency (Section 19.2.2), Roche shall also be solely responsible for any reasonable cancellation or early termination fees that become due under vendor contracts by reason of such termination, if such contracts are not transferred to Atea as provided in Section 19.3.1(b).</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After the effective date of termination, Roche shall have no obligation to perform or complete any activities or to make any payments for performing or completing any activities under this Agreement, except as expressly stated herein.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8" w:name="page149"/>
    <w:bookmarkEnd w:id="148"/>
    <w:p>
      <w:pPr>
        <w:spacing w:after="0"/>
        <w:tabs>
          <w:tab w:leader="none" w:pos="1020" w:val="left"/>
        </w:tabs>
        <w:rPr>
          <w:sz w:val="20"/>
          <w:szCs w:val="20"/>
          <w:color w:val="auto"/>
        </w:rPr>
      </w:pPr>
      <w:r>
        <w:rPr>
          <w:rFonts w:ascii="Arial" w:cs="Arial" w:eastAsia="Arial" w:hAnsi="Arial"/>
          <w:sz w:val="20"/>
          <w:szCs w:val="20"/>
          <w:color w:val="auto"/>
        </w:rPr>
        <w:t>19.3.4.2</w:t>
      </w:r>
      <w:r>
        <w:rPr>
          <w:sz w:val="20"/>
          <w:szCs w:val="20"/>
          <w:color w:val="auto"/>
        </w:rPr>
        <w:tab/>
      </w:r>
      <w:r>
        <w:rPr>
          <w:rFonts w:ascii="Arial" w:cs="Arial" w:eastAsia="Arial" w:hAnsi="Arial"/>
          <w:sz w:val="19"/>
          <w:szCs w:val="19"/>
          <w:color w:val="auto"/>
        </w:rPr>
        <w:t>Further Supply; Transfer of Inventory</w:t>
      </w:r>
    </w:p>
    <w:p>
      <w:pPr>
        <w:spacing w:after="0" w:line="4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In the case of termination by Atea according to Section 19.2.1 or 19.2.2 or by Roche under Section 19.2.3, upon the request of Atea, Roche shall transfer all of its existing and available clinical supplies and commercial supplies of Products to Atea at [***]. If a Product is marketed in any country of the Territory on the date of the notice of termination of this Agreement, upon the request of Atea, Roche shall manufacture and supply reasonable amounts of such Product to Atea under a manufacturing transfer and transition plan for a period that shall not exceed [***] months from the effective date of the termination of this Agreement at a price to be agreed by the Parties in good faith, but in no event exceeding (i) [***], or (ii) [***]. Atea shall use Commercially Reasonable Efforts to take over the manufacturing as soon as possible after the effective date of termination.</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19.3.4.3</w:t>
      </w:r>
      <w:r>
        <w:rPr>
          <w:sz w:val="20"/>
          <w:szCs w:val="20"/>
          <w:color w:val="auto"/>
        </w:rPr>
        <w:tab/>
      </w:r>
      <w:r>
        <w:rPr>
          <w:rFonts w:ascii="Arial" w:cs="Arial" w:eastAsia="Arial" w:hAnsi="Arial"/>
          <w:sz w:val="19"/>
          <w:szCs w:val="19"/>
          <w:color w:val="auto"/>
        </w:rPr>
        <w:t>Ancillary Agreements</w:t>
      </w:r>
    </w:p>
    <w:p>
      <w:pPr>
        <w:spacing w:after="0" w:line="4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Unless otherwise agreed by the Parties, the termination of this Agreement shall cause the automatic termination of all ancillary agreements related hereto, including but not limited to the Co-Promotion Agreement(s) or, subject to Section 19.3.4.2, Supply Agreement(s), if any, except to the extent such ancillary agreements are related to or necessary for the Parties’ activities under this Section 19.3, in which case the relevant agreement(s) shall terminate upon completion of the relevant activity(ies).</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19.3.4.4</w:t>
      </w:r>
      <w:r>
        <w:rPr>
          <w:sz w:val="20"/>
          <w:szCs w:val="20"/>
          <w:color w:val="auto"/>
        </w:rPr>
        <w:tab/>
      </w:r>
      <w:r>
        <w:rPr>
          <w:rFonts w:ascii="Arial" w:cs="Arial" w:eastAsia="Arial" w:hAnsi="Arial"/>
          <w:sz w:val="19"/>
          <w:szCs w:val="19"/>
          <w:color w:val="auto"/>
        </w:rPr>
        <w:t>Limitations on Grant-Backs; Transfer Expenses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clarity, irrespective of anything to the contrary in this Agreement:</w:t>
      </w:r>
    </w:p>
    <w:p>
      <w:pPr>
        <w:spacing w:after="0" w:line="94" w:lineRule="exact"/>
        <w:rPr>
          <w:sz w:val="20"/>
          <w:szCs w:val="20"/>
          <w:color w:val="auto"/>
        </w:rPr>
      </w:pPr>
    </w:p>
    <w:p>
      <w:pPr>
        <w:jc w:val="both"/>
        <w:ind w:left="420" w:hanging="412"/>
        <w:spacing w:after="0" w:line="229" w:lineRule="auto"/>
        <w:tabs>
          <w:tab w:leader="none" w:pos="4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All transfers and licenses from Roche to Atea (or other obligations of Roche) under Section 19.3 are solely with respect to Product(s) that are not Combination Product(s) or Diagnostic Product(s). Such transfers, licenses and obligations do not extend to other therapeutically active ingredients or products, even if physically mixed, combined or packaged together with a Product, and even if a Product is intended (according to the investigation plan, proposed labeling or actual labeling, as applicable) for use with such other therapeutically active ingredients or products.</w:t>
      </w:r>
    </w:p>
    <w:p>
      <w:pPr>
        <w:spacing w:after="0" w:line="90" w:lineRule="exact"/>
        <w:rPr>
          <w:rFonts w:ascii="Arial" w:cs="Arial" w:eastAsia="Arial" w:hAnsi="Arial"/>
          <w:sz w:val="20"/>
          <w:szCs w:val="20"/>
          <w:color w:val="auto"/>
        </w:rPr>
      </w:pPr>
    </w:p>
    <w:p>
      <w:pPr>
        <w:jc w:val="both"/>
        <w:ind w:left="420" w:hanging="412"/>
        <w:spacing w:after="0" w:line="239" w:lineRule="auto"/>
        <w:tabs>
          <w:tab w:leader="none" w:pos="4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 connection with research studies, clinical trials or other activities associated with the development and commercialization of Products, Roche may have collected (i) personally identifiable information about individual human subjects or (ii) human biological samples (collectively, “</w:t>
      </w:r>
      <w:r>
        <w:rPr>
          <w:rFonts w:ascii="Arial" w:cs="Arial" w:eastAsia="Arial" w:hAnsi="Arial"/>
          <w:sz w:val="19"/>
          <w:szCs w:val="19"/>
          <w:b w:val="1"/>
          <w:bCs w:val="1"/>
          <w:color w:val="auto"/>
        </w:rPr>
        <w:t>PII/Samples</w:t>
      </w:r>
      <w:r>
        <w:rPr>
          <w:rFonts w:ascii="Arial" w:cs="Arial" w:eastAsia="Arial" w:hAnsi="Arial"/>
          <w:sz w:val="19"/>
          <w:szCs w:val="19"/>
          <w:color w:val="auto"/>
        </w:rPr>
        <w:t>”). Legal and contractual restrictions may apply to such PII/Samples. Roche shall have no obligation to transfer such PII/Samples unless necessary for the continued development of the Product, in which case Roche shall not be obliged to transfer any PII/Samples that Roche in good faith believes would be prohibited or would subject Roche to potential liability by reason of Applicable Law, contractual restrictions or insufficient patient consent; provided that Roche shall notify Atea of the basis for such belief and cooperate with Atea to identify potential means to avoid such lability (including, by way of example, seeking new patient consents). If Roche transfers any such PII/Samples, Atea shall use for the sole purpose of developing and commercializing the Product, and Atea shall be responsible for the correct use of the PII/Samples in line with the informed consent forms ([***]).</w:t>
      </w:r>
    </w:p>
    <w:p>
      <w:pPr>
        <w:spacing w:after="0" w:line="92" w:lineRule="exact"/>
        <w:rPr>
          <w:rFonts w:ascii="Arial" w:cs="Arial" w:eastAsia="Arial" w:hAnsi="Arial"/>
          <w:sz w:val="19"/>
          <w:szCs w:val="19"/>
          <w:color w:val="auto"/>
        </w:rPr>
      </w:pPr>
    </w:p>
    <w:p>
      <w:pPr>
        <w:jc w:val="both"/>
        <w:ind w:left="420" w:hanging="412"/>
        <w:spacing w:after="0" w:line="229" w:lineRule="auto"/>
        <w:tabs>
          <w:tab w:leader="none" w:pos="4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Atea shall promptly reimburse Roche for all reasonable out-of-pocket costs and expenses (including FTE Cost charges) incurred by or on behalf of Roche for transfer activities from Roche to Atea under Section 19.3.1 (“</w:t>
      </w:r>
      <w:r>
        <w:rPr>
          <w:rFonts w:ascii="Arial" w:cs="Arial" w:eastAsia="Arial" w:hAnsi="Arial"/>
          <w:sz w:val="20"/>
          <w:szCs w:val="20"/>
          <w:b w:val="1"/>
          <w:bCs w:val="1"/>
          <w:color w:val="auto"/>
        </w:rPr>
        <w:t>Roche Transfer</w:t>
      </w:r>
      <w:r>
        <w:rPr>
          <w:rFonts w:ascii="Arial" w:cs="Arial" w:eastAsia="Arial" w:hAnsi="Arial"/>
          <w:sz w:val="20"/>
          <w:szCs w:val="20"/>
          <w:color w:val="auto"/>
        </w:rPr>
        <w:t xml:space="preserve"> </w:t>
      </w:r>
      <w:r>
        <w:rPr>
          <w:rFonts w:ascii="Arial" w:cs="Arial" w:eastAsia="Arial" w:hAnsi="Arial"/>
          <w:sz w:val="20"/>
          <w:szCs w:val="20"/>
          <w:b w:val="1"/>
          <w:bCs w:val="1"/>
          <w:color w:val="auto"/>
        </w:rPr>
        <w:t>Activities</w:t>
      </w:r>
      <w:r>
        <w:rPr>
          <w:rFonts w:ascii="Arial" w:cs="Arial" w:eastAsia="Arial" w:hAnsi="Arial"/>
          <w:sz w:val="20"/>
          <w:szCs w:val="20"/>
          <w:color w:val="auto"/>
        </w:rPr>
        <w:t>”); however transfer activities corresponding to the return of material remains, data, reports, records, documents,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regulatory filings and Regulatory Approvals originally provided by Atea to Roche no less than [***] years from the effective date of termination (“</w:t>
      </w:r>
      <w:r>
        <w:rPr>
          <w:rFonts w:ascii="Arial" w:cs="Arial" w:eastAsia="Arial" w:hAnsi="Arial"/>
          <w:sz w:val="20"/>
          <w:szCs w:val="20"/>
          <w:b w:val="1"/>
          <w:bCs w:val="1"/>
          <w:color w:val="auto"/>
        </w:rPr>
        <w:t>Atea-Originated Transfer Activities</w:t>
      </w:r>
      <w:r>
        <w:rPr>
          <w:rFonts w:ascii="Arial" w:cs="Arial" w:eastAsia="Arial" w:hAnsi="Arial"/>
          <w:sz w:val="20"/>
          <w:szCs w:val="20"/>
          <w:color w:val="auto"/>
        </w:rPr>
        <w:t>”) shall be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0" w:lineRule="exact"/>
        <w:rPr>
          <w:rFonts w:ascii="Arial" w:cs="Arial" w:eastAsia="Arial" w:hAnsi="Arial"/>
          <w:sz w:val="20"/>
          <w:szCs w:val="20"/>
          <w:color w:val="auto"/>
        </w:rPr>
      </w:pPr>
    </w:p>
    <w:p>
      <w:pPr>
        <w:ind w:left="5520" w:hanging="127"/>
        <w:spacing w:after="0"/>
        <w:tabs>
          <w:tab w:leader="none" w:pos="5520" w:val="left"/>
        </w:tabs>
        <w:numPr>
          <w:ilvl w:val="1"/>
          <w:numId w:val="92"/>
        </w:numPr>
        <w:rPr>
          <w:rFonts w:ascii="Arial" w:cs="Arial" w:eastAsia="Arial" w:hAnsi="Arial"/>
          <w:sz w:val="20"/>
          <w:szCs w:val="20"/>
          <w:color w:val="auto"/>
        </w:rPr>
      </w:pPr>
      <w:r>
        <w:rPr>
          <w:rFonts w:ascii="Arial" w:cs="Arial" w:eastAsia="Arial" w:hAnsi="Arial"/>
          <w:sz w:val="20"/>
          <w:szCs w:val="20"/>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49" w:name="page150"/>
    <w:bookmarkEnd w:id="149"/>
    <w:p>
      <w:pPr>
        <w:jc w:val="both"/>
        <w:ind w:left="420"/>
        <w:spacing w:after="0" w:line="225" w:lineRule="auto"/>
        <w:rPr>
          <w:sz w:val="20"/>
          <w:szCs w:val="20"/>
          <w:color w:val="auto"/>
        </w:rPr>
      </w:pPr>
      <w:r>
        <w:rPr>
          <w:rFonts w:ascii="Arial" w:cs="Arial" w:eastAsia="Arial" w:hAnsi="Arial"/>
          <w:sz w:val="20"/>
          <w:szCs w:val="20"/>
          <w:color w:val="auto"/>
        </w:rPr>
        <w:t>returned to Atea free of charge. If Atea desires Roche Transfer Activities other than Atea-Originated Transfer Activities, then except as expressly provided above, Atea shall make a payment to Roche of [***] (“</w:t>
      </w:r>
      <w:r>
        <w:rPr>
          <w:rFonts w:ascii="Arial" w:cs="Arial" w:eastAsia="Arial" w:hAnsi="Arial"/>
          <w:sz w:val="20"/>
          <w:szCs w:val="20"/>
          <w:b w:val="1"/>
          <w:bCs w:val="1"/>
          <w:color w:val="auto"/>
        </w:rPr>
        <w:t>Minimum Transfer Payment</w:t>
      </w:r>
      <w:r>
        <w:rPr>
          <w:rFonts w:ascii="Arial" w:cs="Arial" w:eastAsia="Arial" w:hAnsi="Arial"/>
          <w:sz w:val="20"/>
          <w:szCs w:val="20"/>
          <w:color w:val="auto"/>
        </w:rPr>
        <w:t>”).</w:t>
      </w:r>
    </w:p>
    <w:p>
      <w:pPr>
        <w:spacing w:after="0" w:line="1" w:lineRule="exact"/>
        <w:rPr>
          <w:sz w:val="20"/>
          <w:szCs w:val="20"/>
          <w:color w:val="auto"/>
        </w:rPr>
      </w:pPr>
    </w:p>
    <w:p>
      <w:pPr>
        <w:jc w:val="both"/>
        <w:ind w:left="420" w:firstLine="6"/>
        <w:spacing w:after="0" w:line="232" w:lineRule="auto"/>
        <w:tabs>
          <w:tab w:leader="none" w:pos="866" w:val="left"/>
        </w:tabs>
        <w:numPr>
          <w:ilvl w:val="1"/>
          <w:numId w:val="93"/>
        </w:numPr>
        <w:rPr>
          <w:rFonts w:ascii="Arial" w:cs="Arial" w:eastAsia="Arial" w:hAnsi="Arial"/>
          <w:sz w:val="20"/>
          <w:szCs w:val="20"/>
          <w:color w:val="auto"/>
        </w:rPr>
      </w:pPr>
      <w:r>
        <w:rPr>
          <w:rFonts w:ascii="Arial" w:cs="Arial" w:eastAsia="Arial" w:hAnsi="Arial"/>
          <w:sz w:val="20"/>
          <w:szCs w:val="20"/>
          <w:color w:val="auto"/>
        </w:rPr>
        <w:t>Roche shall be under no obligation to provide Roche Transfer Activities (beyond than Atea-Originated Transfer Activities) prior to receipt of the Minimum Transfer Payment or if the Minimum Transfer Payment is received after the effective date of the termination.</w:t>
      </w:r>
    </w:p>
    <w:p>
      <w:pPr>
        <w:spacing w:after="0" w:line="89" w:lineRule="exact"/>
        <w:rPr>
          <w:rFonts w:ascii="Arial" w:cs="Arial" w:eastAsia="Arial" w:hAnsi="Arial"/>
          <w:sz w:val="20"/>
          <w:szCs w:val="20"/>
          <w:color w:val="auto"/>
        </w:rPr>
      </w:pPr>
    </w:p>
    <w:p>
      <w:pPr>
        <w:ind w:left="420" w:hanging="412"/>
        <w:spacing w:after="0" w:line="236" w:lineRule="auto"/>
        <w:tabs>
          <w:tab w:leader="none" w:pos="4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Unless otherwise agreed to by the Parties, transfer of physical materials that are required under Roche Transfer Activities shall be delivered[***] (Incoterms 2020).</w:t>
      </w:r>
    </w:p>
    <w:p>
      <w:pPr>
        <w:spacing w:after="0" w:line="196"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19.3.4.5</w:t>
      </w:r>
      <w:r>
        <w:rPr>
          <w:sz w:val="20"/>
          <w:szCs w:val="20"/>
          <w:color w:val="auto"/>
        </w:rPr>
        <w:tab/>
      </w:r>
      <w:r>
        <w:rPr>
          <w:rFonts w:ascii="Arial" w:cs="Arial" w:eastAsia="Arial" w:hAnsi="Arial"/>
          <w:sz w:val="19"/>
          <w:szCs w:val="19"/>
          <w:color w:val="auto"/>
        </w:rPr>
        <w:t>Royalty and Payment Obligations</w:t>
      </w:r>
    </w:p>
    <w:p>
      <w:pPr>
        <w:spacing w:after="0" w:line="4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Termination of this Agreement by a Party, for any reason, shall not release either Party from any obligation to pay royalties or make any payments to the other Party that are payable prior to the effective date of termination. Termination of this Agreement by a Party, for any reason, will release each Party from any obligation to pay royalties or make any payments to the other Party that would otherwise become payable on or after the effective date of termination.</w:t>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19.4</w:t>
      </w:r>
      <w:r>
        <w:rPr>
          <w:sz w:val="20"/>
          <w:szCs w:val="20"/>
          <w:color w:val="auto"/>
        </w:rPr>
        <w:tab/>
      </w:r>
      <w:r>
        <w:rPr>
          <w:rFonts w:ascii="Arial" w:cs="Arial" w:eastAsia="Arial" w:hAnsi="Arial"/>
          <w:sz w:val="19"/>
          <w:szCs w:val="19"/>
          <w:b w:val="1"/>
          <w:bCs w:val="1"/>
          <w:color w:val="auto"/>
        </w:rPr>
        <w:t>Survival</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Article 1 (Definitions, to the extent necessary to interpret this Agreement), Articles 10, 11 and 12 (Payment, Accounting and Reporting, and Taxes, each to the extent payments accrued but remain unpaid at the effective date of termination), Article 13 (Auditing), Section 14.1 (Ownership of Inventions and Collaboration Know-How); Article 16 (Indemnification), Article 17 (Liability), Article 18 (Obligation Not to Disclose Confidential Information), Section 19.3 (Consequences of Termination), Section 19.4 (Survival), Section 21.1 (Governing Law), Section 21.3 (Arbitration), Section 21.4 (Assignment), and Sections 21.6 (Independent Contractor) – 21.13 (Notice) shall survive any expiration or termination of this Agreement for any reason.</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  Bankruptcy</w:t>
      </w:r>
    </w:p>
    <w:p>
      <w:pPr>
        <w:spacing w:after="0" w:line="6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All licenses (and to the extent applicable rights) granted under or pursuant to this Agreement by Atea to Roche are, and shall otherwise be deemed to be, for purposes of Section 365(n) of Title 11, US Code (the “</w:t>
      </w:r>
      <w:r>
        <w:rPr>
          <w:rFonts w:ascii="Arial" w:cs="Arial" w:eastAsia="Arial" w:hAnsi="Arial"/>
          <w:sz w:val="20"/>
          <w:szCs w:val="20"/>
          <w:b w:val="1"/>
          <w:bCs w:val="1"/>
          <w:color w:val="auto"/>
        </w:rPr>
        <w:t>Bankruptcy Code</w:t>
      </w:r>
      <w:r>
        <w:rPr>
          <w:rFonts w:ascii="Arial" w:cs="Arial" w:eastAsia="Arial" w:hAnsi="Arial"/>
          <w:sz w:val="20"/>
          <w:szCs w:val="20"/>
          <w:color w:val="auto"/>
        </w:rPr>
        <w:t>”) licenses of rights to “intellectual property” as defined under Section 101(35A) of the Bankruptcy Code. Unless Roche elects to terminate this Agreement, the Parties agree that Roche, as a licensee or sublicensee of such rights under this Agreement, shall retain and may fully exercise all of its rights and elections under the Bankruptcy Code, subject to the continued performance of its obligations under this Agreement.</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Miscellaneous</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9"/>
          <w:szCs w:val="19"/>
          <w:b w:val="1"/>
          <w:bCs w:val="1"/>
          <w:color w:val="auto"/>
        </w:rPr>
        <w:t>Governing Law</w:t>
      </w:r>
    </w:p>
    <w:p>
      <w:pPr>
        <w:spacing w:after="0" w:line="10"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This Agreement shall be governed by and construed in accordance with the laws of New York, without reference to its conflict of laws principles, and shall not be governed by the United Nations Convention of International Contracts on the Sale of Goods (the Vienna Convention).</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Notwithstanding anything to the contrary in this Agreement, issues regarding the scope, construction, validity or enforceability of any Patent Rights shall be determined in a court of competent jurisdiction under the local patent laws of the jurisdictions have issued the Patent Rights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150" w:name="page151"/>
    <w:bookmarkEnd w:id="150"/>
    <w:p>
      <w:pPr>
        <w:spacing w:after="0"/>
        <w:tabs>
          <w:tab w:leader="none" w:pos="68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9"/>
          <w:szCs w:val="19"/>
          <w:b w:val="1"/>
          <w:bCs w:val="1"/>
          <w:color w:val="auto"/>
        </w:rPr>
        <w:t>Disputes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Unless otherwise set forth in this Agreement, in the event of any dispute in connection with this Agreement, such dispute shall be referred to the Alliance Directors for resolution for a [***] day period before being escalated to the respective executive officers of the Parties designated below or their designees, who shall use reasonable and good faith efforts to resolve the dispute within [***] days after the date such matter is referred to them. The designated executive officers are as follows:</w:t>
      </w:r>
    </w:p>
    <w:p>
      <w:pPr>
        <w:sectPr>
          <w:pgSz w:w="11900" w:h="16838" w:orient="portrait"/>
          <w:cols w:equalWidth="0" w:num="1">
            <w:col w:w="11240"/>
          </w:cols>
          <w:pgMar w:left="320" w:top="544" w:right="339" w:bottom="1440" w:gutter="0" w:footer="0" w:header="0"/>
        </w:sectPr>
      </w:pPr>
    </w:p>
    <w:p>
      <w:pPr>
        <w:spacing w:after="0" w:line="4"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For Atea: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CEO</w:t>
      </w:r>
    </w:p>
    <w:p>
      <w:pPr>
        <w:spacing w:after="0" w:line="11" w:lineRule="exact"/>
        <w:rPr>
          <w:sz w:val="20"/>
          <w:szCs w:val="20"/>
          <w:color w:val="auto"/>
        </w:rPr>
      </w:pPr>
    </w:p>
    <w:p>
      <w:pPr>
        <w:sectPr>
          <w:pgSz w:w="11900" w:h="16838" w:orient="portrait"/>
          <w:cols w:equalWidth="0" w:num="2">
            <w:col w:w="2780" w:space="720"/>
            <w:col w:w="7740"/>
          </w:cols>
          <w:pgMar w:left="320" w:top="544" w:right="339" w:bottom="1440" w:gutter="0" w:footer="0" w:header="0"/>
          <w:type w:val="continuous"/>
        </w:sectPr>
      </w:pPr>
    </w:p>
    <w:p>
      <w:pPr>
        <w:ind w:left="1740"/>
        <w:spacing w:after="0"/>
        <w:rPr>
          <w:sz w:val="20"/>
          <w:szCs w:val="20"/>
          <w:color w:val="auto"/>
        </w:rPr>
      </w:pPr>
      <w:r>
        <w:rPr>
          <w:rFonts w:ascii="Arial" w:cs="Arial" w:eastAsia="Arial" w:hAnsi="Arial"/>
          <w:sz w:val="19"/>
          <w:szCs w:val="19"/>
          <w:color w:val="auto"/>
        </w:rPr>
        <w:t>For Roche: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VP, Pharma Partnering</w:t>
      </w:r>
    </w:p>
    <w:p>
      <w:pPr>
        <w:spacing w:after="0" w:line="195" w:lineRule="exact"/>
        <w:rPr>
          <w:sz w:val="20"/>
          <w:szCs w:val="20"/>
          <w:color w:val="auto"/>
        </w:rPr>
      </w:pPr>
    </w:p>
    <w:p>
      <w:pPr>
        <w:sectPr>
          <w:pgSz w:w="11900" w:h="16838" w:orient="portrait"/>
          <w:cols w:equalWidth="0" w:num="2">
            <w:col w:w="2780" w:space="720"/>
            <w:col w:w="7740"/>
          </w:cols>
          <w:pgMar w:left="320" w:top="544" w:right="339" w:bottom="1440" w:gutter="0" w:footer="0" w:header="0"/>
          <w:type w:val="continuous"/>
        </w:sectPr>
      </w:pPr>
    </w:p>
    <w:p>
      <w:pPr>
        <w:spacing w:after="0"/>
        <w:tabs>
          <w:tab w:leader="none" w:pos="68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9"/>
          <w:szCs w:val="19"/>
          <w:b w:val="1"/>
          <w:bCs w:val="1"/>
          <w:color w:val="auto"/>
        </w:rPr>
        <w:t>Arbitration</w:t>
      </w:r>
    </w:p>
    <w:p>
      <w:pPr>
        <w:spacing w:after="0" w:line="10"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Except for an Excluded Claim, should the Parties fail to agree on a matter pursuant to Section 21.2 within [***] months after a dispute has first arisen, it shall be finally settled by arbitration in accordance with the Rules of American Arbitration Association</w:t>
      </w:r>
    </w:p>
    <w:p>
      <w:pPr>
        <w:spacing w:after="0" w:line="1" w:lineRule="exact"/>
        <w:rPr>
          <w:sz w:val="20"/>
          <w:szCs w:val="20"/>
          <w:color w:val="auto"/>
        </w:rPr>
      </w:pPr>
    </w:p>
    <w:p>
      <w:pPr>
        <w:ind w:right="20" w:firstLine="8"/>
        <w:spacing w:after="0" w:line="236" w:lineRule="auto"/>
        <w:tabs>
          <w:tab w:leader="none" w:pos="587" w:val="left"/>
        </w:tabs>
        <w:numPr>
          <w:ilvl w:val="0"/>
          <w:numId w:val="94"/>
        </w:numPr>
        <w:rPr>
          <w:rFonts w:ascii="Arial" w:cs="Arial" w:eastAsia="Arial" w:hAnsi="Arial"/>
          <w:sz w:val="20"/>
          <w:szCs w:val="20"/>
          <w:color w:val="auto"/>
        </w:rPr>
      </w:pPr>
      <w:r>
        <w:rPr>
          <w:rFonts w:ascii="Arial" w:cs="Arial" w:eastAsia="Arial" w:hAnsi="Arial"/>
          <w:sz w:val="20"/>
          <w:szCs w:val="20"/>
          <w:color w:val="auto"/>
        </w:rPr>
        <w:t>as in force at the time when initiating the arbitration. The tribunal shall consist of three arbitrators. The place of arbitration shall be New York, New York, US. The language to be used shall be English.</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9"/>
          <w:szCs w:val="19"/>
          <w:b w:val="1"/>
          <w:bCs w:val="1"/>
          <w:color w:val="auto"/>
        </w:rPr>
        <w:t>Assignment</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Neither this Agreement nor any of the rights or obligations created herein may be assigned by either Party, in whole or in part, without the prior written consent of the other Party, not to be unreasonably withheld, conditioned or delayed, except that either Party shall be free to assign this Agreement, without the prior consent of the non-assigning Party, (a) to an Affiliate of such Party, provided that such Party shall remain liable and responsible to the other Party for the performance and observance of all such duties and obligations by such Affiliate, or (b) in connection with any merger, consolidation or sale of such Party or sale of all or substantially all of the assets of the Party that relate to this Agreement. Any assignment of this Agreement in contravention of this Section 21.4 is null and void. This Agreement shall bind and inure to the benefit of the successors and permitted assigns of the Parties hereto.</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9"/>
          <w:szCs w:val="19"/>
          <w:b w:val="1"/>
          <w:bCs w:val="1"/>
          <w:color w:val="auto"/>
        </w:rPr>
        <w:t>Effects of Change of Control</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If there is a Change of Control, then the Party experiencing such Change of Control (“</w:t>
      </w:r>
      <w:r>
        <w:rPr>
          <w:rFonts w:ascii="Arial" w:cs="Arial" w:eastAsia="Arial" w:hAnsi="Arial"/>
          <w:sz w:val="20"/>
          <w:szCs w:val="20"/>
          <w:b w:val="1"/>
          <w:bCs w:val="1"/>
          <w:color w:val="auto"/>
        </w:rPr>
        <w:t>Acquired Party</w:t>
      </w:r>
      <w:r>
        <w:rPr>
          <w:rFonts w:ascii="Arial" w:cs="Arial" w:eastAsia="Arial" w:hAnsi="Arial"/>
          <w:sz w:val="20"/>
          <w:szCs w:val="20"/>
          <w:color w:val="auto"/>
        </w:rPr>
        <w:t>”) shall provide written notice to the other Party (“</w:t>
      </w:r>
      <w:r>
        <w:rPr>
          <w:rFonts w:ascii="Arial" w:cs="Arial" w:eastAsia="Arial" w:hAnsi="Arial"/>
          <w:sz w:val="20"/>
          <w:szCs w:val="20"/>
          <w:b w:val="1"/>
          <w:bCs w:val="1"/>
          <w:color w:val="auto"/>
        </w:rPr>
        <w:t>Non-Acquired Party</w:t>
      </w:r>
      <w:r>
        <w:rPr>
          <w:rFonts w:ascii="Arial" w:cs="Arial" w:eastAsia="Arial" w:hAnsi="Arial"/>
          <w:sz w:val="20"/>
          <w:szCs w:val="20"/>
          <w:color w:val="auto"/>
        </w:rPr>
        <w:t>”) at least [***] days [***] of such Change of Control, subject to any confidentiality obligations of the Acquired Party then in effect [***].</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Change of Control Group in connection with such Change of Control shall agree in writing with the Non-Acquired Party that it will not utilize any of the Non-Acquired Party’s Know-How, Patent Rights, Inventions, or Confidential Information or Joint Know-How, Joint Patent Rights or Joint Inventions (collectively, “</w:t>
      </w:r>
      <w:r>
        <w:rPr>
          <w:rFonts w:ascii="Arial" w:cs="Arial" w:eastAsia="Arial" w:hAnsi="Arial"/>
          <w:sz w:val="20"/>
          <w:szCs w:val="20"/>
          <w:b w:val="1"/>
          <w:bCs w:val="1"/>
          <w:color w:val="auto"/>
        </w:rPr>
        <w:t>Sensitive Information</w:t>
      </w:r>
      <w:r>
        <w:rPr>
          <w:rFonts w:ascii="Arial" w:cs="Arial" w:eastAsia="Arial" w:hAnsi="Arial"/>
          <w:sz w:val="20"/>
          <w:szCs w:val="20"/>
          <w:color w:val="auto"/>
        </w:rPr>
        <w:t>”).</w:t>
      </w:r>
    </w:p>
    <w:p>
      <w:pPr>
        <w:spacing w:after="0" w:line="197" w:lineRule="exact"/>
        <w:rPr>
          <w:sz w:val="20"/>
          <w:szCs w:val="20"/>
          <w:color w:val="auto"/>
        </w:rPr>
      </w:pPr>
    </w:p>
    <w:p>
      <w:pPr>
        <w:jc w:val="both"/>
        <w:ind w:firstLine="8"/>
        <w:spacing w:after="0" w:line="229" w:lineRule="auto"/>
        <w:tabs>
          <w:tab w:leader="none" w:pos="429"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Non-Acquired Party and the Change of Control Group shall adopt in writing reasonable procedures to prevent the disclosure of Sensitive Information beyond the Acquired Party’s personnel who need to know the Sensitive Information solely for the purpose of fulfilling the Acquired Party’s obligations under this Agreement. In the event that the Change of Control Group is engaged in [***] (a “</w:t>
      </w:r>
      <w:r>
        <w:rPr>
          <w:rFonts w:ascii="Arial" w:cs="Arial" w:eastAsia="Arial" w:hAnsi="Arial"/>
          <w:sz w:val="20"/>
          <w:szCs w:val="20"/>
          <w:b w:val="1"/>
          <w:bCs w:val="1"/>
          <w:color w:val="auto"/>
        </w:rPr>
        <w:t>Competing Program</w:t>
      </w:r>
      <w:r>
        <w:rPr>
          <w:rFonts w:ascii="Arial" w:cs="Arial" w:eastAsia="Arial" w:hAnsi="Arial"/>
          <w:sz w:val="20"/>
          <w:szCs w:val="20"/>
          <w:color w:val="auto"/>
        </w:rPr>
        <w:t>”), then the Acquired Party shall [***] inform the Non-Acquired Party thereof in writing. The Acquired Party shall either [***] or [***]. [***]</w:t>
      </w:r>
      <w:r>
        <w:rPr>
          <w:rFonts w:ascii="Arial" w:cs="Arial" w:eastAsia="Arial" w:hAnsi="Arial"/>
          <w:sz w:val="20"/>
          <w:szCs w:val="20"/>
          <w:color w:val="222222"/>
        </w:rPr>
        <w:t>.</w:t>
      </w:r>
    </w:p>
    <w:p>
      <w:pPr>
        <w:spacing w:after="0" w:line="20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9"/>
          <w:szCs w:val="19"/>
          <w:b w:val="1"/>
          <w:bCs w:val="1"/>
          <w:color w:val="auto"/>
        </w:rPr>
        <w:t>Independent Contractor</w:t>
      </w:r>
    </w:p>
    <w:p>
      <w:pPr>
        <w:spacing w:after="0" w:line="1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No employee or representative of either Party shall have any authority to bind or obligate the other Party to this Agreement for any sum or in any manner whatsoever or to create or impose 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51" w:name="page152"/>
    <w:bookmarkEnd w:id="151"/>
    <w:p>
      <w:pPr>
        <w:jc w:val="both"/>
        <w:spacing w:after="0" w:line="244" w:lineRule="auto"/>
        <w:rPr>
          <w:sz w:val="20"/>
          <w:szCs w:val="20"/>
          <w:color w:val="auto"/>
        </w:rPr>
      </w:pPr>
      <w:r>
        <w:rPr>
          <w:rFonts w:ascii="Arial" w:cs="Arial" w:eastAsia="Arial" w:hAnsi="Arial"/>
          <w:sz w:val="19"/>
          <w:szCs w:val="19"/>
          <w:color w:val="auto"/>
        </w:rPr>
        <w:t>contractual or other liability on the other Party without said Party’s prior written approval. For all purposes (including U.S. federal and state tax purposes), and notwithstanding any other provision of this Agreement to the contrary, Atea legal relationship to Roche under this Agreement shall be that of independent contractor, and nothing contained in this Agreement shall be deemed or construed to create a partnership, joint venture, employment, franchise, agency or fiduciary relationship between the Parties.</w:t>
      </w:r>
    </w:p>
    <w:p>
      <w:pPr>
        <w:spacing w:after="0" w:line="19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9"/>
          <w:szCs w:val="19"/>
          <w:b w:val="1"/>
          <w:bCs w:val="1"/>
          <w:color w:val="auto"/>
        </w:rPr>
        <w:t>Unenforceable Provisions and Severability</w:t>
      </w:r>
    </w:p>
    <w:p>
      <w:pPr>
        <w:spacing w:after="0" w:line="10"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If any of the provisions of this Agreement are held to be void or unenforceable, then such void or unenforceable provisions shall be replaced by valid and enforceable provisions that will achieve as far as possible the economic business intentions of the Parties. However the remainder of this Agreement will remain in full force and effect, provided that the material interests of the Parties are not affected, i.e. the Parties would presumably have concluded this Agreement without the unenforceable provisions.</w:t>
      </w:r>
    </w:p>
    <w:p>
      <w:pPr>
        <w:spacing w:after="0" w:line="19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9"/>
          <w:szCs w:val="19"/>
          <w:b w:val="1"/>
          <w:bCs w:val="1"/>
          <w:color w:val="auto"/>
        </w:rPr>
        <w:t>Waiver</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failure by either Party to require strict performance or observance of any obligation, term, provision or condition under this Agreement will neither constitute a waiver thereof nor affect in any way the right of the respective Party to require such performance or observance. The waiver by either Party of a breach of any obligation, term, provision or condition hereunder shall not constitute a waiver of any subsequent breach thereof or of any other obligation, term, provision or condition.</w:t>
      </w:r>
    </w:p>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9"/>
          <w:szCs w:val="19"/>
          <w:b w:val="1"/>
          <w:bCs w:val="1"/>
          <w:color w:val="auto"/>
        </w:rPr>
        <w:t>Interpretation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Except where the context expressly requires otherwise:</w:t>
      </w:r>
    </w:p>
    <w:p>
      <w:pPr>
        <w:spacing w:after="0" w:line="94" w:lineRule="exact"/>
        <w:rPr>
          <w:sz w:val="20"/>
          <w:szCs w:val="20"/>
          <w:color w:val="auto"/>
        </w:rPr>
      </w:pPr>
    </w:p>
    <w:p>
      <w:pPr>
        <w:ind w:left="420" w:right="20" w:hanging="412"/>
        <w:spacing w:after="0" w:line="236" w:lineRule="auto"/>
        <w:tabs>
          <w:tab w:leader="none" w:pos="4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use of any gender herein shall be deemed to encompass references to either or both genders, and the use of the singular shall be deemed to include the plural (and vice versa),</w:t>
      </w:r>
    </w:p>
    <w:p>
      <w:pPr>
        <w:spacing w:after="0" w:line="87" w:lineRule="exact"/>
        <w:rPr>
          <w:rFonts w:ascii="Arial" w:cs="Arial" w:eastAsia="Arial" w:hAnsi="Arial"/>
          <w:sz w:val="20"/>
          <w:szCs w:val="20"/>
          <w:color w:val="auto"/>
        </w:rPr>
      </w:pPr>
    </w:p>
    <w:p>
      <w:pPr>
        <w:ind w:left="420" w:hanging="412"/>
        <w:spacing w:after="0"/>
        <w:tabs>
          <w:tab w:leader="none" w:pos="4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words “include”, “includes” and “including” shall be deemed to be followed by the phrase “without limitation”,</w:t>
      </w:r>
    </w:p>
    <w:p>
      <w:pPr>
        <w:spacing w:after="0" w:line="94" w:lineRule="exact"/>
        <w:rPr>
          <w:rFonts w:ascii="Arial" w:cs="Arial" w:eastAsia="Arial" w:hAnsi="Arial"/>
          <w:sz w:val="20"/>
          <w:szCs w:val="20"/>
          <w:color w:val="auto"/>
        </w:rPr>
      </w:pPr>
    </w:p>
    <w:p>
      <w:pPr>
        <w:ind w:left="420" w:hanging="412"/>
        <w:spacing w:after="0"/>
        <w:tabs>
          <w:tab w:leader="none" w:pos="4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word “will” shall be construed to have the same meaning and effect as the word “shall”,</w:t>
      </w:r>
    </w:p>
    <w:p>
      <w:pPr>
        <w:spacing w:after="0" w:line="94" w:lineRule="exact"/>
        <w:rPr>
          <w:rFonts w:ascii="Arial" w:cs="Arial" w:eastAsia="Arial" w:hAnsi="Arial"/>
          <w:sz w:val="20"/>
          <w:szCs w:val="20"/>
          <w:color w:val="auto"/>
        </w:rPr>
      </w:pPr>
    </w:p>
    <w:p>
      <w:pPr>
        <w:jc w:val="both"/>
        <w:ind w:left="420" w:hanging="412"/>
        <w:spacing w:after="0" w:line="232" w:lineRule="auto"/>
        <w:tabs>
          <w:tab w:leader="none" w:pos="4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w:t>
      </w:r>
    </w:p>
    <w:p>
      <w:pPr>
        <w:spacing w:after="0" w:line="89" w:lineRule="exact"/>
        <w:rPr>
          <w:rFonts w:ascii="Arial" w:cs="Arial" w:eastAsia="Arial" w:hAnsi="Arial"/>
          <w:sz w:val="20"/>
          <w:szCs w:val="20"/>
          <w:color w:val="auto"/>
        </w:rPr>
      </w:pPr>
    </w:p>
    <w:p>
      <w:pPr>
        <w:ind w:left="420" w:hanging="412"/>
        <w:spacing w:after="0" w:line="236" w:lineRule="auto"/>
        <w:tabs>
          <w:tab w:leader="none" w:pos="4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any reference herein to any Party or Third Party or person shall be construed to include the Party’s or Third Party’s or person’s permitted successors and assigns,</w:t>
      </w:r>
    </w:p>
    <w:p>
      <w:pPr>
        <w:spacing w:after="0" w:line="87" w:lineRule="exact"/>
        <w:rPr>
          <w:rFonts w:ascii="Arial" w:cs="Arial" w:eastAsia="Arial" w:hAnsi="Arial"/>
          <w:sz w:val="20"/>
          <w:szCs w:val="20"/>
          <w:color w:val="auto"/>
        </w:rPr>
      </w:pPr>
    </w:p>
    <w:p>
      <w:pPr>
        <w:ind w:left="420" w:hanging="412"/>
        <w:spacing w:after="0" w:line="236" w:lineRule="auto"/>
        <w:tabs>
          <w:tab w:leader="none" w:pos="4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words “herein”, “hereof” and “hereunder”, and words of similar import, shall be construed to refer to this Agreement in its entirety and not to any particular provision hereof,</w:t>
      </w:r>
    </w:p>
    <w:p>
      <w:pPr>
        <w:spacing w:after="0" w:line="87" w:lineRule="exact"/>
        <w:rPr>
          <w:rFonts w:ascii="Arial" w:cs="Arial" w:eastAsia="Arial" w:hAnsi="Arial"/>
          <w:sz w:val="20"/>
          <w:szCs w:val="20"/>
          <w:color w:val="auto"/>
        </w:rPr>
      </w:pPr>
    </w:p>
    <w:p>
      <w:pPr>
        <w:ind w:left="420" w:hanging="412"/>
        <w:spacing w:after="0" w:line="236" w:lineRule="auto"/>
        <w:tabs>
          <w:tab w:leader="none" w:pos="4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all references herein to Articles, Sections or Appendices shall be construed to refer to Articles, Sections or Appendices of this Agreement, and references to this Agreement include all Appendices hereto,</w:t>
      </w:r>
    </w:p>
    <w:p>
      <w:pPr>
        <w:spacing w:after="0" w:line="87" w:lineRule="exact"/>
        <w:rPr>
          <w:rFonts w:ascii="Arial" w:cs="Arial" w:eastAsia="Arial" w:hAnsi="Arial"/>
          <w:sz w:val="20"/>
          <w:szCs w:val="20"/>
          <w:color w:val="auto"/>
        </w:rPr>
      </w:pPr>
    </w:p>
    <w:p>
      <w:pPr>
        <w:ind w:left="420" w:hanging="412"/>
        <w:spacing w:after="0" w:line="236" w:lineRule="auto"/>
        <w:tabs>
          <w:tab w:leader="none" w:pos="4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references to any specific law, rule or regulation, or article, section or other division thereof, shall be deemed to include the then-current amendments thereto or any replacement or successor law, rule or regulation thereof,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7" w:lineRule="exact"/>
        <w:rPr>
          <w:rFonts w:ascii="Arial" w:cs="Arial" w:eastAsia="Arial" w:hAnsi="Arial"/>
          <w:sz w:val="20"/>
          <w:szCs w:val="20"/>
          <w:color w:val="auto"/>
        </w:rPr>
      </w:pPr>
    </w:p>
    <w:p>
      <w:pPr>
        <w:ind w:left="5520" w:hanging="127"/>
        <w:spacing w:after="0"/>
        <w:tabs>
          <w:tab w:leader="none" w:pos="5520" w:val="left"/>
        </w:tabs>
        <w:numPr>
          <w:ilvl w:val="1"/>
          <w:numId w:val="96"/>
        </w:numPr>
        <w:rPr>
          <w:rFonts w:ascii="Arial" w:cs="Arial" w:eastAsia="Arial" w:hAnsi="Arial"/>
          <w:sz w:val="20"/>
          <w:szCs w:val="20"/>
          <w:color w:val="auto"/>
        </w:rPr>
      </w:pPr>
      <w:r>
        <w:rPr>
          <w:rFonts w:ascii="Arial" w:cs="Arial" w:eastAsia="Arial" w:hAnsi="Arial"/>
          <w:sz w:val="20"/>
          <w:szCs w:val="20"/>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2" w:name="page153"/>
    <w:bookmarkEnd w:id="152"/>
    <w:p>
      <w:pPr>
        <w:ind w:left="420" w:hanging="412"/>
        <w:spacing w:after="0"/>
        <w:tabs>
          <w:tab w:leader="none" w:pos="4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term “or” shall be interpreted in the inclusive sense commonly associated with the term “and/or”.</w:t>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21.10</w:t>
      </w:r>
      <w:r>
        <w:rPr>
          <w:sz w:val="20"/>
          <w:szCs w:val="20"/>
          <w:color w:val="auto"/>
        </w:rPr>
        <w:tab/>
      </w:r>
      <w:r>
        <w:rPr>
          <w:rFonts w:ascii="Arial" w:cs="Arial" w:eastAsia="Arial" w:hAnsi="Arial"/>
          <w:sz w:val="19"/>
          <w:szCs w:val="19"/>
          <w:b w:val="1"/>
          <w:bCs w:val="1"/>
          <w:color w:val="auto"/>
        </w:rPr>
        <w:t>Entire Understanding</w:t>
      </w:r>
    </w:p>
    <w:p>
      <w:pPr>
        <w:spacing w:after="0" w:line="1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This Agreement contains the entire understanding between the Parties hereto with respect to the within subject matter and supersedes any and all prior agreements, understandings and arrangements, whether written or oral, including the NDA.</w:t>
      </w:r>
    </w:p>
    <w:p>
      <w:pPr>
        <w:spacing w:after="0" w:line="19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21.11</w:t>
      </w:r>
      <w:r>
        <w:rPr>
          <w:sz w:val="20"/>
          <w:szCs w:val="20"/>
          <w:color w:val="auto"/>
        </w:rPr>
        <w:tab/>
      </w:r>
      <w:r>
        <w:rPr>
          <w:rFonts w:ascii="Arial" w:cs="Arial" w:eastAsia="Arial" w:hAnsi="Arial"/>
          <w:sz w:val="19"/>
          <w:szCs w:val="19"/>
          <w:b w:val="1"/>
          <w:bCs w:val="1"/>
          <w:color w:val="auto"/>
        </w:rPr>
        <w:t>Amendments</w:t>
      </w:r>
    </w:p>
    <w:p>
      <w:pPr>
        <w:spacing w:after="0" w:line="1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No amendments of the terms and conditions of this Agreement shall be binding upon either Party hereto unless in writing and signed by both Parties.</w:t>
      </w:r>
    </w:p>
    <w:p>
      <w:pPr>
        <w:spacing w:after="0" w:line="19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21.12</w:t>
      </w:r>
      <w:r>
        <w:rPr>
          <w:sz w:val="20"/>
          <w:szCs w:val="20"/>
          <w:color w:val="auto"/>
        </w:rPr>
        <w:tab/>
      </w:r>
      <w:r>
        <w:rPr>
          <w:rFonts w:ascii="Arial" w:cs="Arial" w:eastAsia="Arial" w:hAnsi="Arial"/>
          <w:sz w:val="19"/>
          <w:szCs w:val="19"/>
          <w:b w:val="1"/>
          <w:bCs w:val="1"/>
          <w:color w:val="auto"/>
        </w:rPr>
        <w:t>Invoices</w:t>
      </w:r>
    </w:p>
    <w:p>
      <w:pPr>
        <w:spacing w:after="0" w:line="1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All invoices that are required or permitted hereunder shall be in writing and sent by Atea to Roche at the following address or such other address as Roche may later provide: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 Hoffmann-La Roche Ltd</w:t>
      </w:r>
    </w:p>
    <w:p>
      <w:pPr>
        <w:ind w:left="880"/>
        <w:spacing w:after="0" w:line="225" w:lineRule="auto"/>
        <w:rPr>
          <w:sz w:val="20"/>
          <w:szCs w:val="20"/>
          <w:color w:val="auto"/>
        </w:rPr>
      </w:pPr>
      <w:r>
        <w:rPr>
          <w:rFonts w:ascii="Arial" w:cs="Arial" w:eastAsia="Arial" w:hAnsi="Arial"/>
          <w:sz w:val="20"/>
          <w:szCs w:val="20"/>
          <w:color w:val="auto"/>
        </w:rPr>
        <w:t>Kreditorenbuchhaltung</w:t>
      </w:r>
    </w:p>
    <w:p>
      <w:pPr>
        <w:ind w:left="880"/>
        <w:spacing w:after="0" w:line="225" w:lineRule="auto"/>
        <w:rPr>
          <w:sz w:val="20"/>
          <w:szCs w:val="20"/>
          <w:color w:val="auto"/>
        </w:rPr>
      </w:pPr>
      <w:r>
        <w:rPr>
          <w:rFonts w:ascii="Arial" w:cs="Arial" w:eastAsia="Arial" w:hAnsi="Arial"/>
          <w:sz w:val="20"/>
          <w:szCs w:val="20"/>
          <w:color w:val="auto"/>
        </w:rPr>
        <w:t>Grenzacherstrasse 124</w:t>
      </w:r>
    </w:p>
    <w:p>
      <w:pPr>
        <w:ind w:left="880"/>
        <w:spacing w:after="0" w:line="226" w:lineRule="auto"/>
        <w:rPr>
          <w:sz w:val="20"/>
          <w:szCs w:val="20"/>
          <w:color w:val="auto"/>
        </w:rPr>
      </w:pPr>
      <w:r>
        <w:rPr>
          <w:rFonts w:ascii="Arial" w:cs="Arial" w:eastAsia="Arial" w:hAnsi="Arial"/>
          <w:sz w:val="20"/>
          <w:szCs w:val="20"/>
          <w:color w:val="auto"/>
        </w:rPr>
        <w:t>4070 Basel</w:t>
      </w:r>
    </w:p>
    <w:p>
      <w:pPr>
        <w:ind w:left="880"/>
        <w:spacing w:after="0" w:line="225" w:lineRule="auto"/>
        <w:rPr>
          <w:sz w:val="20"/>
          <w:szCs w:val="20"/>
          <w:color w:val="auto"/>
        </w:rPr>
      </w:pPr>
      <w:r>
        <w:rPr>
          <w:rFonts w:ascii="Arial" w:cs="Arial" w:eastAsia="Arial" w:hAnsi="Arial"/>
          <w:sz w:val="20"/>
          <w:szCs w:val="20"/>
          <w:color w:val="auto"/>
        </w:rPr>
        <w:t>Switzerland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Attn: (name of a Roche contact at time of invoice, e.g. the Alliance Director)</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21.13</w:t>
      </w:r>
      <w:r>
        <w:rPr>
          <w:sz w:val="20"/>
          <w:szCs w:val="20"/>
          <w:color w:val="auto"/>
        </w:rPr>
        <w:tab/>
      </w:r>
      <w:r>
        <w:rPr>
          <w:rFonts w:ascii="Arial" w:cs="Arial" w:eastAsia="Arial" w:hAnsi="Arial"/>
          <w:sz w:val="19"/>
          <w:szCs w:val="19"/>
          <w:b w:val="1"/>
          <w:bCs w:val="1"/>
          <w:color w:val="auto"/>
        </w:rPr>
        <w:t>Notice</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All notices that are required or permitted hereunder shall be in writing and sufficient if delivered personally, sent by facsimile (and promptly confirmed by personal delivery, registered or certified mail or overnight courier), sent by nationally recognized overnight courier, sent by registered or certified mail, postage prepaid, return receipt requested, or sent by electronic mail (if to Atea), addressed as follows:</w:t>
      </w:r>
    </w:p>
    <w:p>
      <w:pPr>
        <w:sectPr>
          <w:pgSz w:w="11900" w:h="16838" w:orient="portrait"/>
          <w:cols w:equalWidth="0" w:num="1">
            <w:col w:w="11240"/>
          </w:cols>
          <w:pgMar w:left="320" w:top="460" w:right="339" w:bottom="1440" w:gutter="0" w:footer="0" w:header="0"/>
        </w:sectPr>
      </w:pP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if to Atea, to: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Atea Pharmaceuticals, Inc.</w:t>
      </w:r>
    </w:p>
    <w:p>
      <w:pPr>
        <w:spacing w:after="0" w:line="225" w:lineRule="auto"/>
        <w:rPr>
          <w:sz w:val="20"/>
          <w:szCs w:val="20"/>
          <w:color w:val="auto"/>
        </w:rPr>
      </w:pPr>
      <w:r>
        <w:rPr>
          <w:rFonts w:ascii="Arial" w:cs="Arial" w:eastAsia="Arial" w:hAnsi="Arial"/>
          <w:sz w:val="20"/>
          <w:szCs w:val="20"/>
          <w:color w:val="auto"/>
        </w:rPr>
        <w:t>125 Summer Street</w:t>
      </w:r>
    </w:p>
    <w:p>
      <w:pPr>
        <w:spacing w:after="0" w:line="225" w:lineRule="auto"/>
        <w:rPr>
          <w:sz w:val="20"/>
          <w:szCs w:val="20"/>
          <w:color w:val="auto"/>
        </w:rPr>
      </w:pPr>
      <w:r>
        <w:rPr>
          <w:rFonts w:ascii="Arial" w:cs="Arial" w:eastAsia="Arial" w:hAnsi="Arial"/>
          <w:sz w:val="20"/>
          <w:szCs w:val="20"/>
          <w:color w:val="auto"/>
        </w:rPr>
        <w:t>Boston, Massachusetts 02110</w:t>
      </w:r>
    </w:p>
    <w:p>
      <w:pPr>
        <w:spacing w:after="0" w:line="226" w:lineRule="auto"/>
        <w:rPr>
          <w:sz w:val="20"/>
          <w:szCs w:val="20"/>
          <w:color w:val="auto"/>
        </w:rPr>
      </w:pPr>
      <w:r>
        <w:rPr>
          <w:rFonts w:ascii="Arial" w:cs="Arial" w:eastAsia="Arial" w:hAnsi="Arial"/>
          <w:sz w:val="20"/>
          <w:szCs w:val="20"/>
          <w:color w:val="auto"/>
        </w:rPr>
        <w:t>U.S.A.</w:t>
      </w:r>
    </w:p>
    <w:p>
      <w:pPr>
        <w:spacing w:after="0" w:line="225" w:lineRule="auto"/>
        <w:rPr>
          <w:sz w:val="20"/>
          <w:szCs w:val="20"/>
          <w:color w:val="auto"/>
        </w:rPr>
      </w:pPr>
      <w:r>
        <w:rPr>
          <w:rFonts w:ascii="Arial" w:cs="Arial" w:eastAsia="Arial" w:hAnsi="Arial"/>
          <w:sz w:val="20"/>
          <w:szCs w:val="20"/>
          <w:color w:val="auto"/>
        </w:rPr>
        <w:t>Attn: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notices@ateapharma.com</w:t>
      </w:r>
    </w:p>
    <w:p>
      <w:pPr>
        <w:spacing w:after="0" w:line="200" w:lineRule="exact"/>
        <w:rPr>
          <w:sz w:val="20"/>
          <w:szCs w:val="20"/>
          <w:color w:val="auto"/>
        </w:rPr>
      </w:pPr>
    </w:p>
    <w:p>
      <w:pPr>
        <w:sectPr>
          <w:pgSz w:w="11900" w:h="16838" w:orient="portrait"/>
          <w:cols w:equalWidth="0" w:num="2">
            <w:col w:w="3220" w:space="720"/>
            <w:col w:w="7300"/>
          </w:cols>
          <w:pgMar w:left="320" w:top="460" w:right="339" w:bottom="1440" w:gutter="0" w:footer="0" w:header="0"/>
          <w:type w:val="continuous"/>
        </w:sectPr>
      </w:pPr>
    </w:p>
    <w:p>
      <w:pPr>
        <w:spacing w:after="0" w:line="218"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Latham &amp; Watkins LLP</w:t>
      </w:r>
    </w:p>
    <w:p>
      <w:pPr>
        <w:spacing w:after="0" w:line="225" w:lineRule="auto"/>
        <w:rPr>
          <w:sz w:val="20"/>
          <w:szCs w:val="20"/>
          <w:color w:val="auto"/>
        </w:rPr>
      </w:pPr>
      <w:r>
        <w:rPr>
          <w:rFonts w:ascii="Arial" w:cs="Arial" w:eastAsia="Arial" w:hAnsi="Arial"/>
          <w:sz w:val="20"/>
          <w:szCs w:val="20"/>
          <w:color w:val="auto"/>
        </w:rPr>
        <w:t>140 Scott Drive</w:t>
      </w:r>
    </w:p>
    <w:p>
      <w:pPr>
        <w:spacing w:after="0" w:line="237" w:lineRule="auto"/>
        <w:rPr>
          <w:sz w:val="20"/>
          <w:szCs w:val="20"/>
          <w:color w:val="auto"/>
        </w:rPr>
      </w:pPr>
      <w:r>
        <w:rPr>
          <w:rFonts w:ascii="Arial" w:cs="Arial" w:eastAsia="Arial" w:hAnsi="Arial"/>
          <w:sz w:val="19"/>
          <w:szCs w:val="19"/>
          <w:color w:val="auto"/>
        </w:rPr>
        <w:t>Menlo Park, CA 94025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Attn: Judith Hasko</w:t>
      </w:r>
    </w:p>
    <w:p>
      <w:pPr>
        <w:spacing w:after="0" w:line="200" w:lineRule="exact"/>
        <w:rPr>
          <w:sz w:val="20"/>
          <w:szCs w:val="20"/>
          <w:color w:val="auto"/>
        </w:rPr>
      </w:pPr>
    </w:p>
    <w:p>
      <w:pPr>
        <w:sectPr>
          <w:pgSz w:w="11900" w:h="16838" w:orient="portrait"/>
          <w:cols w:equalWidth="0" w:num="2">
            <w:col w:w="3220" w:space="720"/>
            <w:col w:w="7300"/>
          </w:cols>
          <w:pgMar w:left="320" w:top="460" w:right="339" w:bottom="1440" w:gutter="0" w:footer="0" w:header="0"/>
          <w:type w:val="continuous"/>
        </w:sectPr>
      </w:pPr>
    </w:p>
    <w:p>
      <w:pPr>
        <w:spacing w:after="0" w:line="218"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if to Roche, to: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F. Hoffmann-La Roche Ltd</w:t>
      </w:r>
    </w:p>
    <w:p>
      <w:pPr>
        <w:spacing w:after="0" w:line="225" w:lineRule="auto"/>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Attn: Legal Department</w:t>
      </w:r>
    </w:p>
    <w:p>
      <w:pPr>
        <w:spacing w:after="0" w:line="200" w:lineRule="exact"/>
        <w:rPr>
          <w:sz w:val="20"/>
          <w:szCs w:val="20"/>
          <w:color w:val="auto"/>
        </w:rPr>
      </w:pPr>
    </w:p>
    <w:p>
      <w:pPr>
        <w:sectPr>
          <w:pgSz w:w="11900" w:h="16838" w:orient="portrait"/>
          <w:cols w:equalWidth="0" w:num="2">
            <w:col w:w="3220" w:space="720"/>
            <w:col w:w="7300"/>
          </w:cols>
          <w:pgMar w:left="320" w:top="4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type w:val="continuous"/>
        </w:sectPr>
      </w:pPr>
    </w:p>
    <w:bookmarkStart w:id="153" w:name="page154"/>
    <w:bookmarkEnd w:id="153"/>
    <w:p>
      <w:pPr>
        <w:spacing w:after="0" w:line="14"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Genentech, Inc.</w:t>
      </w:r>
    </w:p>
    <w:p>
      <w:pPr>
        <w:spacing w:after="0" w:line="225" w:lineRule="auto"/>
        <w:rPr>
          <w:sz w:val="20"/>
          <w:szCs w:val="20"/>
          <w:color w:val="auto"/>
        </w:rPr>
      </w:pPr>
      <w:r>
        <w:rPr>
          <w:rFonts w:ascii="Arial" w:cs="Arial" w:eastAsia="Arial" w:hAnsi="Arial"/>
          <w:sz w:val="20"/>
          <w:szCs w:val="20"/>
          <w:color w:val="auto"/>
        </w:rPr>
        <w:t>[***]</w:t>
      </w:r>
    </w:p>
    <w:p>
      <w:pPr>
        <w:spacing w:after="0" w:line="225" w:lineRule="auto"/>
        <w:rPr>
          <w:sz w:val="20"/>
          <w:szCs w:val="20"/>
          <w:color w:val="auto"/>
        </w:rPr>
      </w:pPr>
      <w:r>
        <w:rPr>
          <w:rFonts w:ascii="Arial" w:cs="Arial" w:eastAsia="Arial" w:hAnsi="Arial"/>
          <w:sz w:val="20"/>
          <w:szCs w:val="20"/>
          <w:color w:val="auto"/>
        </w:rPr>
        <w:t>Attn. Corporate Secretary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3220" w:space="720"/>
            <w:col w:w="7300"/>
          </w:cols>
          <w:pgMar w:left="320" w:top="3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or to such other address as the Party to whom notice is to be given may have furnished to the other Party in writing in accordance herewith.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20"/>
          <w:szCs w:val="20"/>
          <w:color w:val="auto"/>
        </w:rPr>
        <w:t>IN WITNESS WHEREOF, the Parties have entered into this Agreement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3201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Atea Pharmaceuticals, Inc.</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Jean-Pierre Sommadossi</w:t>
      </w:r>
    </w:p>
    <w:p>
      <w:pPr>
        <w:ind w:left="120"/>
        <w:spacing w:after="0"/>
        <w:rPr>
          <w:sz w:val="20"/>
          <w:szCs w:val="20"/>
          <w:color w:val="auto"/>
        </w:rPr>
      </w:pPr>
      <w:r>
        <w:rPr>
          <w:rFonts w:ascii="Arial" w:cs="Arial" w:eastAsia="Arial" w:hAnsi="Arial"/>
          <w:sz w:val="20"/>
          <w:szCs w:val="20"/>
          <w:color w:val="auto"/>
        </w:rPr>
        <w:t>____________________________________</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Name: Jean-Pierre Sommadossi, Ph.D.</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Title: Chairman &amp; CEO</w:t>
      </w:r>
    </w:p>
    <w:p>
      <w:pPr>
        <w:spacing w:after="0" w:line="200" w:lineRule="exact"/>
        <w:rPr>
          <w:sz w:val="20"/>
          <w:szCs w:val="20"/>
          <w:color w:val="auto"/>
        </w:rPr>
      </w:pPr>
    </w:p>
    <w:p>
      <w:pPr>
        <w:spacing w:after="0" w:line="323" w:lineRule="exact"/>
        <w:rPr>
          <w:sz w:val="20"/>
          <w:szCs w:val="20"/>
          <w:color w:val="auto"/>
        </w:rPr>
      </w:pPr>
    </w:p>
    <w:tbl>
      <w:tblPr>
        <w:tblLayout w:type="fixed"/>
        <w:tblInd w:w="10" w:type="dxa"/>
        <w:tblCellMar>
          <w:top w:w="0" w:type="dxa"/>
          <w:left w:w="0" w:type="dxa"/>
          <w:bottom w:w="0" w:type="dxa"/>
          <w:right w:w="0" w:type="dxa"/>
        </w:tblCellMar>
      </w:tblPr>
      <w:tr>
        <w:trPr>
          <w:trHeight w:val="463"/>
        </w:trPr>
        <w:tc>
          <w:tcPr>
            <w:tcW w:w="49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20"/>
                <w:szCs w:val="20"/>
                <w:b w:val="1"/>
                <w:bCs w:val="1"/>
                <w:color w:val="auto"/>
              </w:rPr>
              <w:t>F. Hoffmann-La Roche Ltd</w:t>
            </w:r>
          </w:p>
        </w:tc>
        <w:tc>
          <w:tcPr>
            <w:tcW w:w="6340" w:type="dxa"/>
            <w:vAlign w:val="bottom"/>
            <w:tcBorders>
              <w:top w:val="single" w:sz="8" w:color="auto"/>
              <w:right w:val="single" w:sz="8" w:color="auto"/>
            </w:tcBorders>
          </w:tcPr>
          <w:p>
            <w:pPr>
              <w:spacing w:after="0"/>
              <w:rPr>
                <w:sz w:val="24"/>
                <w:szCs w:val="24"/>
                <w:color w:val="auto"/>
              </w:rPr>
            </w:pPr>
          </w:p>
        </w:tc>
      </w:tr>
      <w:tr>
        <w:trPr>
          <w:trHeight w:val="627"/>
        </w:trPr>
        <w:tc>
          <w:tcPr>
            <w:tcW w:w="490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/s/ Vikas Kabra</w:t>
            </w:r>
          </w:p>
        </w:tc>
        <w:tc>
          <w:tcPr>
            <w:tcW w:w="6340" w:type="dxa"/>
            <w:vAlign w:val="bottom"/>
            <w:tcBorders>
              <w:right w:val="single" w:sz="8" w:color="auto"/>
            </w:tcBorders>
          </w:tcPr>
          <w:p>
            <w:pPr>
              <w:ind w:left="820"/>
              <w:spacing w:after="0"/>
              <w:rPr>
                <w:sz w:val="20"/>
                <w:szCs w:val="20"/>
                <w:color w:val="auto"/>
              </w:rPr>
            </w:pPr>
            <w:r>
              <w:rPr>
                <w:rFonts w:ascii="Arial" w:cs="Arial" w:eastAsia="Arial" w:hAnsi="Arial"/>
                <w:sz w:val="20"/>
                <w:szCs w:val="20"/>
                <w:color w:val="auto"/>
              </w:rPr>
              <w:t>/s/ Stefan Arnold</w:t>
            </w:r>
          </w:p>
        </w:tc>
      </w:tr>
      <w:tr>
        <w:trPr>
          <w:trHeight w:val="237"/>
        </w:trPr>
        <w:tc>
          <w:tcPr>
            <w:tcW w:w="490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____________________________________</w:t>
            </w:r>
          </w:p>
        </w:tc>
        <w:tc>
          <w:tcPr>
            <w:tcW w:w="6340" w:type="dxa"/>
            <w:vAlign w:val="bottom"/>
            <w:tcBorders>
              <w:right w:val="single" w:sz="8" w:color="auto"/>
            </w:tcBorders>
          </w:tcPr>
          <w:p>
            <w:pPr>
              <w:ind w:left="820"/>
              <w:spacing w:after="0"/>
              <w:rPr>
                <w:sz w:val="20"/>
                <w:szCs w:val="20"/>
                <w:color w:val="auto"/>
              </w:rPr>
            </w:pPr>
            <w:r>
              <w:rPr>
                <w:rFonts w:ascii="Arial" w:cs="Arial" w:eastAsia="Arial" w:hAnsi="Arial"/>
                <w:sz w:val="20"/>
                <w:szCs w:val="20"/>
                <w:color w:val="auto"/>
              </w:rPr>
              <w:t>____________________________________</w:t>
            </w:r>
          </w:p>
        </w:tc>
      </w:tr>
      <w:tr>
        <w:trPr>
          <w:trHeight w:val="324"/>
        </w:trPr>
        <w:tc>
          <w:tcPr>
            <w:tcW w:w="490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Name: Vikas Kabra</w:t>
            </w:r>
          </w:p>
        </w:tc>
        <w:tc>
          <w:tcPr>
            <w:tcW w:w="6340" w:type="dxa"/>
            <w:vAlign w:val="bottom"/>
            <w:tcBorders>
              <w:right w:val="single" w:sz="8" w:color="auto"/>
            </w:tcBorders>
          </w:tcPr>
          <w:p>
            <w:pPr>
              <w:ind w:left="820"/>
              <w:spacing w:after="0"/>
              <w:rPr>
                <w:sz w:val="20"/>
                <w:szCs w:val="20"/>
                <w:color w:val="auto"/>
              </w:rPr>
            </w:pPr>
            <w:r>
              <w:rPr>
                <w:rFonts w:ascii="Arial" w:cs="Arial" w:eastAsia="Arial" w:hAnsi="Arial"/>
                <w:sz w:val="20"/>
                <w:szCs w:val="20"/>
                <w:color w:val="auto"/>
              </w:rPr>
              <w:t>Name: Stefan Arnold</w:t>
            </w:r>
          </w:p>
        </w:tc>
      </w:tr>
      <w:tr>
        <w:trPr>
          <w:trHeight w:val="324"/>
        </w:trPr>
        <w:tc>
          <w:tcPr>
            <w:tcW w:w="490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Title: Global Head Transaction Excellence</w:t>
            </w:r>
          </w:p>
        </w:tc>
        <w:tc>
          <w:tcPr>
            <w:tcW w:w="6340" w:type="dxa"/>
            <w:vAlign w:val="bottom"/>
            <w:tcBorders>
              <w:right w:val="single" w:sz="8" w:color="auto"/>
            </w:tcBorders>
          </w:tcPr>
          <w:p>
            <w:pPr>
              <w:ind w:left="820"/>
              <w:spacing w:after="0"/>
              <w:rPr>
                <w:sz w:val="20"/>
                <w:szCs w:val="20"/>
                <w:color w:val="auto"/>
              </w:rPr>
            </w:pPr>
            <w:r>
              <w:rPr>
                <w:rFonts w:ascii="Arial" w:cs="Arial" w:eastAsia="Arial" w:hAnsi="Arial"/>
                <w:sz w:val="20"/>
                <w:szCs w:val="20"/>
                <w:color w:val="auto"/>
              </w:rPr>
              <w:t>Title: Head Legal Pharma</w:t>
            </w:r>
          </w:p>
        </w:tc>
      </w:tr>
      <w:tr>
        <w:trPr>
          <w:trHeight w:val="90"/>
        </w:trPr>
        <w:tc>
          <w:tcPr>
            <w:tcW w:w="4900" w:type="dxa"/>
            <w:vAlign w:val="bottom"/>
            <w:tcBorders>
              <w:left w:val="single" w:sz="8" w:color="auto"/>
              <w:bottom w:val="single" w:sz="8" w:color="auto"/>
            </w:tcBorders>
          </w:tcPr>
          <w:p>
            <w:pPr>
              <w:spacing w:after="0"/>
              <w:rPr>
                <w:sz w:val="7"/>
                <w:szCs w:val="7"/>
                <w:color w:val="auto"/>
              </w:rPr>
            </w:pPr>
          </w:p>
        </w:tc>
        <w:tc>
          <w:tcPr>
            <w:tcW w:w="634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3566160" cy="13201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356616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Genentech, Inc.</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Edward Harrington</w:t>
      </w:r>
    </w:p>
    <w:p>
      <w:pPr>
        <w:ind w:left="120"/>
        <w:spacing w:after="0"/>
        <w:rPr>
          <w:sz w:val="20"/>
          <w:szCs w:val="20"/>
          <w:color w:val="auto"/>
        </w:rPr>
      </w:pPr>
      <w:r>
        <w:rPr>
          <w:rFonts w:ascii="Arial" w:cs="Arial" w:eastAsia="Arial" w:hAnsi="Arial"/>
          <w:sz w:val="20"/>
          <w:szCs w:val="20"/>
          <w:color w:val="auto"/>
        </w:rPr>
        <w:t>____________________________________</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Name: Edward Harrington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Title: CFO, Genentech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25"/>
          <w:szCs w:val="25"/>
          <w:b w:val="1"/>
          <w:bCs w:val="1"/>
          <w:color w:val="auto"/>
        </w:rPr>
        <w:t>Appendix 1.7</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Atea Base Patent Rights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1" w:right="1440"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25"/>
          <w:szCs w:val="25"/>
          <w:b w:val="1"/>
          <w:bCs w:val="1"/>
          <w:color w:val="auto"/>
        </w:rPr>
        <w:t>Appendix 1.9</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Atea Ongoing Studies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1" w:right="1440"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25"/>
          <w:szCs w:val="25"/>
          <w:b w:val="1"/>
          <w:bCs w:val="1"/>
          <w:color w:val="auto"/>
        </w:rPr>
        <w:t>Appendix 1.47</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Global Development Plan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25"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25"/>
          <w:szCs w:val="25"/>
          <w:b w:val="1"/>
          <w:bCs w:val="1"/>
          <w:color w:val="auto"/>
        </w:rPr>
        <w:t>Appendix 1.66</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AT-511</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1" w:right="1440"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25"/>
          <w:szCs w:val="25"/>
          <w:b w:val="1"/>
          <w:bCs w:val="1"/>
          <w:color w:val="auto"/>
        </w:rPr>
        <w:t>Appendix 1.97</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Second Generation Process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25" w:right="1440"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25"/>
          <w:szCs w:val="25"/>
          <w:b w:val="1"/>
          <w:bCs w:val="1"/>
          <w:color w:val="auto"/>
        </w:rPr>
        <w:t>Appendix 2.3</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Co-Promotion Agreement Terms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25"/>
          <w:szCs w:val="25"/>
          <w:b w:val="1"/>
          <w:bCs w:val="1"/>
          <w:color w:val="auto"/>
        </w:rPr>
        <w:t>Appendix 3</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Permitted Third Party Subcontractors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25" w:right="1440"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25"/>
          <w:szCs w:val="25"/>
          <w:b w:val="1"/>
          <w:bCs w:val="1"/>
          <w:color w:val="auto"/>
        </w:rPr>
        <w:t>Appendix 8.1.3</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Technology Transfer Plan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25" w:right="1440"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25"/>
          <w:szCs w:val="25"/>
          <w:b w:val="1"/>
          <w:bCs w:val="1"/>
          <w:color w:val="auto"/>
        </w:rPr>
        <w:t>Appendix 8.2</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Supply Agreement Terms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25"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25"/>
          <w:szCs w:val="25"/>
          <w:b w:val="1"/>
          <w:bCs w:val="1"/>
          <w:color w:val="auto"/>
        </w:rPr>
        <w:t>Appendix 8.3.3</w:t>
      </w:r>
    </w:p>
    <w:p>
      <w:pPr>
        <w:spacing w:after="0" w:line="307"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auto"/>
        </w:rPr>
        <w:t>Success criteria for manufacturing and release specifications for the Second Generation Process</w:t>
      </w:r>
    </w:p>
    <w:p>
      <w:pPr>
        <w:spacing w:after="0" w:line="147"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49530</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00"/>
          </w:cols>
          <w:pgMar w:left="640" w:top="325" w:right="65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25"/>
          <w:szCs w:val="25"/>
          <w:b w:val="1"/>
          <w:bCs w:val="1"/>
          <w:color w:val="auto"/>
        </w:rPr>
        <w:t>Appendix 18.3</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Form of Press Release</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Atea Form of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045845" cy="5918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10458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340" w:right="160"/>
        <w:spacing w:after="0" w:line="261" w:lineRule="auto"/>
        <w:rPr>
          <w:sz w:val="20"/>
          <w:szCs w:val="20"/>
          <w:color w:val="auto"/>
        </w:rPr>
      </w:pPr>
      <w:r>
        <w:rPr>
          <w:rFonts w:ascii="Arial" w:cs="Arial" w:eastAsia="Arial" w:hAnsi="Arial"/>
          <w:sz w:val="22"/>
          <w:szCs w:val="22"/>
          <w:b w:val="1"/>
          <w:bCs w:val="1"/>
          <w:color w:val="auto"/>
        </w:rPr>
        <w:t>Atea Pharmaceuticals Announces Strategic Collaboration with Roche to Develop and Distribute AT-527 for Patients with COVID-19</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Roche Obtains Exclusive Right to Develop and Distribute AT-527 Outside the United States</w:t>
      </w:r>
    </w:p>
    <w:p>
      <w:pPr>
        <w:spacing w:after="0" w:line="207" w:lineRule="exact"/>
        <w:rPr>
          <w:sz w:val="20"/>
          <w:szCs w:val="20"/>
          <w:color w:val="auto"/>
        </w:rPr>
      </w:pPr>
    </w:p>
    <w:p>
      <w:pPr>
        <w:spacing w:after="0" w:line="233" w:lineRule="auto"/>
        <w:rPr>
          <w:sz w:val="20"/>
          <w:szCs w:val="20"/>
          <w:color w:val="auto"/>
        </w:rPr>
      </w:pPr>
      <w:r>
        <w:rPr>
          <w:rFonts w:ascii="Arial" w:cs="Arial" w:eastAsia="Arial" w:hAnsi="Arial"/>
          <w:sz w:val="20"/>
          <w:szCs w:val="20"/>
          <w:b w:val="1"/>
          <w:bCs w:val="1"/>
          <w:color w:val="auto"/>
        </w:rPr>
        <w:t xml:space="preserve">BOSTON, Mass., October 22, 2020 </w:t>
      </w:r>
      <w:r>
        <w:rPr>
          <w:rFonts w:ascii="Arial" w:cs="Arial" w:eastAsia="Arial" w:hAnsi="Arial"/>
          <w:sz w:val="20"/>
          <w:szCs w:val="20"/>
          <w:color w:val="auto"/>
        </w:rPr>
        <w:t>– Atea Pharmaceuticals, Inc., a clinical stage biopharmaceutical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discovering, developing and commercializing antiviral therapeutics to improve the lives of patients suffering from life-threatening viral infections, today announces that the company has entered into an agreement with Roche (SIX: RO, ROG; OTCQX: RHHBY) for the exclusive rights to research, develop and distribute AT-527 as an oral antiviral treatment for COVID-19 in territories outside of the United States. Under the terms of the agreement, Atea will receive an upfront payment of $350 million in cash from Roche with the potential for future milestone payments and royalties.</w:t>
      </w:r>
    </w:p>
    <w:p>
      <w:pPr>
        <w:spacing w:after="0" w:line="196"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auto"/>
        </w:rPr>
        <w:t>“Roche shares our passion for delivering innovative new medicines to address great unmet medical needs. The COVID-19 pandemic has highlighted the urgent need for a novel, oral antiviral to treat this highly infectious and often deadly virus,” said Jean-Pierre Sommadossi, Ph.D., Chief Executive Officer and Founder of Atea Pharmaceuticals. “This collaboration with Roche enhances Atea’s efforts and underscores the potential for AT-527 to effectively address the COVID-19 crisis on a global scale. AT-527 is expected to be ideally suited to combat COVID-19 as it inhibits viral replication by interfering with viral RNA polymerase, a key component in the replication machinery of RNA viruses. Importantly, the manufacturing process for our small molecule direct-acting antiviral allows us to produce AT-527 quickly and at scale.”</w:t>
      </w:r>
    </w:p>
    <w:p>
      <w:pPr>
        <w:spacing w:after="0" w:line="3" w:lineRule="exact"/>
        <w:rPr>
          <w:sz w:val="20"/>
          <w:szCs w:val="20"/>
          <w:color w:val="auto"/>
        </w:rPr>
      </w:pPr>
    </w:p>
    <w:p>
      <w:pPr>
        <w:ind w:right="220"/>
        <w:spacing w:after="0" w:line="229" w:lineRule="auto"/>
        <w:rPr>
          <w:sz w:val="20"/>
          <w:szCs w:val="20"/>
          <w:color w:val="auto"/>
        </w:rPr>
      </w:pPr>
      <w:r>
        <w:rPr>
          <w:rFonts w:ascii="Arial" w:cs="Arial" w:eastAsia="Arial" w:hAnsi="Arial"/>
          <w:sz w:val="20"/>
          <w:szCs w:val="20"/>
          <w:color w:val="auto"/>
        </w:rPr>
        <w:t>"The ongoing complexities of COVID-19 require multiple lines of defence. By joining forces with Atea, we hope to offer an additional treatment option for hospitalised and non-hospitalised COVID-19 patients, and provide important relief for hospital infrastructures during a global pandemic." said Bill Anderson, Chief Executive Officer of Roche Pharmaceuticals. "In jointly developing and manufacturing AT-527 at scale, we seek to make this treatment option available to as many people around the world as we possibly can."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AT-527</w:t>
      </w:r>
    </w:p>
    <w:p>
      <w:pPr>
        <w:spacing w:after="0" w:line="226"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AT-527 is an orally administered, direct-acting antiviral agent derived from Atea’s purine nucleotide prodrug platform. At-527 is currently under evaluation as a treatment for patients with COVID-19. AT-527 is designed to inhibit viral replication by interfering with viral RNA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66" w:name="page167"/>
    <w:bookmarkEnd w:id="166"/>
    <w:p>
      <w:pPr>
        <w:jc w:val="both"/>
        <w:spacing w:after="0" w:line="230" w:lineRule="auto"/>
        <w:rPr>
          <w:sz w:val="20"/>
          <w:szCs w:val="20"/>
          <w:color w:val="auto"/>
        </w:rPr>
      </w:pPr>
      <w:r>
        <w:rPr>
          <w:rFonts w:ascii="Arial" w:cs="Arial" w:eastAsia="Arial" w:hAnsi="Arial"/>
          <w:sz w:val="20"/>
          <w:szCs w:val="20"/>
          <w:color w:val="auto"/>
        </w:rPr>
        <w:t>polymerase, a key component in the replication machinery of RNA viruses, such as positive single-stranded human flaviviruses and human coronaviruses. AT-527 is currently in a global Phase 2 clinical study for hospitalized patients with moderate COVID-19 and has plans to initiate a global, registrational Phase 3 clinical trial in outpatients in the first half of 2021. Additionally, Atea is planning to study in a Phase 3 clinical trial the use of AT-527 in the post-exposure prophylaxis setting.</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FF0000"/>
        </w:rPr>
        <w:t>Evercore served as exclusive financial advisor to Atea in connection with this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Atea Pharmaceuticals</w:t>
      </w:r>
    </w:p>
    <w:p>
      <w:pPr>
        <w:spacing w:after="0" w:line="226"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 xml:space="preserve">Atea Pharmaceuticals is a clinical stage biopharmaceutical company engaged in discovering and developing therapies to address the unmet medical needs of patients with severe viral diseases. Our lead programs are focused on the development of orally- administered direct acting antivirals for the treatment of patients with COVID-19 in the hospital and community settings, the treatment of patients with chronic hepatitis C infection, the treatment of patients with dengue, and the treatment of high-risk patients with severe respiratory syncytial virus infection. Our medicinal chemistry, virology, and pharmacology expertise, bolstered by our collective experience in drug development, enables us to pioneer new advancements in antiviral science. Leveraging the power of our purine nucleotide prodrug platform, our goal is to rapidly advance novel drug candidates with optimal therapeutic profiles for RNA virus targets. Founded by its Chairman and Chief Executive Officer, Jean-Pierre Sommadossi, PhD, Atea began operations in 2014 and is headquartered in Boston, MA. For more information about Atea and our pipeline of product candidates please visit our company website at </w:t>
      </w:r>
      <w:r>
        <w:rPr>
          <w:rFonts w:ascii="Arial" w:cs="Arial" w:eastAsia="Arial" w:hAnsi="Arial"/>
          <w:sz w:val="20"/>
          <w:szCs w:val="20"/>
          <w:u w:val="single" w:color="auto"/>
          <w:color w:val="0000FF"/>
        </w:rPr>
        <w:t>www.ateapharma.com</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225" w:lineRule="auto"/>
        <w:rPr>
          <w:sz w:val="20"/>
          <w:szCs w:val="20"/>
          <w:color w:val="auto"/>
        </w:rPr>
      </w:pPr>
      <w:r>
        <w:rPr>
          <w:rFonts w:ascii="Arial" w:cs="Arial" w:eastAsia="Arial" w:hAnsi="Arial"/>
          <w:sz w:val="20"/>
          <w:szCs w:val="20"/>
          <w:color w:val="auto"/>
        </w:rPr>
        <w:t>Will O’Connor</w:t>
      </w:r>
    </w:p>
    <w:p>
      <w:pPr>
        <w:spacing w:after="0" w:line="225" w:lineRule="auto"/>
        <w:rPr>
          <w:sz w:val="20"/>
          <w:szCs w:val="20"/>
          <w:color w:val="auto"/>
        </w:rPr>
      </w:pPr>
      <w:r>
        <w:rPr>
          <w:rFonts w:ascii="Arial" w:cs="Arial" w:eastAsia="Arial" w:hAnsi="Arial"/>
          <w:sz w:val="20"/>
          <w:szCs w:val="20"/>
          <w:color w:val="auto"/>
        </w:rPr>
        <w:t>Stern Investor Relations</w:t>
      </w:r>
    </w:p>
    <w:p>
      <w:pPr>
        <w:spacing w:after="0" w:line="226" w:lineRule="auto"/>
        <w:rPr>
          <w:sz w:val="20"/>
          <w:szCs w:val="20"/>
          <w:color w:val="auto"/>
        </w:rPr>
      </w:pPr>
      <w:r>
        <w:rPr>
          <w:rFonts w:ascii="Arial" w:cs="Arial" w:eastAsia="Arial" w:hAnsi="Arial"/>
          <w:sz w:val="20"/>
          <w:szCs w:val="20"/>
          <w:color w:val="auto"/>
        </w:rPr>
        <w:t>212-362-1200</w:t>
      </w:r>
    </w:p>
    <w:p>
      <w:pPr>
        <w:spacing w:after="0"/>
        <w:rPr>
          <w:sz w:val="20"/>
          <w:szCs w:val="20"/>
          <w:color w:val="auto"/>
        </w:rPr>
      </w:pPr>
      <w:r>
        <w:rPr>
          <w:rFonts w:ascii="Arial" w:cs="Arial" w:eastAsia="Arial" w:hAnsi="Arial"/>
          <w:sz w:val="20"/>
          <w:szCs w:val="20"/>
          <w:u w:val="single" w:color="auto"/>
          <w:color w:val="0000FF"/>
        </w:rPr>
        <w:t>will.oconnor@sternir.com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Media:</w:t>
      </w:r>
    </w:p>
    <w:p>
      <w:pPr>
        <w:spacing w:after="0" w:line="225" w:lineRule="auto"/>
        <w:rPr>
          <w:sz w:val="20"/>
          <w:szCs w:val="20"/>
          <w:color w:val="auto"/>
        </w:rPr>
      </w:pPr>
      <w:r>
        <w:rPr>
          <w:rFonts w:ascii="Arial" w:cs="Arial" w:eastAsia="Arial" w:hAnsi="Arial"/>
          <w:sz w:val="20"/>
          <w:szCs w:val="20"/>
          <w:color w:val="auto"/>
        </w:rPr>
        <w:t>Carol Guaccero</w:t>
      </w:r>
    </w:p>
    <w:p>
      <w:pPr>
        <w:spacing w:after="0" w:line="225" w:lineRule="auto"/>
        <w:rPr>
          <w:sz w:val="20"/>
          <w:szCs w:val="20"/>
          <w:color w:val="auto"/>
        </w:rPr>
      </w:pPr>
      <w:r>
        <w:rPr>
          <w:rFonts w:ascii="Arial" w:cs="Arial" w:eastAsia="Arial" w:hAnsi="Arial"/>
          <w:sz w:val="20"/>
          <w:szCs w:val="20"/>
          <w:color w:val="auto"/>
        </w:rPr>
        <w:t>301-606-4722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contactus@ateapharma.com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167" w:name="page168"/>
    <w:bookmarkEnd w:id="167"/>
    <w:p>
      <w:pPr>
        <w:spacing w:after="0"/>
        <w:rPr>
          <w:sz w:val="20"/>
          <w:szCs w:val="20"/>
          <w:color w:val="auto"/>
        </w:rPr>
      </w:pPr>
      <w:r>
        <w:rPr>
          <w:rFonts w:ascii="Arial" w:cs="Arial" w:eastAsia="Arial" w:hAnsi="Arial"/>
          <w:sz w:val="25"/>
          <w:szCs w:val="25"/>
          <w:b w:val="1"/>
          <w:bCs w:val="1"/>
          <w:u w:val="single" w:color="auto"/>
          <w:color w:val="auto"/>
        </w:rPr>
        <w:t>Roche Form of Press Release</w:t>
      </w:r>
    </w:p>
    <w:p>
      <w:pPr>
        <w:spacing w:after="0" w:line="226" w:lineRule="exact"/>
        <w:rPr>
          <w:sz w:val="20"/>
          <w:szCs w:val="20"/>
          <w:color w:val="auto"/>
        </w:rPr>
      </w:pPr>
    </w:p>
    <w:p>
      <w:pPr>
        <w:ind w:right="960"/>
        <w:spacing w:after="0" w:line="288" w:lineRule="auto"/>
        <w:rPr>
          <w:sz w:val="20"/>
          <w:szCs w:val="20"/>
          <w:color w:val="auto"/>
        </w:rPr>
      </w:pPr>
      <w:r>
        <w:rPr>
          <w:rFonts w:ascii="Arial" w:cs="Arial" w:eastAsia="Arial" w:hAnsi="Arial"/>
          <w:sz w:val="25"/>
          <w:szCs w:val="25"/>
          <w:b w:val="1"/>
          <w:bCs w:val="1"/>
          <w:color w:val="auto"/>
        </w:rPr>
        <w:t>Roche announces collaboration with Atea Pharmaceuticals to develop a potential oral treatment for COVID-19 patients</w:t>
      </w:r>
    </w:p>
    <w:p>
      <w:pPr>
        <w:spacing w:after="0" w:line="343" w:lineRule="exact"/>
        <w:rPr>
          <w:sz w:val="20"/>
          <w:szCs w:val="20"/>
          <w:color w:val="auto"/>
        </w:rPr>
      </w:pPr>
    </w:p>
    <w:p>
      <w:pPr>
        <w:ind w:left="700" w:right="100" w:hanging="314"/>
        <w:spacing w:after="0" w:line="235" w:lineRule="auto"/>
        <w:tabs>
          <w:tab w:leader="none" w:pos="700" w:val="left"/>
        </w:tabs>
        <w:numPr>
          <w:ilvl w:val="0"/>
          <w:numId w:val="98"/>
        </w:numPr>
        <w:rPr>
          <w:rFonts w:ascii="Arial" w:cs="Arial" w:eastAsia="Arial" w:hAnsi="Arial"/>
          <w:sz w:val="20"/>
          <w:szCs w:val="20"/>
          <w:color w:val="auto"/>
        </w:rPr>
      </w:pPr>
      <w:r>
        <w:rPr>
          <w:rFonts w:ascii="Arial" w:cs="Arial" w:eastAsia="Arial" w:hAnsi="Arial"/>
          <w:sz w:val="20"/>
          <w:szCs w:val="20"/>
          <w:i w:val="1"/>
          <w:iCs w:val="1"/>
          <w:color w:val="auto"/>
        </w:rPr>
        <w:t>Roche and Atea partner to jointly develop AT-527, an orally administered direct-acting antiviral (DAA) currently in Phase 2 clinical trials</w:t>
      </w:r>
    </w:p>
    <w:p>
      <w:pPr>
        <w:spacing w:after="0" w:line="1" w:lineRule="exact"/>
        <w:rPr>
          <w:rFonts w:ascii="Arial" w:cs="Arial" w:eastAsia="Arial" w:hAnsi="Arial"/>
          <w:sz w:val="20"/>
          <w:szCs w:val="20"/>
          <w:color w:val="auto"/>
        </w:rPr>
      </w:pPr>
    </w:p>
    <w:p>
      <w:pPr>
        <w:ind w:left="700" w:right="120" w:hanging="314"/>
        <w:spacing w:after="0" w:line="225" w:lineRule="auto"/>
        <w:tabs>
          <w:tab w:leader="none" w:pos="700" w:val="left"/>
        </w:tabs>
        <w:numPr>
          <w:ilvl w:val="0"/>
          <w:numId w:val="98"/>
        </w:numPr>
        <w:rPr>
          <w:rFonts w:ascii="Arial" w:cs="Arial" w:eastAsia="Arial" w:hAnsi="Arial"/>
          <w:sz w:val="20"/>
          <w:szCs w:val="20"/>
          <w:color w:val="auto"/>
        </w:rPr>
      </w:pPr>
      <w:r>
        <w:rPr>
          <w:rFonts w:ascii="Arial" w:cs="Arial" w:eastAsia="Arial" w:hAnsi="Arial"/>
          <w:sz w:val="20"/>
          <w:szCs w:val="20"/>
          <w:i w:val="1"/>
          <w:iCs w:val="1"/>
          <w:color w:val="auto"/>
        </w:rPr>
        <w:t xml:space="preserve">AT-527 has the potential to be the first novel oral antiviral to treat COVID-19 patients outside the hospital setting as well as in the hospital and may also be used in </w:t>
      </w:r>
      <w:r>
        <w:rPr>
          <w:rFonts w:ascii="Arial" w:cs="Arial" w:eastAsia="Arial" w:hAnsi="Arial"/>
          <w:sz w:val="20"/>
          <w:szCs w:val="20"/>
          <w:color w:val="auto"/>
        </w:rPr>
        <w:t>post-exposure prophylactic settings</w:t>
      </w:r>
    </w:p>
    <w:p>
      <w:pPr>
        <w:ind w:left="700" w:hanging="314"/>
        <w:spacing w:after="0" w:line="237" w:lineRule="auto"/>
        <w:tabs>
          <w:tab w:leader="none" w:pos="700" w:val="left"/>
        </w:tabs>
        <w:numPr>
          <w:ilvl w:val="0"/>
          <w:numId w:val="98"/>
        </w:numPr>
        <w:rPr>
          <w:rFonts w:ascii="Arial" w:cs="Arial" w:eastAsia="Arial" w:hAnsi="Arial"/>
          <w:sz w:val="19"/>
          <w:szCs w:val="19"/>
          <w:color w:val="auto"/>
        </w:rPr>
      </w:pPr>
      <w:r>
        <w:rPr>
          <w:rFonts w:ascii="Arial" w:cs="Arial" w:eastAsia="Arial" w:hAnsi="Arial"/>
          <w:sz w:val="19"/>
          <w:szCs w:val="19"/>
          <w:i w:val="1"/>
          <w:iCs w:val="1"/>
          <w:color w:val="auto"/>
        </w:rPr>
        <w:t>Oral, small-molecule DAAs for COVID-19 patients allow for large-scale manufacturing and facilitate broad patient access</w:t>
      </w:r>
    </w:p>
    <w:p>
      <w:pPr>
        <w:ind w:left="700" w:right="140" w:hanging="314"/>
        <w:spacing w:after="0" w:line="236" w:lineRule="auto"/>
        <w:tabs>
          <w:tab w:leader="none" w:pos="700" w:val="left"/>
        </w:tabs>
        <w:numPr>
          <w:ilvl w:val="0"/>
          <w:numId w:val="98"/>
        </w:numPr>
        <w:rPr>
          <w:rFonts w:ascii="Arial" w:cs="Arial" w:eastAsia="Arial" w:hAnsi="Arial"/>
          <w:sz w:val="20"/>
          <w:szCs w:val="20"/>
          <w:color w:val="auto"/>
        </w:rPr>
      </w:pPr>
      <w:r>
        <w:rPr>
          <w:rFonts w:ascii="Arial" w:cs="Arial" w:eastAsia="Arial" w:hAnsi="Arial"/>
          <w:sz w:val="20"/>
          <w:szCs w:val="20"/>
          <w:i w:val="1"/>
          <w:iCs w:val="1"/>
          <w:color w:val="auto"/>
        </w:rPr>
        <w:t>If approved, Atea will distribute AT-527 in the United States and Roche will be responsible for global manufacturing and distribution outside the United States</w:t>
      </w:r>
    </w:p>
    <w:p>
      <w:pPr>
        <w:spacing w:after="0" w:line="200" w:lineRule="exact"/>
        <w:rPr>
          <w:sz w:val="20"/>
          <w:szCs w:val="20"/>
          <w:color w:val="auto"/>
        </w:rPr>
      </w:pPr>
    </w:p>
    <w:p>
      <w:pPr>
        <w:spacing w:after="0" w:line="212"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Basel, xx October 2020 - Roche (SIX: RO, ROG; OTCQX: RHHBY) and Atea Pharmaceuticals, Inc. announced today that they are joining forces in the fight against COVID-19 to develop, manufacture and distribute AT-527, Atea’s investigational oral direct-acting antiviral, to people around the globe. AT-527 acts by blocking the viral RNA polymerase enzyme needed for viral replication, and is currently being studied in a Phase 2 clinical trial for hospitalised patients with moderate COVID-19. A Phase 3 clinical trial, expected to start in Q1 2021, will explore the potential use in patients outside of the hospital setting. In addition, AT-527 may be developed for post-exposure prophylactic settings.</w:t>
      </w:r>
    </w:p>
    <w:p>
      <w:pPr>
        <w:spacing w:after="0" w:line="195" w:lineRule="exact"/>
        <w:rPr>
          <w:sz w:val="20"/>
          <w:szCs w:val="20"/>
          <w:color w:val="auto"/>
        </w:rPr>
      </w:pPr>
    </w:p>
    <w:p>
      <w:pPr>
        <w:ind w:right="220"/>
        <w:spacing w:after="0" w:line="230" w:lineRule="auto"/>
        <w:rPr>
          <w:sz w:val="20"/>
          <w:szCs w:val="20"/>
          <w:color w:val="auto"/>
        </w:rPr>
      </w:pPr>
      <w:r>
        <w:rPr>
          <w:rFonts w:ascii="Arial" w:cs="Arial" w:eastAsia="Arial" w:hAnsi="Arial"/>
          <w:sz w:val="20"/>
          <w:szCs w:val="20"/>
          <w:color w:val="auto"/>
        </w:rPr>
        <w:t>AT-527, while being a potential oral treatment option for hospitalised patients, also holds the potential to be the first oral treatment option for COVID-19 patients that are not hospitalised. Additionally, the manufacturing process of small-molecule DAAs allows the ability to produce large quantities of a much needed treatment. If successful, AT-527 could help treat patients early, reduce the progression of the infection, and contribute to decreasing the overall burden on health systems.</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auto"/>
        </w:rPr>
        <w:t>The collaboration aims to accelerate the clinical development and manufacturing of AT-527, to investigate its safety and efficacy, and to provide this potential treatment option to patients around the world as quickly as possible. If AT-527 proves safe and effective in clinical trials and regulatory approvals are granted, Atea will be responsible for distributing this treatment option in the U.S, with the option to request Genentech’s support, and Roche will be responsible for distribution outside the United States.</w:t>
      </w:r>
    </w:p>
    <w:p>
      <w:pPr>
        <w:spacing w:after="0" w:line="191"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"The ongoing complexities of COVID-19 require multiple lines of defence. By joining forces with Atea, we hope to offer an additional treatment option for hospitalised and non-hospitalised COVID-19 patients, and to ease the burden on hospitals during a global pandemic." said Bill Anderson, Chief Executive Officer of Roche Pharmaceuticals. "In jointly developing and manufacturing AT-527 at scale, we seek to make this treatment option available to as many people around the world as we possibly can."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68" w:name="page169"/>
    <w:bookmarkEnd w:id="168"/>
    <w:p>
      <w:pPr>
        <w:spacing w:after="0" w:line="229" w:lineRule="auto"/>
        <w:rPr>
          <w:sz w:val="20"/>
          <w:szCs w:val="20"/>
          <w:color w:val="auto"/>
        </w:rPr>
      </w:pPr>
      <w:r>
        <w:rPr>
          <w:rFonts w:ascii="Arial" w:cs="Arial" w:eastAsia="Arial" w:hAnsi="Arial"/>
          <w:sz w:val="20"/>
          <w:szCs w:val="20"/>
          <w:color w:val="auto"/>
        </w:rPr>
        <w:t>“Roche shares our passion for delivering innovative new medicines to address great unmet medical needs. The COVID-19 pandemic has highlighted the urgent need for a novel, oral antiviral to treat this highly infectious and often deadly virus,” said Jean-Pierre Sommadossi, Ph.D., Chief Executive Officer and Founder of Atea Pharmaceuticals. “AT-527 is expected to be ideally suited to combat COVID-19 as it inhibits viral replication by interfering with viral RNA polymerase, a key component in the replication machinery of RNA viruses. Importantly, the manufacturing process for our small molecule direct-acting antiviral allows us to produce AT-527 quickly and at scale.”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AT-527</w:t>
      </w:r>
    </w:p>
    <w:p>
      <w:pPr>
        <w:spacing w:after="0" w:line="226"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AT-527 is an investigational, oral, purine nucleotide prodrug, which has demonstrated in vitro and in vivo antiviral activity against several enveloped single-stranded RNA viruses, including human flaviviruses and coronaviruses. This highly selective purine nucleotide prodrug was designed to uniquely inhibit viral RNA dependent RNA polymerase, an enzyme that is essential for the replication of RNA viruses. Antiviral activity and safety of AT-527 has been demonstrated in Phase 2 clinical studies of hepatitis C patients, and in preclinical in-vitro assays with SARS-CoV2 virus. AT-527 is not yet licensed or approved for any indication in the United States or any other country.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Roche’s response to the COVID-19 pandemic</w:t>
      </w:r>
    </w:p>
    <w:p>
      <w:pPr>
        <w:spacing w:after="0" w:line="226"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As a leading healthcare company we are doing all we can to support countries in minimising the impact of COVID-19. We have developed a growing number of diagnostic solutions that help to detect and diagnose the infection in patients, as well as providing digital support to healthcare systems, and we continue to identify, develop and support potential therapies which can play a role in treating the disease.</w:t>
      </w:r>
    </w:p>
    <w:p>
      <w:pPr>
        <w:spacing w:after="0" w:line="198"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We understand the impact of COVID-19 goes beyond those who contract it, which is why we are working with healthcare providers, laboratories, authorities and organisations to help make sure that patients continue to receive the tests, treatment and care they need during these challenging times. As we learn from the pandemic, we are partnering with governments and others to make healthcare stronger and more sustainable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diagnostics solutions:</w:t>
      </w:r>
    </w:p>
    <w:p>
      <w:pPr>
        <w:spacing w:after="0" w:line="231" w:lineRule="auto"/>
        <w:rPr>
          <w:sz w:val="20"/>
          <w:szCs w:val="20"/>
          <w:color w:val="auto"/>
        </w:rPr>
      </w:pPr>
      <w:r>
        <w:rPr>
          <w:rFonts w:ascii="Arial" w:cs="Arial" w:eastAsia="Arial" w:hAnsi="Arial"/>
          <w:sz w:val="20"/>
          <w:szCs w:val="20"/>
          <w:color w:val="auto"/>
        </w:rPr>
        <w:t>Reliable, high-quality testing is essential to help healthcare systems overcome this pandemic. Our portfolio includes:</w:t>
      </w:r>
    </w:p>
    <w:p>
      <w:pPr>
        <w:spacing w:after="0" w:line="1" w:lineRule="exact"/>
        <w:rPr>
          <w:sz w:val="20"/>
          <w:szCs w:val="20"/>
          <w:color w:val="auto"/>
        </w:rPr>
      </w:pPr>
    </w:p>
    <w:p>
      <w:pPr>
        <w:ind w:left="620" w:right="1140" w:hanging="302"/>
        <w:spacing w:after="0" w:line="225" w:lineRule="auto"/>
        <w:tabs>
          <w:tab w:leader="none" w:pos="6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 high-volume molecular test to detect SARS-CoV-2, the virus that causes COVID-19, (FDA Emergency Use Authorisation (EUA) and available in countries accepting the CE Mark)</w:t>
      </w:r>
    </w:p>
    <w:p>
      <w:pPr>
        <w:ind w:left="620" w:right="240" w:hanging="302"/>
        <w:spacing w:after="0" w:line="225" w:lineRule="auto"/>
        <w:tabs>
          <w:tab w:leader="none" w:pos="6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 SARS-CoV-2 laboratory-based antibody test, aimed at detecting the presence of antibodies in the blood targeting the nucleocapsid (FDA EUA and CE Mark)</w:t>
      </w:r>
    </w:p>
    <w:p>
      <w:pPr>
        <w:ind w:left="620" w:right="300" w:hanging="302"/>
        <w:spacing w:after="0" w:line="225" w:lineRule="auto"/>
        <w:tabs>
          <w:tab w:leader="none" w:pos="6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 IL-6 test to assist in identifying severe inflammatory response in patients with confirmed COVID-19 (FDA EUA and CE Mark)</w:t>
      </w:r>
    </w:p>
    <w:p>
      <w:pPr>
        <w:ind w:left="620" w:right="100" w:hanging="302"/>
        <w:spacing w:after="0" w:line="236" w:lineRule="auto"/>
        <w:tabs>
          <w:tab w:leader="none" w:pos="6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Roche v-TAC, which could help simplify the screening, diagnosis and monitoring of patients with respiratory compromise in the current COVID-19 pandemic</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7" w:lineRule="exact"/>
        <w:rPr>
          <w:rFonts w:ascii="Arial" w:cs="Arial" w:eastAsia="Arial" w:hAnsi="Arial"/>
          <w:sz w:val="20"/>
          <w:szCs w:val="20"/>
          <w:color w:val="auto"/>
        </w:rPr>
      </w:pPr>
    </w:p>
    <w:p>
      <w:pPr>
        <w:ind w:left="5520" w:hanging="127"/>
        <w:spacing w:after="0"/>
        <w:tabs>
          <w:tab w:leader="none" w:pos="5520" w:val="left"/>
        </w:tabs>
        <w:numPr>
          <w:ilvl w:val="1"/>
          <w:numId w:val="99"/>
        </w:numPr>
        <w:rPr>
          <w:rFonts w:ascii="Arial" w:cs="Arial" w:eastAsia="Arial" w:hAnsi="Arial"/>
          <w:sz w:val="20"/>
          <w:szCs w:val="20"/>
          <w:color w:val="auto"/>
        </w:rPr>
      </w:pPr>
      <w:r>
        <w:rPr>
          <w:rFonts w:ascii="Arial" w:cs="Arial" w:eastAsia="Arial" w:hAnsi="Arial"/>
          <w:sz w:val="20"/>
          <w:szCs w:val="20"/>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69" w:name="page170"/>
    <w:bookmarkEnd w:id="169"/>
    <w:p>
      <w:pPr>
        <w:ind w:left="620" w:hanging="302"/>
        <w:spacing w:after="0" w:line="225" w:lineRule="auto"/>
        <w:tabs>
          <w:tab w:leader="none" w:pos="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 SARS-CoV-2 rapid antibody test to help determine at the point of care whether a person has been exposed to the virus (CE Mark)</w:t>
      </w:r>
    </w:p>
    <w:p>
      <w:pPr>
        <w:ind w:left="620" w:hanging="302"/>
        <w:spacing w:after="0" w:line="225" w:lineRule="auto"/>
        <w:tabs>
          <w:tab w:leader="none" w:pos="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 rapid antigen test to support in the detection of SARS-CoV-2 at the point of care within 15 minutes (CE Mark)</w:t>
      </w:r>
    </w:p>
    <w:p>
      <w:pPr>
        <w:ind w:left="620" w:right="100" w:hanging="302"/>
        <w:spacing w:after="0" w:line="225" w:lineRule="auto"/>
        <w:tabs>
          <w:tab w:leader="none" w:pos="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 high-volume molecular test to simultaneously detect and differentiate between SARS-CoV-2 and influenza A/B, as the symptoms are similar for both (FDA EUA and CE Mark)</w:t>
      </w:r>
    </w:p>
    <w:p>
      <w:pPr>
        <w:ind w:left="620" w:right="460" w:hanging="302"/>
        <w:spacing w:after="0" w:line="225" w:lineRule="auto"/>
        <w:tabs>
          <w:tab w:leader="none" w:pos="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 second SARS-CoV-2 antibody test, aimed at measuring the spike protein to support vaccination development and complement our existing portfolio</w:t>
      </w:r>
    </w:p>
    <w:p>
      <w:pPr>
        <w:ind w:left="620" w:right="260" w:hanging="302"/>
        <w:spacing w:after="0" w:line="236" w:lineRule="auto"/>
        <w:tabs>
          <w:tab w:leader="none" w:pos="6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 point-of-care molecular PCR test that simultaneously detects and differentiates between SARS-CoV-2 and influenza A/B infections to support urgent triage and diagnosis (FDA EUA and CE Mark)</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research into therapies:</w:t>
      </w:r>
    </w:p>
    <w:p>
      <w:pPr>
        <w:spacing w:after="0" w:line="222" w:lineRule="exact"/>
        <w:rPr>
          <w:sz w:val="20"/>
          <w:szCs w:val="20"/>
          <w:color w:val="auto"/>
        </w:rPr>
      </w:pPr>
    </w:p>
    <w:p>
      <w:pPr>
        <w:ind w:right="440"/>
        <w:spacing w:after="0" w:line="236" w:lineRule="auto"/>
        <w:rPr>
          <w:sz w:val="20"/>
          <w:szCs w:val="20"/>
          <w:color w:val="auto"/>
        </w:rPr>
      </w:pPr>
      <w:r>
        <w:rPr>
          <w:rFonts w:ascii="Arial" w:cs="Arial" w:eastAsia="Arial" w:hAnsi="Arial"/>
          <w:sz w:val="20"/>
          <w:szCs w:val="20"/>
          <w:color w:val="auto"/>
        </w:rPr>
        <w:t>Roche is committed to improving the treatment of COVID-19. We are actively involved in understanding the potential of our existing portfolio and are exploring the potential of our investigational molecules.</w:t>
      </w:r>
    </w:p>
    <w:p>
      <w:pPr>
        <w:spacing w:after="0" w:line="196" w:lineRule="exact"/>
        <w:rPr>
          <w:sz w:val="20"/>
          <w:szCs w:val="20"/>
          <w:color w:val="auto"/>
        </w:rPr>
      </w:pPr>
    </w:p>
    <w:p>
      <w:pPr>
        <w:ind w:right="280"/>
        <w:spacing w:after="0" w:line="232" w:lineRule="auto"/>
        <w:rPr>
          <w:sz w:val="20"/>
          <w:szCs w:val="20"/>
          <w:color w:val="auto"/>
        </w:rPr>
      </w:pPr>
      <w:r>
        <w:rPr>
          <w:rFonts w:ascii="Arial" w:cs="Arial" w:eastAsia="Arial" w:hAnsi="Arial"/>
          <w:sz w:val="20"/>
          <w:szCs w:val="20"/>
          <w:color w:val="auto"/>
        </w:rPr>
        <w:t>In August, we announced a partnership with Regeneron to develop, manufacture, and increase global supply of their investigational antibody combination for COVID-19 if it proves safe and effective in clinical trials and regulatory approvals are granted.</w:t>
      </w:r>
    </w:p>
    <w:p>
      <w:pPr>
        <w:spacing w:after="0" w:line="197" w:lineRule="exact"/>
        <w:rPr>
          <w:sz w:val="20"/>
          <w:szCs w:val="20"/>
          <w:color w:val="auto"/>
        </w:rPr>
      </w:pPr>
    </w:p>
    <w:p>
      <w:pPr>
        <w:ind w:right="220"/>
        <w:spacing w:after="0" w:line="229" w:lineRule="auto"/>
        <w:rPr>
          <w:sz w:val="20"/>
          <w:szCs w:val="20"/>
          <w:color w:val="auto"/>
        </w:rPr>
      </w:pPr>
      <w:r>
        <w:rPr>
          <w:rFonts w:ascii="Arial" w:cs="Arial" w:eastAsia="Arial" w:hAnsi="Arial"/>
          <w:sz w:val="20"/>
          <w:szCs w:val="20"/>
          <w:color w:val="auto"/>
        </w:rPr>
        <w:t xml:space="preserve">At the beginning of the pandemic, on 19 March, we announced the initiation of COVACTA - a global Phase III randomised, double-blind, placebo-controlled clinical trial to evaluate the safety and efficacy of intravenous Actemra©/RoActemra© (tocilizumab) plus standard of care in hospitalised adult patients with severe COVID-19 pneumonia compared to placebo plus standard of care. On 29 July we announced that </w:t>
      </w:r>
      <w:r>
        <w:rPr>
          <w:rFonts w:ascii="Arial" w:cs="Arial" w:eastAsia="Arial" w:hAnsi="Arial"/>
          <w:sz w:val="20"/>
          <w:szCs w:val="20"/>
          <w:color w:val="333333"/>
        </w:rPr>
        <w:t>COVACTA did not meet its primary endpoint of improved clinical status in</w:t>
      </w:r>
      <w:r>
        <w:rPr>
          <w:rFonts w:ascii="Arial" w:cs="Arial" w:eastAsia="Arial" w:hAnsi="Arial"/>
          <w:sz w:val="20"/>
          <w:szCs w:val="20"/>
          <w:color w:val="auto"/>
        </w:rPr>
        <w:t xml:space="preserve"> </w:t>
      </w:r>
      <w:r>
        <w:rPr>
          <w:rFonts w:ascii="Arial" w:cs="Arial" w:eastAsia="Arial" w:hAnsi="Arial"/>
          <w:sz w:val="20"/>
          <w:szCs w:val="20"/>
          <w:color w:val="333333"/>
        </w:rPr>
        <w:t>patients with COVID-19 associated pneumonia or the key secondary endpoint of reduced mortality.</w:t>
      </w:r>
    </w:p>
    <w:p>
      <w:pPr>
        <w:spacing w:after="0" w:line="19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Separately, we have studied Actemra©/RoActemra© in the EMPACTA study in COVID-19 associated hospitalised pneumonia in patients that are often underrepresented in clinical trials. On 18 September we announced that t</w:t>
      </w:r>
      <w:r>
        <w:rPr>
          <w:rFonts w:ascii="Arial" w:cs="Arial" w:eastAsia="Arial" w:hAnsi="Arial"/>
          <w:sz w:val="20"/>
          <w:szCs w:val="20"/>
          <w:color w:val="222222"/>
        </w:rPr>
        <w:t>he p</w:t>
      </w:r>
      <w:r>
        <w:rPr>
          <w:rFonts w:ascii="Arial" w:cs="Arial" w:eastAsia="Arial" w:hAnsi="Arial"/>
          <w:sz w:val="20"/>
          <w:szCs w:val="20"/>
          <w:color w:val="333333"/>
        </w:rPr>
        <w:t>hase III</w:t>
      </w:r>
      <w:r>
        <w:rPr>
          <w:rFonts w:ascii="Arial" w:cs="Arial" w:eastAsia="Arial" w:hAnsi="Arial"/>
          <w:sz w:val="20"/>
          <w:szCs w:val="20"/>
          <w:color w:val="auto"/>
        </w:rPr>
        <w:t xml:space="preserve"> </w:t>
      </w:r>
      <w:r>
        <w:rPr>
          <w:rFonts w:ascii="Arial" w:cs="Arial" w:eastAsia="Arial" w:hAnsi="Arial"/>
          <w:sz w:val="20"/>
          <w:szCs w:val="20"/>
          <w:color w:val="222222"/>
        </w:rPr>
        <w:t>EMPACTA</w:t>
      </w:r>
      <w:r>
        <w:rPr>
          <w:rFonts w:ascii="Arial" w:cs="Arial" w:eastAsia="Arial" w:hAnsi="Arial"/>
          <w:sz w:val="20"/>
          <w:szCs w:val="20"/>
          <w:color w:val="auto"/>
        </w:rPr>
        <w:t xml:space="preserve"> </w:t>
      </w:r>
      <w:r>
        <w:rPr>
          <w:rFonts w:ascii="Arial" w:cs="Arial" w:eastAsia="Arial" w:hAnsi="Arial"/>
          <w:sz w:val="20"/>
          <w:szCs w:val="20"/>
          <w:color w:val="333333"/>
        </w:rPr>
        <w:t>study</w:t>
      </w:r>
      <w:r>
        <w:rPr>
          <w:rFonts w:ascii="Arial" w:cs="Arial" w:eastAsia="Arial" w:hAnsi="Arial"/>
          <w:sz w:val="20"/>
          <w:szCs w:val="20"/>
          <w:color w:val="auto"/>
        </w:rPr>
        <w:t xml:space="preserve"> </w:t>
      </w:r>
      <w:r>
        <w:rPr>
          <w:rFonts w:ascii="Arial" w:cs="Arial" w:eastAsia="Arial" w:hAnsi="Arial"/>
          <w:sz w:val="20"/>
          <w:szCs w:val="20"/>
          <w:color w:val="333333"/>
        </w:rPr>
        <w:t>showed Actemra/RoActemra plus standard of care reduced the likelihood of progression to mechanical ventilation or death in hospitalised patients with COVID-19 associated pneumonia compared to placebo plus standard of care. However, there was no statistical difference in mortality between patients who received Actemra/RoActemra or placebo</w:t>
      </w:r>
    </w:p>
    <w:p>
      <w:pPr>
        <w:spacing w:after="0" w:line="19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Actemra©/RoActemra© is also being studied in combination with the investigational antiviral remdesivir in hospitalised patients with severe COVID-19 pneumonia in the REMDACTA trial in partnership with Gilead, announced 28 May. Actemra©/RoActemra© is not approved by any health authority for use in COVID-19 pneumonia. Roche has further initiated an internal early research programme focused on the development of medicines for COVID-19 and is engaged in multiple research collaborations.</w:t>
      </w:r>
    </w:p>
    <w:p>
      <w:pPr>
        <w:spacing w:after="0" w:line="200" w:lineRule="exact"/>
        <w:rPr>
          <w:sz w:val="20"/>
          <w:szCs w:val="20"/>
          <w:color w:val="auto"/>
        </w:rPr>
      </w:pPr>
    </w:p>
    <w:p>
      <w:pPr>
        <w:spacing w:after="0" w:line="215"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color w:val="auto"/>
        </w:rPr>
        <w:t>In these exceptional times, Roche stands together with governments, healthcare providers and all those working to overcome the pandemic.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52" w:right="39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b w:val="1"/>
          <w:bCs w:val="1"/>
          <w:color w:val="auto"/>
        </w:rPr>
        <w:t>About Roche</w:t>
      </w:r>
    </w:p>
    <w:p>
      <w:pPr>
        <w:spacing w:after="0" w:line="226"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Roche is a global pioneer in pharmaceuticals and diagnostics focused on advancing science to improve people’s lives. The combined strengths of pharmaceuticals and diagnostics under one roof have made Roche the leader in personalised healthcare – a strategy that aims to fit the right treatment to each patient in the best way possible.</w:t>
      </w:r>
    </w:p>
    <w:p>
      <w:pPr>
        <w:spacing w:after="0" w:line="197" w:lineRule="exact"/>
        <w:rPr>
          <w:sz w:val="20"/>
          <w:szCs w:val="20"/>
          <w:color w:val="auto"/>
        </w:rPr>
      </w:pPr>
    </w:p>
    <w:p>
      <w:pPr>
        <w:ind w:right="180"/>
        <w:spacing w:after="0" w:line="232" w:lineRule="auto"/>
        <w:rPr>
          <w:sz w:val="20"/>
          <w:szCs w:val="20"/>
          <w:color w:val="auto"/>
        </w:rPr>
      </w:pPr>
      <w:r>
        <w:rPr>
          <w:rFonts w:ascii="Arial" w:cs="Arial" w:eastAsia="Arial" w:hAnsi="Arial"/>
          <w:sz w:val="20"/>
          <w:szCs w:val="20"/>
          <w:color w:val="auto"/>
        </w:rPr>
        <w:t>Roche is the world’s largest biotech company, with truly differentiated medicines in oncology, immunology, infectious diseases, ophthalmology and diseases of the central nervous system. Roche is also the world leader in in vitro diagnostics and tissue-based cancer diagnostics, and a frontrunner in diabetes management.</w:t>
      </w:r>
    </w:p>
    <w:p>
      <w:pPr>
        <w:spacing w:after="0" w:line="19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Founded in 1896, Roche continues to search for better ways to prevent, diagnose and treat diseases and make a sustainable contribution to society. The company also aims to improve patient access to medical innovations by working with all relevant stakeholders. More than thirty medicines developed by Roche are included in the World Health Organization Model Lists of Essential Medicines, among them life-saving antibiotics, antimalarials and cancer medicines. Moreover, for the eleventh consecutive year, Roche has been recognised as one of the most sustainable companies in the Pharmaceuticals Industry by the Dow Jones Sustainability Indices (DJSI).</w:t>
      </w:r>
    </w:p>
    <w:p>
      <w:pPr>
        <w:spacing w:after="0" w:line="195" w:lineRule="exact"/>
        <w:rPr>
          <w:sz w:val="20"/>
          <w:szCs w:val="20"/>
          <w:color w:val="auto"/>
        </w:rPr>
      </w:pPr>
    </w:p>
    <w:p>
      <w:pPr>
        <w:jc w:val="both"/>
        <w:ind w:right="380"/>
        <w:spacing w:after="0" w:line="230" w:lineRule="auto"/>
        <w:rPr>
          <w:sz w:val="20"/>
          <w:szCs w:val="20"/>
          <w:color w:val="auto"/>
        </w:rPr>
      </w:pPr>
      <w:r>
        <w:rPr>
          <w:rFonts w:ascii="Arial" w:cs="Arial" w:eastAsia="Arial" w:hAnsi="Arial"/>
          <w:sz w:val="20"/>
          <w:szCs w:val="20"/>
          <w:color w:val="auto"/>
        </w:rPr>
        <w:t>The Roche Group, headquartered in Basel, Switzerland, is active in over 100 countries and in 2019 employed about 98,000 people worldwide. In 2019, Roche invested CHF 11.7 billion in R&amp;D and posted sales of CHF 61.5 billion. Genentech, in the United States, is a wholly owned member of the Roche Group. Roche is the majority shareholder in Chugai Pharmaceutical, Japan. For more information, please visit www.roche.com.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All trademarks used or mentioned in this release are protected by law.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Roche Group Media Relations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Phone: +41 61 688 8888 / e-mail: </w:t>
      </w:r>
      <w:r>
        <w:rPr>
          <w:rFonts w:ascii="Arial" w:cs="Arial" w:eastAsia="Arial" w:hAnsi="Arial"/>
          <w:sz w:val="20"/>
          <w:szCs w:val="20"/>
          <w:color w:val="1155CC"/>
        </w:rPr>
        <w:t>media.relations@roche.com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color w:val="auto"/>
        </w:rPr>
        <w:t>Dr. Nicolas Dunant</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Phone: +41 61 687 05 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Patrick Barth</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Phone: +41 61 688 44 86</w:t>
      </w:r>
    </w:p>
    <w:p>
      <w:pPr>
        <w:spacing w:after="0" w:line="200" w:lineRule="exact"/>
        <w:rPr>
          <w:sz w:val="20"/>
          <w:szCs w:val="20"/>
          <w:color w:val="auto"/>
        </w:rPr>
      </w:pPr>
    </w:p>
    <w:p>
      <w:pPr>
        <w:sectPr>
          <w:pgSz w:w="11900" w:h="16838" w:orient="portrait"/>
          <w:cols w:equalWidth="0" w:num="2">
            <w:col w:w="4240" w:space="720"/>
            <w:col w:w="5079"/>
          </w:cols>
          <w:pgMar w:left="420" w:top="8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Daniel Grotzky</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Phone: +41 61 688 31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Karsten Kleine</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Phone: +41 61 682 28 31</w:t>
      </w:r>
    </w:p>
    <w:p>
      <w:pPr>
        <w:spacing w:after="0" w:line="200" w:lineRule="exact"/>
        <w:rPr>
          <w:sz w:val="20"/>
          <w:szCs w:val="20"/>
          <w:color w:val="auto"/>
        </w:rPr>
      </w:pPr>
    </w:p>
    <w:p>
      <w:pPr>
        <w:sectPr>
          <w:pgSz w:w="11900" w:h="16838" w:orient="portrait"/>
          <w:cols w:equalWidth="0" w:num="2">
            <w:col w:w="4240" w:space="720"/>
            <w:col w:w="5079"/>
          </w:cols>
          <w:pgMar w:left="420" w:top="8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Nina Mählitz</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Phone: +41 79 327 54 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Nathalie Meetz</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Phone: +41 61 687 43 05</w:t>
      </w:r>
    </w:p>
    <w:p>
      <w:pPr>
        <w:spacing w:after="0" w:line="200" w:lineRule="exact"/>
        <w:rPr>
          <w:sz w:val="20"/>
          <w:szCs w:val="20"/>
          <w:color w:val="auto"/>
        </w:rPr>
      </w:pPr>
    </w:p>
    <w:p>
      <w:pPr>
        <w:sectPr>
          <w:pgSz w:w="11900" w:h="16838" w:orient="portrait"/>
          <w:cols w:equalWidth="0" w:num="2">
            <w:col w:w="4240" w:space="720"/>
            <w:col w:w="5079"/>
          </w:cols>
          <w:pgMar w:left="420" w:top="8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Barbara von Schnurbein</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Phone: +41 61 687 89 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 Investor Relations</w:t>
      </w:r>
    </w:p>
    <w:p>
      <w:pPr>
        <w:sectPr>
          <w:pgSz w:w="11900" w:h="16838" w:orient="portrait"/>
          <w:cols w:equalWidth="0" w:num="1">
            <w:col w:w="10039"/>
          </w:cols>
          <w:pgMar w:left="420" w:top="8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Dr. Karl Mahler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Phone: +41 61 68-78503</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e-mail: karl.mahler@roche.com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Jon Kaspar Bayard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Phone: +41 61 68-83894</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e-mail: jon_kaspar.bayard@roche.com</w:t>
      </w:r>
    </w:p>
    <w:p>
      <w:pPr>
        <w:spacing w:after="0" w:line="200" w:lineRule="exact"/>
        <w:rPr>
          <w:sz w:val="20"/>
          <w:szCs w:val="20"/>
          <w:color w:val="auto"/>
        </w:rPr>
      </w:pPr>
    </w:p>
    <w:p>
      <w:pPr>
        <w:sectPr>
          <w:pgSz w:w="11900" w:h="16838" w:orient="portrait"/>
          <w:cols w:equalWidth="0" w:num="2">
            <w:col w:w="4320" w:space="720"/>
            <w:col w:w="4999"/>
          </w:cols>
          <w:pgMar w:left="420" w:top="8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Arial" w:cs="Arial" w:eastAsia="Arial" w:hAnsi="Arial"/>
          <w:sz w:val="19"/>
          <w:szCs w:val="19"/>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56515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39"/>
          </w:cols>
          <w:pgMar w:left="420" w:top="865" w:right="1440" w:bottom="1440" w:gutter="0" w:footer="0" w:header="0"/>
          <w:type w:val="continuous"/>
        </w:sectPr>
      </w:pPr>
    </w:p>
    <w:bookmarkStart w:id="172" w:name="page173"/>
    <w:bookmarkEnd w:id="172"/>
    <w:p>
      <w:pPr>
        <w:ind w:right="840"/>
        <w:spacing w:after="0" w:line="454" w:lineRule="auto"/>
        <w:rPr>
          <w:sz w:val="20"/>
          <w:szCs w:val="20"/>
          <w:color w:val="auto"/>
        </w:rPr>
      </w:pPr>
      <w:r>
        <w:rPr>
          <w:rFonts w:ascii="Arial" w:cs="Arial" w:eastAsia="Arial" w:hAnsi="Arial"/>
          <w:sz w:val="20"/>
          <w:szCs w:val="20"/>
          <w:color w:val="auto"/>
        </w:rPr>
        <w:t>Dr. Sabine Borngräber Phone: +41 61 68-88027 e-mail: sabine.borngraeber@roche.com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Dr. Bruno Eschli</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Phone: +41 61 68-75284</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e-mail: bruno.eschli@roche.com</w:t>
      </w:r>
    </w:p>
    <w:p>
      <w:pPr>
        <w:spacing w:after="0" w:line="422" w:lineRule="exact"/>
        <w:rPr>
          <w:sz w:val="20"/>
          <w:szCs w:val="20"/>
          <w:color w:val="auto"/>
        </w:rPr>
      </w:pPr>
    </w:p>
    <w:p>
      <w:pPr>
        <w:sectPr>
          <w:pgSz w:w="11900" w:h="16838" w:orient="portrait"/>
          <w:cols w:equalWidth="0" w:num="2">
            <w:col w:w="4320" w:space="720"/>
            <w:col w:w="4999"/>
          </w:cols>
          <w:pgMar w:left="420" w:top="6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380"/>
        <w:spacing w:after="0" w:line="454" w:lineRule="auto"/>
        <w:rPr>
          <w:sz w:val="20"/>
          <w:szCs w:val="20"/>
          <w:color w:val="auto"/>
        </w:rPr>
      </w:pPr>
      <w:r>
        <w:rPr>
          <w:rFonts w:ascii="Arial" w:cs="Arial" w:eastAsia="Arial" w:hAnsi="Arial"/>
          <w:sz w:val="20"/>
          <w:szCs w:val="20"/>
          <w:color w:val="auto"/>
        </w:rPr>
        <w:t>Dr. Birgit Masjost Phone: +41 61 68-84814 e-mail: birgit.masjost@roche.com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color w:val="auto"/>
        </w:rPr>
        <w:t>Dr. Gerard Tobin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Phone: +41 61 68-72942</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e-mail: gerard.tobin@roche.com</w:t>
      </w:r>
    </w:p>
    <w:p>
      <w:pPr>
        <w:spacing w:after="0" w:line="422" w:lineRule="exact"/>
        <w:rPr>
          <w:sz w:val="20"/>
          <w:szCs w:val="20"/>
          <w:color w:val="auto"/>
        </w:rPr>
      </w:pPr>
    </w:p>
    <w:p>
      <w:pPr>
        <w:sectPr>
          <w:pgSz w:w="11900" w:h="16838" w:orient="portrait"/>
          <w:cols w:equalWidth="0" w:num="2">
            <w:col w:w="4320" w:space="720"/>
            <w:col w:w="4999"/>
          </w:cols>
          <w:pgMar w:left="420" w:top="6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 Relations North America</w:t>
      </w:r>
    </w:p>
    <w:p>
      <w:pPr>
        <w:sectPr>
          <w:pgSz w:w="11900" w:h="16838" w:orient="portrait"/>
          <w:cols w:equalWidth="0" w:num="1">
            <w:col w:w="10039"/>
          </w:cols>
          <w:pgMar w:left="420" w:top="6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Loren Kalm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Phone: +1 650 225 3217</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e-mail: kalm.loren@gene.com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Dr. Lisa Tuomi</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Phone: +1 650 467 8737</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e-mail: tuomi.lisa@gene.com</w:t>
      </w:r>
    </w:p>
    <w:p>
      <w:pPr>
        <w:spacing w:after="0" w:line="200" w:lineRule="exact"/>
        <w:rPr>
          <w:sz w:val="20"/>
          <w:szCs w:val="20"/>
          <w:color w:val="auto"/>
        </w:rPr>
      </w:pPr>
    </w:p>
    <w:p>
      <w:pPr>
        <w:sectPr>
          <w:pgSz w:w="11900" w:h="16838" w:orient="portrait"/>
          <w:cols w:equalWidth="0" w:num="2">
            <w:col w:w="4320" w:space="720"/>
            <w:col w:w="4999"/>
          </w:cols>
          <w:pgMar w:left="420" w:top="6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9"/>
          <w:szCs w:val="19"/>
          <w:color w:val="auto"/>
        </w:rPr>
        <w:t>- 81 -</w:t>
      </w:r>
    </w:p>
    <w:p>
      <w:pPr>
        <w:sectPr>
          <w:pgSz w:w="11900" w:h="16838" w:orient="portrait"/>
          <w:cols w:equalWidth="0" w:num="1">
            <w:col w:w="10039"/>
          </w:cols>
          <w:pgMar w:left="420" w:top="649" w:right="1440"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Jean-Pierre Sommadossi, Ph.D., certify that:</w:t>
      </w:r>
    </w:p>
    <w:p>
      <w:pPr>
        <w:spacing w:after="0" w:line="212" w:lineRule="exact"/>
        <w:rPr>
          <w:sz w:val="20"/>
          <w:szCs w:val="20"/>
          <w:color w:val="auto"/>
        </w:rPr>
      </w:pPr>
    </w:p>
    <w:p>
      <w:pPr>
        <w:ind w:left="540" w:hanging="532"/>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Atea Pharmaceuticals, Inc.;</w:t>
      </w:r>
    </w:p>
    <w:p>
      <w:pPr>
        <w:spacing w:after="0" w:line="211" w:lineRule="exact"/>
        <w:rPr>
          <w:rFonts w:ascii="Arial" w:cs="Arial" w:eastAsia="Arial" w:hAnsi="Arial"/>
          <w:sz w:val="18"/>
          <w:szCs w:val="18"/>
          <w:color w:val="auto"/>
        </w:rPr>
      </w:pPr>
    </w:p>
    <w:p>
      <w:pPr>
        <w:ind w:left="540" w:right="60" w:hanging="532"/>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40" w:right="240" w:hanging="532"/>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40" w:right="240" w:hanging="532"/>
        <w:spacing w:after="0" w:line="246"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80" w:right="22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left="108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[Omitted];</w:t>
      </w:r>
    </w:p>
    <w:p>
      <w:pPr>
        <w:spacing w:after="0" w:line="211" w:lineRule="exact"/>
        <w:rPr>
          <w:rFonts w:ascii="Arial" w:cs="Arial" w:eastAsia="Arial" w:hAnsi="Arial"/>
          <w:sz w:val="18"/>
          <w:szCs w:val="18"/>
          <w:color w:val="auto"/>
        </w:rPr>
      </w:pPr>
    </w:p>
    <w:p>
      <w:pPr>
        <w:jc w:val="both"/>
        <w:ind w:left="1080" w:right="14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28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40" w:right="440" w:hanging="532"/>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140" w:hanging="532"/>
        <w:spacing w:after="0"/>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80" w:right="60" w:hanging="532"/>
        <w:spacing w:after="0" w:line="246" w:lineRule="auto"/>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spacing w:after="0"/>
        <w:tabs>
          <w:tab w:leader="none" w:pos="5600" w:val="left"/>
          <w:tab w:leader="none" w:pos="716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Jean-Pierre Sommadossi,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-1905</wp:posOffset>
            </wp:positionV>
            <wp:extent cx="33515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b w:val="1"/>
          <w:bCs w:val="1"/>
          <w:color w:val="auto"/>
        </w:rPr>
        <w:t>Jean-Pierre Sommadossi, Ph.D.</w:t>
      </w:r>
    </w:p>
    <w:p>
      <w:pPr>
        <w:spacing w:after="0" w:line="1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President and Chief Executive Officer</w:t>
      </w:r>
    </w:p>
    <w:p>
      <w:pPr>
        <w:ind w:left="74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46"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Andrea Corcoran, certify that:</w:t>
      </w:r>
    </w:p>
    <w:p>
      <w:pPr>
        <w:spacing w:after="0" w:line="212" w:lineRule="exact"/>
        <w:rPr>
          <w:sz w:val="20"/>
          <w:szCs w:val="20"/>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Atea Pharmaceuticals, Inc.;</w:t>
      </w:r>
    </w:p>
    <w:p>
      <w:pPr>
        <w:spacing w:after="0" w:line="211" w:lineRule="exact"/>
        <w:rPr>
          <w:rFonts w:ascii="Arial" w:cs="Arial" w:eastAsia="Arial" w:hAnsi="Arial"/>
          <w:sz w:val="18"/>
          <w:szCs w:val="18"/>
          <w:color w:val="auto"/>
        </w:rPr>
      </w:pPr>
    </w:p>
    <w:p>
      <w:pPr>
        <w:ind w:left="540" w:right="6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40" w:right="2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40" w:right="240" w:hanging="532"/>
        <w:spacing w:after="0" w:line="246"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80" w:right="220" w:hanging="532"/>
        <w:spacing w:after="0"/>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left="1080" w:hanging="532"/>
        <w:spacing w:after="0"/>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[Omitted];</w:t>
      </w:r>
    </w:p>
    <w:p>
      <w:pPr>
        <w:spacing w:after="0" w:line="211" w:lineRule="exact"/>
        <w:rPr>
          <w:rFonts w:ascii="Arial" w:cs="Arial" w:eastAsia="Arial" w:hAnsi="Arial"/>
          <w:sz w:val="18"/>
          <w:szCs w:val="18"/>
          <w:color w:val="auto"/>
        </w:rPr>
      </w:pPr>
    </w:p>
    <w:p>
      <w:pPr>
        <w:jc w:val="both"/>
        <w:ind w:left="1080" w:right="140" w:hanging="532"/>
        <w:spacing w:after="0"/>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280" w:hanging="532"/>
        <w:spacing w:after="0"/>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40" w:right="4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140" w:hanging="532"/>
        <w:spacing w:after="0"/>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80" w:right="60" w:hanging="532"/>
        <w:spacing w:after="0" w:line="246" w:lineRule="auto"/>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spacing w:after="0"/>
        <w:tabs>
          <w:tab w:leader="none" w:pos="5600" w:val="left"/>
          <w:tab w:leader="none" w:pos="778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-1905</wp:posOffset>
            </wp:positionV>
            <wp:extent cx="33515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7860"/>
        <w:spacing w:after="0"/>
        <w:rPr>
          <w:sz w:val="20"/>
          <w:szCs w:val="20"/>
          <w:color w:val="auto"/>
        </w:rPr>
      </w:pPr>
      <w:r>
        <w:rPr>
          <w:rFonts w:ascii="Arial" w:cs="Arial" w:eastAsia="Arial" w:hAnsi="Arial"/>
          <w:sz w:val="18"/>
          <w:szCs w:val="18"/>
          <w:b w:val="1"/>
          <w:bCs w:val="1"/>
          <w:color w:val="auto"/>
        </w:rPr>
        <w:t>Andrea Corcoran</w:t>
      </w:r>
    </w:p>
    <w:p>
      <w:pPr>
        <w:spacing w:after="0" w:line="17"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5920"/>
        <w:spacing w:after="0" w:line="234" w:lineRule="auto"/>
        <w:rPr>
          <w:sz w:val="20"/>
          <w:szCs w:val="20"/>
          <w:color w:val="auto"/>
        </w:rPr>
      </w:pPr>
      <w:r>
        <w:rPr>
          <w:rFonts w:ascii="Arial" w:cs="Arial" w:eastAsia="Arial" w:hAnsi="Arial"/>
          <w:sz w:val="18"/>
          <w:szCs w:val="18"/>
          <w:b w:val="1"/>
          <w:bCs w:val="1"/>
          <w:color w:val="auto"/>
        </w:rPr>
        <w:t>Secretary</w:t>
      </w:r>
    </w:p>
    <w:p>
      <w:pPr>
        <w:spacing w:after="0" w:line="1"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46"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240" w:firstLine="546"/>
        <w:spacing w:after="0"/>
        <w:rPr>
          <w:sz w:val="20"/>
          <w:szCs w:val="20"/>
          <w:color w:val="auto"/>
        </w:rPr>
      </w:pPr>
      <w:r>
        <w:rPr>
          <w:rFonts w:ascii="Arial" w:cs="Arial" w:eastAsia="Arial" w:hAnsi="Arial"/>
          <w:sz w:val="18"/>
          <w:szCs w:val="18"/>
          <w:color w:val="auto"/>
        </w:rPr>
        <w:t>In connection with the Quarterly Report on Form 10-Q of Atea Pharmaceuticals, Inc. (the “Company”)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203"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80" w:right="180" w:hanging="532"/>
        <w:spacing w:after="0" w:line="246"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tabs>
          <w:tab w:leader="none" w:pos="5680" w:val="left"/>
          <w:tab w:leader="none" w:pos="720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Jean-Pierre Sommadossi,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8"/>
          <w:szCs w:val="18"/>
          <w:b w:val="1"/>
          <w:bCs w:val="1"/>
          <w:color w:val="auto"/>
        </w:rPr>
        <w:t>Jean-Pierre Sommadossi, Ph.D.</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President and Chief Executive Officer</w:t>
      </w:r>
    </w:p>
    <w:p>
      <w:pPr>
        <w:ind w:left="74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46"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240" w:firstLine="546"/>
        <w:spacing w:after="0"/>
        <w:rPr>
          <w:sz w:val="20"/>
          <w:szCs w:val="20"/>
          <w:color w:val="auto"/>
        </w:rPr>
      </w:pPr>
      <w:r>
        <w:rPr>
          <w:rFonts w:ascii="Arial" w:cs="Arial" w:eastAsia="Arial" w:hAnsi="Arial"/>
          <w:sz w:val="18"/>
          <w:szCs w:val="18"/>
          <w:color w:val="auto"/>
        </w:rPr>
        <w:t>In connection with the Quarterly Report on Form 10-Q of Atea Pharmaceuticals, Inc. (the “Company”)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203"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80" w:right="180" w:hanging="532"/>
        <w:spacing w:after="0" w:line="246"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tabs>
          <w:tab w:leader="none" w:pos="5680" w:val="left"/>
          <w:tab w:leader="none" w:pos="780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b w:val="1"/>
          <w:bCs w:val="1"/>
          <w:color w:val="auto"/>
        </w:rPr>
        <w:t>Andrea Corcoran</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00"/>
        <w:spacing w:after="0" w:line="234" w:lineRule="auto"/>
        <w:rPr>
          <w:sz w:val="20"/>
          <w:szCs w:val="20"/>
          <w:color w:val="auto"/>
        </w:rPr>
      </w:pPr>
      <w:r>
        <w:rPr>
          <w:rFonts w:ascii="Arial" w:cs="Arial" w:eastAsia="Arial" w:hAnsi="Arial"/>
          <w:sz w:val="18"/>
          <w:szCs w:val="18"/>
          <w:b w:val="1"/>
          <w:bCs w:val="1"/>
          <w:color w:val="auto"/>
        </w:rPr>
        <w:t>Secretary</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1."/>
      <w:numFmt w:val="decimal"/>
      <w:start w:val="8"/>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1."/>
      <w:numFmt w:val="decimal"/>
      <w:start w:val="1"/>
    </w:lvl>
  </w:abstractNum>
  <w:abstractNum w:abstractNumId="47">
    <w:nsid w:val="613EFDC5"/>
    <w:multiLevelType w:val="hybridMultilevel"/>
    <w:lvl w:ilvl="0">
      <w:lvlJc w:val="left"/>
      <w:lvlText w:val="%1."/>
      <w:numFmt w:val="decimal"/>
      <w:start w:val="2"/>
    </w:lvl>
  </w:abstractNum>
  <w:abstractNum w:abstractNumId="48">
    <w:nsid w:val="BF72B14"/>
    <w:multiLevelType w:val="hybridMultilevel"/>
    <w:lvl w:ilvl="0">
      <w:lvlJc w:val="left"/>
      <w:lvlText w:val="%1."/>
      <w:numFmt w:val="decimal"/>
      <w:start w:val="6"/>
    </w:lvl>
  </w:abstractNum>
  <w:abstractNum w:abstractNumId="49">
    <w:nsid w:val="11447B73"/>
    <w:multiLevelType w:val="hybridMultilevel"/>
    <w:lvl w:ilvl="0">
      <w:lvlJc w:val="left"/>
      <w:lvlText w:val="%1."/>
      <w:numFmt w:val="decimal"/>
      <w:start w:val="10"/>
    </w:lvl>
  </w:abstractNum>
  <w:abstractNum w:abstractNumId="50">
    <w:nsid w:val="42963E5A"/>
    <w:multiLevelType w:val="hybridMultilevel"/>
    <w:lvl w:ilvl="0">
      <w:lvlJc w:val="left"/>
      <w:lvlText w:val="%1."/>
      <w:numFmt w:val="decimal"/>
      <w:start w:val="16"/>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lowerLetter"/>
      <w:start w:val="1"/>
    </w:lvl>
    <w:lvl w:ilvl="1">
      <w:lvlJc w:val="left"/>
      <w:lvlText w:val="-"/>
      <w:numFmt w:val="bullet"/>
      <w:start w:val="1"/>
    </w:lvl>
  </w:abstractNum>
  <w:abstractNum w:abstractNumId="53">
    <w:nsid w:val="1A32234B"/>
    <w:multiLevelType w:val="hybridMultilevel"/>
    <w:lvl w:ilvl="0">
      <w:lvlJc w:val="left"/>
      <w:lvlText w:val="%1)"/>
      <w:numFmt w:val="lowerLetter"/>
      <w:start w:val="1"/>
    </w:lvl>
    <w:lvl w:ilvl="1">
      <w:lvlJc w:val="left"/>
      <w:lvlText w:val="-"/>
      <w:numFmt w:val="bullet"/>
      <w:start w:val="1"/>
    </w:lvl>
  </w:abstractNum>
  <w:abstractNum w:abstractNumId="54">
    <w:nsid w:val="3B0FD379"/>
    <w:multiLevelType w:val="hybridMultilevel"/>
    <w:lvl w:ilvl="0">
      <w:lvlJc w:val="left"/>
      <w:lvlText w:val="%1)"/>
      <w:numFmt w:val="lowerLetter"/>
      <w:start w:val="2"/>
    </w:lvl>
  </w:abstractNum>
  <w:abstractNum w:abstractNumId="55">
    <w:nsid w:val="68EB2F63"/>
    <w:multiLevelType w:val="hybridMultilevel"/>
    <w:lvl w:ilvl="0">
      <w:lvlJc w:val="left"/>
      <w:lvlText w:val="(%1)"/>
      <w:numFmt w:val="lowerRoman"/>
      <w:start w:val="1"/>
    </w:lvl>
    <w:lvl w:ilvl="1">
      <w:lvlJc w:val="left"/>
      <w:lvlText w:val="-"/>
      <w:numFmt w:val="bullet"/>
      <w:start w:val="1"/>
    </w:lvl>
  </w:abstractNum>
  <w:abstractNum w:abstractNumId="56">
    <w:nsid w:val="4962813B"/>
    <w:multiLevelType w:val="hybridMultilevel"/>
    <w:lvl w:ilvl="0">
      <w:lvlJc w:val="left"/>
      <w:lvlText w:val="(%1)"/>
      <w:numFmt w:val="lowerRoman"/>
      <w:start w:val="4"/>
    </w:lvl>
  </w:abstractNum>
  <w:abstractNum w:abstractNumId="57">
    <w:nsid w:val="60B6DF70"/>
    <w:multiLevelType w:val="hybridMultilevel"/>
    <w:lvl w:ilvl="0">
      <w:lvlJc w:val="left"/>
      <w:lvlText w:val="(%1)"/>
      <w:numFmt w:val="lowerRoman"/>
      <w:start w:val="3"/>
    </w:lvl>
  </w:abstractNum>
  <w:abstractNum w:abstractNumId="58">
    <w:nsid w:val="6A5EE64"/>
    <w:multiLevelType w:val="hybridMultilevel"/>
    <w:lvl w:ilvl="0">
      <w:lvlJc w:val="left"/>
      <w:lvlText w:val="%1)"/>
      <w:numFmt w:val="lowerLetter"/>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1)"/>
      <w:numFmt w:val="lowerRoman"/>
      <w:start w:val="1"/>
    </w:lvl>
  </w:abstractNum>
  <w:abstractNum w:abstractNumId="61">
    <w:nsid w:val="1A27709E"/>
    <w:multiLevelType w:val="hybridMultilevel"/>
    <w:lvl w:ilvl="0">
      <w:lvlJc w:val="left"/>
      <w:lvlText w:val="(%1)"/>
      <w:numFmt w:val="lowerRoman"/>
      <w:start w:val="2"/>
    </w:lvl>
  </w:abstractNum>
  <w:abstractNum w:abstractNumId="62">
    <w:nsid w:val="71EA1109"/>
    <w:multiLevelType w:val="hybridMultilevel"/>
    <w:lvl w:ilvl="0">
      <w:lvlJc w:val="left"/>
      <w:lvlText w:val="(%1)"/>
      <w:numFmt w:val="lowerLetter"/>
      <w:start w:val="1"/>
    </w:lvl>
    <w:lvl w:ilvl="1">
      <w:lvlJc w:val="left"/>
      <w:lvlText w:val="-"/>
      <w:numFmt w:val="bullet"/>
      <w:start w:val="1"/>
    </w:lvl>
  </w:abstractNum>
  <w:abstractNum w:abstractNumId="63">
    <w:nsid w:val="100F59DC"/>
    <w:multiLevelType w:val="hybridMultilevel"/>
    <w:lvl w:ilvl="0">
      <w:lvlJc w:val="left"/>
      <w:lvlText w:val="(%1)"/>
      <w:numFmt w:val="lowerLetter"/>
      <w:start w:val="2"/>
    </w:lvl>
  </w:abstractNum>
  <w:abstractNum w:abstractNumId="64">
    <w:nsid w:val="7FB7E0AA"/>
    <w:multiLevelType w:val="hybridMultilevel"/>
    <w:lvl w:ilvl="0">
      <w:lvlJc w:val="left"/>
      <w:lvlText w:val="(%1)"/>
      <w:numFmt w:val="lowerLetter"/>
      <w:start w:val="1"/>
    </w:lvl>
  </w:abstractNum>
  <w:abstractNum w:abstractNumId="65">
    <w:nsid w:val="6EB5BD4"/>
    <w:multiLevelType w:val="hybridMultilevel"/>
    <w:lvl w:ilvl="0">
      <w:lvlJc w:val="left"/>
      <w:lvlText w:val="%1."/>
      <w:numFmt w:val="decimal"/>
      <w:start w:val="3"/>
    </w:lvl>
  </w:abstractNum>
  <w:abstractNum w:abstractNumId="66">
    <w:nsid w:val="6F6DD9AC"/>
    <w:multiLevelType w:val="hybridMultilevel"/>
    <w:lvl w:ilvl="0">
      <w:lvlJc w:val="left"/>
      <w:lvlText w:val="(%1)"/>
      <w:numFmt w:val="upperLetter"/>
      <w:start w:val="1"/>
    </w:lvl>
    <w:lvl w:ilvl="1">
      <w:lvlJc w:val="left"/>
      <w:lvlText w:val="-"/>
      <w:numFmt w:val="bullet"/>
      <w:start w:val="1"/>
    </w:lvl>
  </w:abstractNum>
  <w:abstractNum w:abstractNumId="67">
    <w:nsid w:val="94211F2"/>
    <w:multiLevelType w:val="hybridMultilevel"/>
    <w:lvl w:ilvl="0">
      <w:lvlJc w:val="left"/>
      <w:lvlText w:val="%1."/>
      <w:numFmt w:val="decimal"/>
      <w:start w:val="4"/>
    </w:lvl>
  </w:abstractNum>
  <w:abstractNum w:abstractNumId="68">
    <w:nsid w:val="885E1B"/>
    <w:multiLevelType w:val="hybridMultilevel"/>
    <w:lvl w:ilvl="0">
      <w:lvlJc w:val="left"/>
      <w:lvlText w:val="%1."/>
      <w:numFmt w:val="decimal"/>
      <w:start w:val="5"/>
    </w:lvl>
  </w:abstractNum>
  <w:abstractNum w:abstractNumId="69">
    <w:nsid w:val="76272110"/>
    <w:multiLevelType w:val="hybridMultilevel"/>
    <w:lvl w:ilvl="0">
      <w:lvlJc w:val="left"/>
      <w:lvlText w:val="(%1)"/>
      <w:numFmt w:val="lowerLetter"/>
      <w:start w:val="1"/>
    </w:lvl>
    <w:lvl w:ilvl="1">
      <w:lvlJc w:val="left"/>
      <w:lvlText w:val="-"/>
      <w:numFmt w:val="bullet"/>
      <w:start w:val="1"/>
    </w:lvl>
  </w:abstractNum>
  <w:abstractNum w:abstractNumId="70">
    <w:nsid w:val="4C04A8AF"/>
    <w:multiLevelType w:val="hybridMultilevel"/>
    <w:lvl w:ilvl="0">
      <w:lvlJc w:val="left"/>
      <w:lvlText w:val="(%1)"/>
      <w:numFmt w:val="lowerLetter"/>
      <w:start w:val="6"/>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lowerLetter"/>
      <w:start w:val="1"/>
    </w:lvl>
  </w:abstractNum>
  <w:abstractNum w:abstractNumId="74">
    <w:nsid w:val="74DE0EE3"/>
    <w:multiLevelType w:val="hybridMultilevel"/>
    <w:lvl w:ilvl="0">
      <w:lvlJc w:val="left"/>
      <w:lvlText w:val="%1."/>
      <w:numFmt w:val="decimal"/>
      <w:start w:val="6"/>
    </w:lvl>
  </w:abstractNum>
  <w:abstractNum w:abstractNumId="75">
    <w:nsid w:val="68EBC550"/>
    <w:multiLevelType w:val="hybridMultilevel"/>
    <w:lvl w:ilvl="0">
      <w:lvlJc w:val="left"/>
      <w:lvlText w:val="(%1)"/>
      <w:numFmt w:val="lowerRoman"/>
      <w:start w:val="1"/>
    </w:lvl>
  </w:abstractNum>
  <w:abstractNum w:abstractNumId="76">
    <w:nsid w:val="2DF6D648"/>
    <w:multiLevelType w:val="hybridMultilevel"/>
    <w:lvl w:ilvl="0">
      <w:lvlJc w:val="left"/>
      <w:lvlText w:val="%1."/>
      <w:numFmt w:val="decimal"/>
      <w:start w:val="7"/>
    </w:lvl>
  </w:abstractNum>
  <w:abstractNum w:abstractNumId="77">
    <w:nsid w:val="46B7D447"/>
    <w:multiLevelType w:val="hybridMultilevel"/>
    <w:lvl w:ilvl="0">
      <w:lvlJc w:val="left"/>
      <w:lvlText w:val="(%1)"/>
      <w:numFmt w:val="lowerRoman"/>
      <w:start w:val="4"/>
    </w:lvl>
    <w:lvl w:ilvl="1">
      <w:lvlJc w:val="left"/>
      <w:lvlText w:val="-"/>
      <w:numFmt w:val="bullet"/>
      <w:start w:val="1"/>
    </w:lvl>
  </w:abstractNum>
  <w:abstractNum w:abstractNumId="78">
    <w:nsid w:val="4A2AC315"/>
    <w:multiLevelType w:val="hybridMultilevel"/>
    <w:lvl w:ilvl="0">
      <w:lvlJc w:val="left"/>
      <w:lvlText w:val="%1."/>
      <w:numFmt w:val="decimal"/>
      <w:start w:val="8"/>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1."/>
      <w:numFmt w:val="decimal"/>
      <w:start w:val="9"/>
    </w:lvl>
  </w:abstractNum>
  <w:abstractNum w:abstractNumId="81">
    <w:nsid w:val="CC1016F"/>
    <w:multiLevelType w:val="hybridMultilevel"/>
    <w:lvl w:ilvl="0">
      <w:lvlJc w:val="left"/>
      <w:lvlText w:val="(%1)"/>
      <w:numFmt w:val="lowerLetter"/>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1)"/>
      <w:numFmt w:val="lowerLetter"/>
      <w:start w:val="1"/>
    </w:lvl>
    <w:lvl w:ilvl="1">
      <w:lvlJc w:val="left"/>
      <w:lvlText w:val="-"/>
      <w:numFmt w:val="bullet"/>
      <w:start w:val="1"/>
    </w:lvl>
  </w:abstractNum>
  <w:abstractNum w:abstractNumId="84">
    <w:nsid w:val="26F324BA"/>
    <w:multiLevelType w:val="hybridMultilevel"/>
    <w:lvl w:ilvl="0">
      <w:lvlJc w:val="left"/>
      <w:lvlText w:val="(%1)"/>
      <w:numFmt w:val="lowerLetter"/>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1)"/>
      <w:numFmt w:val="lowerLetter"/>
      <w:start w:val="1"/>
    </w:lvl>
    <w:lvl w:ilvl="1">
      <w:lvlJc w:val="left"/>
      <w:lvlText w:val="(%2)"/>
      <w:numFmt w:val="lowerRoman"/>
      <w:start w:val="1"/>
    </w:lvl>
  </w:abstractNum>
  <w:abstractNum w:abstractNumId="87">
    <w:nsid w:val="7055A5F5"/>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88">
    <w:nsid w:val="5FB8370B"/>
    <w:multiLevelType w:val="hybridMultilevel"/>
    <w:lvl w:ilvl="0">
      <w:lvlJc w:val="left"/>
      <w:lvlText w:val="(%1)"/>
      <w:numFmt w:val="lowerRoman"/>
      <w:start w:val="1"/>
    </w:lvl>
  </w:abstractNum>
  <w:abstractNum w:abstractNumId="89">
    <w:nsid w:val="50801EE1"/>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90">
    <w:nsid w:val="488AC1A"/>
    <w:multiLevelType w:val="hybridMultilevel"/>
    <w:lvl w:ilvl="0">
      <w:lvlJc w:val="left"/>
      <w:lvlText w:val="(%1)"/>
      <w:numFmt w:val="lowerLetter"/>
      <w:start w:val="1"/>
    </w:lvl>
  </w:abstractNum>
  <w:abstractNum w:abstractNumId="91">
    <w:nsid w:val="5FB8011C"/>
    <w:multiLevelType w:val="hybridMultilevel"/>
    <w:lvl w:ilvl="0">
      <w:lvlJc w:val="left"/>
      <w:lvlText w:val="(%1)"/>
      <w:numFmt w:val="lowerLetter"/>
      <w:start w:val="1"/>
    </w:lvl>
    <w:lvl w:ilvl="1">
      <w:lvlJc w:val="left"/>
      <w:lvlText w:val="-"/>
      <w:numFmt w:val="bullet"/>
      <w:start w:val="1"/>
    </w:lvl>
  </w:abstractNum>
  <w:abstractNum w:abstractNumId="92">
    <w:nsid w:val="6AA78F7F"/>
    <w:multiLevelType w:val="hybridMultilevel"/>
    <w:lvl w:ilvl="0">
      <w:lvlJc w:val="left"/>
      <w:lvlText w:val="(%1)"/>
      <w:numFmt w:val="lowerLetter"/>
      <w:start w:val="3"/>
    </w:lvl>
    <w:lvl w:ilvl="1">
      <w:lvlJc w:val="left"/>
      <w:lvlText w:val="[***]"/>
      <w:numFmt w:val="bullet"/>
      <w:start w:val="1"/>
    </w:lvl>
  </w:abstractNum>
  <w:abstractNum w:abstractNumId="93">
    <w:nsid w:val="7672BD23"/>
    <w:multiLevelType w:val="hybridMultilevel"/>
    <w:lvl w:ilvl="0">
      <w:lvlJc w:val="left"/>
      <w:lvlText w:val="(%1)"/>
      <w:numFmt w:val="upperLetter"/>
      <w:start w:val="53"/>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1)"/>
      <w:numFmt w:val="lowerLetter"/>
      <w:start w:val="1"/>
    </w:lvl>
    <w:lvl w:ilvl="1">
      <w:lvlJc w:val="left"/>
      <w:lvlText w:val="-"/>
      <w:numFmt w:val="bullet"/>
      <w:start w:val="1"/>
    </w:lvl>
  </w:abstractNum>
  <w:abstractNum w:abstractNumId="96">
    <w:nsid w:val="7D5E18F8"/>
    <w:multiLevelType w:val="hybridMultilevel"/>
    <w:lvl w:ilvl="0">
      <w:lvlJc w:val="left"/>
      <w:lvlText w:val="(%1)"/>
      <w:numFmt w:val="lowerRoman"/>
      <w:start w:val="1"/>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
      <w:numFmt w:val="bullet"/>
      <w:start w:val="1"/>
    </w:lvl>
    <w:lvl w:ilvl="1">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jpe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106" Type="http://schemas.openxmlformats.org/officeDocument/2006/relationships/hyperlink" Target="http://www.sec.gov/Archives/edgar/data/1593899/000119312520286850/d97355dex31.htm" TargetMode="External"/><Relationship Id="rId107" Type="http://schemas.openxmlformats.org/officeDocument/2006/relationships/hyperlink" Target="http://www.sec.gov/Archives/edgar/data/1593899/000119312520286850/d97355dex32.htm" TargetMode="External"/><Relationship Id="rId108" Type="http://schemas.openxmlformats.org/officeDocument/2006/relationships/hyperlink" Target="http://www.sec.gov/Archives/edgar/data/1593899/000119312520267199/d913778dex42.htm" TargetMode="External"/><Relationship Id="rId109" Type="http://schemas.openxmlformats.org/officeDocument/2006/relationships/hyperlink" Target="http://www.sec.gov/Archives/edgar/data/1593899/000119312521167921/d185451dex101.htm" TargetMode="External"/><Relationship Id="rId110" Type="http://schemas.openxmlformats.org/officeDocument/2006/relationships/hyperlink" Target="http://www.sec.gov/Archives/edgar/data/1593899/000119312521223025/d6997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2021-08-12T16:58:19Z</dcterms:created>
  <dcterms:modified xsi:type="dcterms:W3CDTF">2021-08-12T16:58:19Z</dcterms:modified>
</cp:coreProperties>
</file>