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BERGER FRANKLIN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FRANKLIN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Atea Pharmaceuticals, Inc.</w:t>
              </w:r>
            </w:hyperlink>
            <w:r>
              <w:rPr/>
              <w:t xml:space="preserve"> [ </w:t>
            </w:r>
            <w:r>
              <w:rPr>
                <w:rFonts w:ascii="Times;serif" w:hAnsi="Times;serif"/>
                <w:color w:val="0000FF"/>
                <w:sz w:val="24"/>
                <w:shd w:fill="FFFFFF" w:val="clear"/>
              </w:rPr>
              <w:t>AVIR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536,097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vested in full on June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a single installment on the earlier of (i) the date of the next annual meeting of the Issuer's stockholders occurring after June 18, 2026 or (ii) June 18, 2027, in each case,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vests and becomes exercisable in twelve (12) substantially equal monthly installments following June 18, 2026, such that the option shall be fully vested on June 18, 2027, subject to the Reporting Person's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Andrea Corcoran, as Attorney-in-Fact for Franklin M. 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3885" TargetMode="External"/><Relationship Id="rId5" Type="http://schemas.openxmlformats.org/officeDocument/2006/relationships/hyperlink" Target="http://www.sec.gov/cgi-bin/browse-edgar?action=getcompany&amp;CIK=00015938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3887</Characters>
  <CharactersWithSpaces>4527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