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40" w:hanging="3639"/>
        <w:spacing w:after="0" w:line="297"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4" w:lineRule="exact"/>
        <w:rPr>
          <w:rFonts w:ascii="MS PGothic" w:cs="MS PGothic" w:eastAsia="MS PGothic" w:hAnsi="MS PGothic"/>
          <w:sz w:val="17"/>
          <w:szCs w:val="17"/>
          <w:color w:val="auto"/>
          <w:highlight w:val="black"/>
        </w:rPr>
      </w:pPr>
    </w:p>
    <w:p>
      <w:pPr>
        <w:ind w:left="27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_______________ to _______________</w:t>
      </w:r>
    </w:p>
    <w:p>
      <w:pPr>
        <w:spacing w:after="0" w:line="49" w:lineRule="exact"/>
        <w:rPr>
          <w:rFonts w:ascii="MS PGothic" w:cs="MS PGothic" w:eastAsia="MS PGothic" w:hAnsi="MS PGothic"/>
          <w:sz w:val="17"/>
          <w:szCs w:val="17"/>
          <w:color w:val="auto"/>
          <w:highlight w:val="black"/>
        </w:rPr>
      </w:pPr>
    </w:p>
    <w:p>
      <w:pPr>
        <w:ind w:left="40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p>
      <w:pPr>
        <w:spacing w:after="0" w:line="19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46-0574869</w:t>
      </w:r>
    </w:p>
    <w:p>
      <w:pPr>
        <w:spacing w:after="0" w:line="21"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180" w:space="720"/>
            <w:col w:w="3340"/>
          </w:cols>
          <w:pgMar w:left="320" w:top="609" w:right="339" w:bottom="1440" w:gutter="0" w:footer="0" w:header="0"/>
          <w:type w:val="continuous"/>
        </w:sectPr>
      </w:pPr>
    </w:p>
    <w:tbl>
      <w:tblPr>
        <w:tblLayout w:type="fixed"/>
        <w:tblInd w:w="1520" w:type="dxa"/>
        <w:tblCellMar>
          <w:top w:w="0" w:type="dxa"/>
          <w:left w:w="0" w:type="dxa"/>
          <w:bottom w:w="0" w:type="dxa"/>
          <w:right w:w="0" w:type="dxa"/>
        </w:tblCellMar>
      </w:tblPr>
      <w:tr>
        <w:trPr>
          <w:trHeight w:val="200"/>
        </w:trPr>
        <w:tc>
          <w:tcPr>
            <w:tcW w:w="6140" w:type="dxa"/>
            <w:vAlign w:val="bottom"/>
          </w:tcPr>
          <w:p>
            <w:pPr>
              <w:jc w:val="center"/>
              <w:ind w:right="3461"/>
              <w:spacing w:after="0" w:line="201" w:lineRule="exact"/>
              <w:rPr>
                <w:sz w:val="20"/>
                <w:szCs w:val="20"/>
                <w:color w:val="auto"/>
              </w:rPr>
            </w:pPr>
            <w:r>
              <w:rPr>
                <w:rFonts w:ascii="Arial" w:cs="Arial" w:eastAsia="Arial" w:hAnsi="Arial"/>
                <w:sz w:val="18"/>
                <w:szCs w:val="18"/>
                <w:b w:val="1"/>
                <w:bCs w:val="1"/>
                <w:color w:val="auto"/>
                <w:w w:val="99"/>
              </w:rPr>
              <w:t>225 Franklin Street, Suite 2100</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02110</w:t>
            </w:r>
          </w:p>
        </w:tc>
        <w:tc>
          <w:tcPr>
            <w:tcW w:w="0" w:type="dxa"/>
            <w:vAlign w:val="bottom"/>
          </w:tcPr>
          <w:p>
            <w:pPr>
              <w:spacing w:after="0"/>
              <w:rPr>
                <w:sz w:val="1"/>
                <w:szCs w:val="1"/>
                <w:color w:val="auto"/>
              </w:rPr>
            </w:pPr>
          </w:p>
        </w:tc>
      </w:tr>
      <w:tr>
        <w:trPr>
          <w:trHeight w:val="217"/>
        </w:trPr>
        <w:tc>
          <w:tcPr>
            <w:tcW w:w="6140" w:type="dxa"/>
            <w:vAlign w:val="bottom"/>
          </w:tcPr>
          <w:p>
            <w:pPr>
              <w:ind w:left="780"/>
              <w:spacing w:after="0"/>
              <w:rPr>
                <w:sz w:val="20"/>
                <w:szCs w:val="20"/>
                <w:color w:val="auto"/>
              </w:rPr>
            </w:pPr>
            <w:r>
              <w:rPr>
                <w:rFonts w:ascii="Arial" w:cs="Arial" w:eastAsia="Arial" w:hAnsi="Arial"/>
                <w:sz w:val="18"/>
                <w:szCs w:val="18"/>
                <w:b w:val="1"/>
                <w:bCs w:val="1"/>
                <w:color w:val="auto"/>
              </w:rPr>
              <w:t>Boston, MA</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140" w:type="dxa"/>
            <w:vAlign w:val="bottom"/>
          </w:tcPr>
          <w:p>
            <w:pPr>
              <w:jc w:val="center"/>
              <w:ind w:right="3461"/>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080" w:type="dxa"/>
            <w:vAlign w:val="bottom"/>
          </w:tcPr>
          <w:p>
            <w:pPr>
              <w:jc w:val="center"/>
              <w:ind w:left="38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60"/>
        </w:trPr>
        <w:tc>
          <w:tcPr>
            <w:tcW w:w="6140" w:type="dxa"/>
            <w:vAlign w:val="bottom"/>
          </w:tcPr>
          <w:p>
            <w:pPr>
              <w:jc w:val="right"/>
              <w:ind w:right="1341"/>
              <w:spacing w:after="0"/>
              <w:rPr>
                <w:sz w:val="20"/>
                <w:szCs w:val="20"/>
                <w:color w:val="auto"/>
              </w:rPr>
            </w:pPr>
            <w:r>
              <w:rPr>
                <w:rFonts w:ascii="Arial" w:cs="Arial" w:eastAsia="Arial" w:hAnsi="Arial"/>
                <w:sz w:val="18"/>
                <w:szCs w:val="18"/>
                <w:b w:val="1"/>
                <w:bCs w:val="1"/>
                <w:color w:val="auto"/>
              </w:rPr>
              <w:t>(857) 284-8891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140" w:type="dxa"/>
            <w:vAlign w:val="bottom"/>
          </w:tcPr>
          <w:p>
            <w:pPr>
              <w:jc w:val="center"/>
              <w:ind w:left="2001"/>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 Summer Street, Boston, MA 02110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AVIR</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12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right="4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120" w:firstLine="599"/>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 w:lineRule="exact"/>
        <w:rPr>
          <w:sz w:val="24"/>
          <w:szCs w:val="24"/>
          <w:color w:val="auto"/>
        </w:rPr>
      </w:pPr>
    </w:p>
    <w:p>
      <w:pPr>
        <w:jc w:val="both"/>
        <w:ind w:right="6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3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2022, the registrant had 83,257,591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w:t>
      </w:r>
    </w:p>
    <w:p>
      <w:pPr>
        <w:ind w:right="100"/>
        <w:spacing w:after="0" w:line="226" w:lineRule="auto"/>
        <w:rPr>
          <w:sz w:val="20"/>
          <w:szCs w:val="20"/>
          <w:color w:val="auto"/>
        </w:rPr>
      </w:pPr>
      <w:r>
        <w:rPr>
          <w:rFonts w:ascii="Arial" w:cs="Arial" w:eastAsia="Arial" w:hAnsi="Arial"/>
          <w:sz w:val="18"/>
          <w:szCs w:val="18"/>
          <w:color w:val="auto"/>
        </w:rPr>
        <w:t>“believe,” “contemplate,” “continue,” “could,” “estimate,” “expect,” “goal,” “intend,” “may,” "on track," “plan,” “possible,” “potential,” “predict,” “project,” “seek,” “should,” “target,” “will,” “would” or the negative of these terms or other similar expressions are intended to identify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although not all forward-looking statements contain these identifying words.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17" w:lineRule="exact"/>
        <w:rPr>
          <w:sz w:val="20"/>
          <w:szCs w:val="20"/>
          <w:color w:val="auto"/>
        </w:rPr>
      </w:pPr>
    </w:p>
    <w:p>
      <w:pPr>
        <w:ind w:left="760" w:right="580" w:hanging="378"/>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Times New Roman" w:cs="Times New Roman" w:eastAsia="Times New Roman" w:hAnsi="Times New Roman"/>
          <w:sz w:val="18"/>
          <w:szCs w:val="18"/>
          <w:color w:val="auto"/>
        </w:rPr>
      </w:pP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2E2E2E"/>
        </w:rPr>
      </w:pPr>
      <w:r>
        <w:rPr>
          <w:rFonts w:ascii="Arial" w:cs="Arial" w:eastAsia="Arial" w:hAnsi="Arial"/>
          <w:sz w:val="18"/>
          <w:szCs w:val="18"/>
          <w:color w:val="2E2E2E"/>
        </w:rPr>
        <w:t>the potential therapeutic benefits of our product candidates and the potential indications and market opportunities therefor;</w:t>
      </w: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2E2E2E"/>
        </w:rPr>
      </w:pPr>
      <w:r>
        <w:rPr>
          <w:rFonts w:ascii="Arial" w:cs="Arial" w:eastAsia="Arial" w:hAnsi="Arial"/>
          <w:sz w:val="18"/>
          <w:szCs w:val="18"/>
          <w:color w:val="2E2E2E"/>
        </w:rPr>
        <w:t>the safety profile and related adverse events of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research, develop and commercialize our current and future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future collaboration we may enter into;</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any products for which we may receive marketing approval;</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future revenue, expenses and results of operations;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of, timing of and amount of expenses associated with our research, development and commercialization activities;</w:t>
      </w: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position, capital requirements and needs for additional financing;</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strategy;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competing treatments and vaccines and our industry;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federal, state and foreign laws and regulations;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2E2E2E"/>
        </w:rPr>
      </w:pPr>
      <w:r>
        <w:rPr>
          <w:rFonts w:ascii="Arial" w:cs="Arial" w:eastAsia="Arial" w:hAnsi="Arial"/>
          <w:sz w:val="18"/>
          <w:szCs w:val="18"/>
          <w:color w:val="2E2E2E"/>
        </w:rPr>
        <w:t>our ability to attract, motivate, and retain key personnel; and</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COVID-19 on our business, including our preclinical studies and clinical trials.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guarantees, but involve known and unknown risks, uncertainties and other important factors that may cause our actual results, performance or achievements to be materially different from any future results, performance or achievements expressed or implied by the forward-looking</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w:t>
      </w:r>
    </w:p>
    <w:p>
      <w:pPr>
        <w:spacing w:after="0" w:line="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looking statements as predictions of future events. Except as required by law, we assume no obligation to update or revise these forward-looking statements for any reason, even if new information becomes available in the future.</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refer to Atea Pharmaceuticals, Inc. and its subsidiary. All brand names or trademarks appearing in this Quarterly Report on Form 10-Q are the property of their respective owners.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Quarterly Report on Form 10-Q. The principal risks and uncertainties affecting our business include the following:</w:t>
      </w:r>
    </w:p>
    <w:p>
      <w:pPr>
        <w:spacing w:after="0" w:line="5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is significant uncertainty around our development of bemnifosbuvir as a potential treatment for COVID-19.</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our management, directors and other key personnel.</w:t>
      </w:r>
    </w:p>
    <w:p>
      <w:pPr>
        <w:spacing w:after="0" w:line="102" w:lineRule="exact"/>
        <w:rPr>
          <w:rFonts w:ascii="Times New Roman" w:cs="Times New Roman" w:eastAsia="Times New Roman" w:hAnsi="Times New Roman"/>
          <w:sz w:val="18"/>
          <w:szCs w:val="18"/>
          <w:color w:val="auto"/>
        </w:rPr>
      </w:pPr>
    </w:p>
    <w:p>
      <w:pPr>
        <w:jc w:val="both"/>
        <w:ind w:left="1020" w:right="18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resources in anticipation of potential clinical trials and commercialization of bemnifosbuvir, which we may not be able to recover if bemnifosbuvir is not approved for the treatment of COVID-19 or we are not successful at commercializing bemnifosbuvir.</w:t>
      </w:r>
    </w:p>
    <w:p>
      <w:pPr>
        <w:spacing w:after="0" w:line="55"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therapeutics for the treatment of COVID-19 may be reduced, perhaps significantly, if vaccines are effective and widely accepted.</w:t>
      </w:r>
    </w:p>
    <w:p>
      <w:pPr>
        <w:spacing w:after="0" w:line="59"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Bemnifosbuvir may face significant competition from other treatments for COVID-19 that are currently marketed or are in development.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may materially and adversely affect our business opportunities, clinical trials and financial results.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76" w:lineRule="exact"/>
        <w:rPr>
          <w:rFonts w:ascii="Times New Roman" w:cs="Times New Roman" w:eastAsia="Times New Roman" w:hAnsi="Times New Roman"/>
          <w:sz w:val="18"/>
          <w:szCs w:val="18"/>
          <w:color w:val="auto"/>
        </w:rPr>
      </w:pPr>
    </w:p>
    <w:p>
      <w:pPr>
        <w:jc w:val="both"/>
        <w:ind w:left="1020" w:right="160" w:hanging="503"/>
        <w:spacing w:after="0" w:line="300"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significant operating expenses since inception. We expect our expenditures will increase for the foreseeable future. We have no products that have generated any commercial revenue and we may never achieve or maintain profitability.</w:t>
      </w:r>
    </w:p>
    <w:p>
      <w:pPr>
        <w:spacing w:after="0" w:line="23" w:lineRule="exact"/>
        <w:rPr>
          <w:rFonts w:ascii="Times New Roman" w:cs="Times New Roman" w:eastAsia="Times New Roman" w:hAnsi="Times New Roman"/>
          <w:sz w:val="17"/>
          <w:szCs w:val="17"/>
          <w:color w:val="auto"/>
        </w:rPr>
      </w:pPr>
    </w:p>
    <w:p>
      <w:pPr>
        <w:jc w:val="both"/>
        <w:ind w:left="1020" w:right="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55" w:lineRule="exact"/>
        <w:rPr>
          <w:rFonts w:ascii="Times New Roman" w:cs="Times New Roman" w:eastAsia="Times New Roman" w:hAnsi="Times New Roman"/>
          <w:sz w:val="18"/>
          <w:szCs w:val="18"/>
          <w:color w:val="auto"/>
        </w:rPr>
      </w:pPr>
    </w:p>
    <w:p>
      <w:pPr>
        <w:ind w:left="1020" w:right="4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our net operating loss carryforwards and other tax attributes to offset taxable income may be subject to certain limitations.</w:t>
      </w:r>
    </w:p>
    <w:p>
      <w:pPr>
        <w:spacing w:after="0" w:line="32"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highly dependent on the success of our most advanced product candidates, including bemnifosbuvir. If we fail to successfully develop bemnifosbuvir for the treatment of COVID-19 or if our other product candidates for the treatment of hepatitis C ("HCV") or dengue fail in nonclinical or clinical development, or we are unable to obtain regulatory approval or successfully commercialize any of our product candidates, or are significantly delayed in doing so, our business will be harmed.</w:t>
      </w:r>
    </w:p>
    <w:p>
      <w:pPr>
        <w:spacing w:after="0" w:line="61" w:lineRule="exact"/>
        <w:rPr>
          <w:rFonts w:ascii="Times New Roman" w:cs="Times New Roman" w:eastAsia="Times New Roman" w:hAnsi="Times New Roman"/>
          <w:sz w:val="18"/>
          <w:szCs w:val="18"/>
          <w:color w:val="auto"/>
        </w:rPr>
      </w:pPr>
    </w:p>
    <w:p>
      <w:pPr>
        <w:ind w:left="1020" w:right="20" w:hanging="503"/>
        <w:spacing w:after="0" w:line="24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65"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lengthy and uncertain. We may encounter substantial delays and costs in our clinical trials, or may not be able to conduct or complete our clinical trials on the timelines we expect, if at all.</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intend to develop certain of our product candidates in combination with other therapies, which exposes us to additional risks.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 w:name="page4"/>
    <w:bookmarkEnd w:id="3"/>
    <w:p>
      <w:pPr>
        <w:ind w:left="503" w:hanging="503"/>
        <w:spacing w:after="0" w:line="286"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32" w:lineRule="exact"/>
        <w:rPr>
          <w:rFonts w:ascii="Times New Roman" w:cs="Times New Roman" w:eastAsia="Times New Roman" w:hAnsi="Times New Roman"/>
          <w:sz w:val="18"/>
          <w:szCs w:val="18"/>
          <w:color w:val="auto"/>
        </w:rPr>
      </w:pPr>
    </w:p>
    <w:p>
      <w:pPr>
        <w:ind w:left="503" w:hanging="503"/>
        <w:spacing w:after="0" w:line="300"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spacing w:after="0" w:line="36"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and successfully develop additional product candidates.</w:t>
      </w:r>
    </w:p>
    <w:p>
      <w:pPr>
        <w:spacing w:after="0" w:line="102" w:lineRule="exact"/>
        <w:rPr>
          <w:rFonts w:ascii="Times New Roman" w:cs="Times New Roman" w:eastAsia="Times New Roman" w:hAnsi="Times New Roman"/>
          <w:sz w:val="18"/>
          <w:szCs w:val="18"/>
          <w:color w:val="auto"/>
        </w:rPr>
      </w:pPr>
    </w:p>
    <w:p>
      <w:pPr>
        <w:ind w:left="503" w:right="50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5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commercialization may materially and adversely affect our business and financial results.</w:t>
      </w:r>
    </w:p>
    <w:p>
      <w:pPr>
        <w:spacing w:after="0" w:line="102" w:lineRule="exact"/>
        <w:rPr>
          <w:rFonts w:ascii="Times New Roman" w:cs="Times New Roman" w:eastAsia="Times New Roman" w:hAnsi="Times New Roman"/>
          <w:sz w:val="18"/>
          <w:szCs w:val="18"/>
          <w:color w:val="auto"/>
        </w:rPr>
      </w:pPr>
    </w:p>
    <w:p>
      <w:pPr>
        <w:ind w:left="503" w:right="52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46" w:lineRule="exact"/>
        <w:rPr>
          <w:rFonts w:ascii="Times New Roman" w:cs="Times New Roman" w:eastAsia="Times New Roman" w:hAnsi="Times New Roman"/>
          <w:sz w:val="18"/>
          <w:szCs w:val="18"/>
          <w:color w:val="auto"/>
        </w:rPr>
      </w:pPr>
    </w:p>
    <w:p>
      <w:pPr>
        <w:ind w:left="503" w:hanging="503"/>
        <w:spacing w:after="0" w:line="251"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only a limited number of employees which may be inadequate to manage and operate our business.</w:t>
      </w:r>
    </w:p>
    <w:p>
      <w:pPr>
        <w:spacing w:after="0" w:line="102" w:lineRule="exact"/>
        <w:rPr>
          <w:rFonts w:ascii="Times New Roman" w:cs="Times New Roman" w:eastAsia="Times New Roman" w:hAnsi="Times New Roman"/>
          <w:sz w:val="18"/>
          <w:szCs w:val="18"/>
          <w:color w:val="auto"/>
        </w:rPr>
      </w:pPr>
    </w:p>
    <w:p>
      <w:pPr>
        <w:ind w:left="503" w:right="180" w:hanging="503"/>
        <w:spacing w:after="0" w:line="286"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and operations may suffer in the event of system failures, deficiencies or intrusions which could materially affect our results.</w:t>
      </w:r>
    </w:p>
    <w:p>
      <w:pPr>
        <w:spacing w:after="0" w:line="32" w:lineRule="exact"/>
        <w:rPr>
          <w:rFonts w:ascii="Times New Roman" w:cs="Times New Roman" w:eastAsia="Times New Roman" w:hAnsi="Times New Roman"/>
          <w:sz w:val="18"/>
          <w:szCs w:val="18"/>
          <w:color w:val="auto"/>
        </w:rPr>
      </w:pPr>
    </w:p>
    <w:p>
      <w:pPr>
        <w:ind w:left="503" w:right="24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59" w:lineRule="exact"/>
        <w:rPr>
          <w:rFonts w:ascii="Times New Roman" w:cs="Times New Roman" w:eastAsia="Times New Roman" w:hAnsi="Times New Roman"/>
          <w:sz w:val="18"/>
          <w:szCs w:val="18"/>
          <w:color w:val="auto"/>
        </w:rPr>
      </w:pPr>
    </w:p>
    <w:p>
      <w:pPr>
        <w:ind w:left="503" w:right="400" w:hanging="503"/>
        <w:spacing w:after="0" w:line="300"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23" w:lineRule="exact"/>
        <w:rPr>
          <w:rFonts w:ascii="Times New Roman" w:cs="Times New Roman" w:eastAsia="Times New Roman" w:hAnsi="Times New Roman"/>
          <w:sz w:val="17"/>
          <w:szCs w:val="17"/>
          <w:color w:val="auto"/>
        </w:rPr>
      </w:pPr>
    </w:p>
    <w:p>
      <w:pPr>
        <w:ind w:left="503" w:right="16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5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against us could be costly and time-consuming to defend and could result in additional liabilities.</w:t>
      </w:r>
    </w:p>
    <w:p>
      <w:pPr>
        <w:spacing w:after="0" w:line="102" w:lineRule="exact"/>
        <w:rPr>
          <w:rFonts w:ascii="Times New Roman" w:cs="Times New Roman" w:eastAsia="Times New Roman" w:hAnsi="Times New Roman"/>
          <w:sz w:val="18"/>
          <w:szCs w:val="18"/>
          <w:color w:val="auto"/>
        </w:rPr>
      </w:pPr>
    </w:p>
    <w:p>
      <w:pPr>
        <w:ind w:left="503" w:right="280" w:hanging="503"/>
        <w:spacing w:after="0" w:line="286"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common stock may materially and adversely affect our stock price.</w:t>
      </w:r>
    </w:p>
    <w:p>
      <w:pPr>
        <w:spacing w:after="0" w:line="102" w:lineRule="exact"/>
        <w:rPr>
          <w:rFonts w:ascii="Times New Roman" w:cs="Times New Roman" w:eastAsia="Times New Roman" w:hAnsi="Times New Roman"/>
          <w:sz w:val="18"/>
          <w:szCs w:val="18"/>
          <w:color w:val="auto"/>
        </w:rPr>
      </w:pPr>
    </w:p>
    <w:p>
      <w:pPr>
        <w:ind w:left="503" w:right="14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5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227"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31"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40" w:type="dxa"/>
            <w:vAlign w:val="bottom"/>
            <w:gridSpan w:val="24"/>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440" w:type="dxa"/>
            <w:vAlign w:val="bottom"/>
            <w:gridSpan w:val="24"/>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SUMMARY RISK FACTORS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6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5"/>
                <w:szCs w:val="15"/>
                <w:color w:val="auto"/>
              </w:rPr>
            </w:pPr>
          </w:p>
        </w:tc>
        <w:tc>
          <w:tcPr>
            <w:tcW w:w="6600" w:type="dxa"/>
            <w:vAlign w:val="bottom"/>
            <w:gridSpan w:val="11"/>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11"/>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600" w:type="dxa"/>
            <w:vAlign w:val="bottom"/>
            <w:gridSpan w:val="11"/>
          </w:tcPr>
          <w:p>
            <w:pPr>
              <w:ind w:left="8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6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98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4"/>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40" w:type="dxa"/>
            <w:vAlign w:val="bottom"/>
            <w:gridSpan w:val="3"/>
          </w:tcPr>
          <w:p>
            <w:pPr>
              <w:spacing w:after="0" w:line="182" w:lineRule="exact"/>
              <w:rPr>
                <w:sz w:val="20"/>
                <w:szCs w:val="20"/>
                <w:color w:val="auto"/>
              </w:rPr>
            </w:pPr>
            <w:r>
              <w:rPr>
                <w:rFonts w:ascii="Arial" w:cs="Arial" w:eastAsia="Arial" w:hAnsi="Arial"/>
                <w:sz w:val="18"/>
                <w:szCs w:val="18"/>
                <w:color w:val="0000FF"/>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2920" w:type="dxa"/>
            <w:vAlign w:val="bottom"/>
            <w:gridSpan w:val="10"/>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Risk Factors</w:t>
            </w:r>
          </w:p>
        </w:tc>
        <w:tc>
          <w:tcPr>
            <w:tcW w:w="3360" w:type="dxa"/>
            <w:vAlign w:val="bottom"/>
            <w:gridSpan w:val="11"/>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280" w:type="dxa"/>
            <w:vAlign w:val="bottom"/>
            <w:gridSpan w:val="19"/>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Other Information</w:t>
            </w: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w w:val="93"/>
              </w:rPr>
              <w:t>SIGNATURES</w:t>
            </w:r>
          </w:p>
        </w:tc>
        <w:tc>
          <w:tcPr>
            <w:tcW w:w="640" w:type="dxa"/>
            <w:vAlign w:val="bottom"/>
            <w:tcBorders>
              <w:top w:val="single" w:sz="8" w:color="0000FF"/>
            </w:tcBorders>
          </w:tcPr>
          <w:p>
            <w:pPr>
              <w:spacing w:after="0"/>
              <w:rPr>
                <w:sz w:val="15"/>
                <w:szCs w:val="15"/>
                <w:color w:val="auto"/>
              </w:rPr>
            </w:pPr>
          </w:p>
        </w:tc>
        <w:tc>
          <w:tcPr>
            <w:tcW w:w="8660" w:type="dxa"/>
            <w:vAlign w:val="bottom"/>
            <w:gridSpan w:val="2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2" w:lineRule="exact"/>
        <w:rPr>
          <w:sz w:val="20"/>
          <w:szCs w:val="20"/>
          <w:color w:val="auto"/>
        </w:rPr>
      </w:pPr>
    </w:p>
    <w:p>
      <w:pPr>
        <w:ind w:right="3760"/>
        <w:spacing w:after="0" w:line="251" w:lineRule="auto"/>
        <w:rPr>
          <w:sz w:val="20"/>
          <w:szCs w:val="20"/>
          <w:color w:val="auto"/>
        </w:rPr>
      </w:pPr>
      <w:r>
        <w:rPr>
          <w:rFonts w:ascii="Arial" w:cs="Arial" w:eastAsia="Arial" w:hAnsi="Arial"/>
          <w:sz w:val="32"/>
          <w:szCs w:val="32"/>
          <w:b w:val="1"/>
          <w:bCs w:val="1"/>
          <w:color w:val="auto"/>
        </w:rPr>
        <w:t>ATEA PHARMACEUTICALS, INC. and Subsidiary Condensed Consolidated Balance Sheets</w:t>
      </w:r>
    </w:p>
    <w:p>
      <w:pPr>
        <w:spacing w:after="0" w:line="237"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962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r>
        <w:trPr>
          <w:trHeight w:val="170"/>
        </w:trPr>
        <w:tc>
          <w:tcPr>
            <w:tcW w:w="9620" w:type="dxa"/>
            <w:vAlign w:val="bottom"/>
          </w:tcPr>
          <w:p>
            <w:pPr>
              <w:jc w:val="right"/>
              <w:ind w:right="270"/>
              <w:spacing w:after="0" w:line="170" w:lineRule="exact"/>
              <w:rPr>
                <w:sz w:val="20"/>
                <w:szCs w:val="20"/>
                <w:color w:val="auto"/>
              </w:rPr>
            </w:pPr>
            <w:r>
              <w:rPr>
                <w:rFonts w:ascii="Arial" w:cs="Arial" w:eastAsia="Arial" w:hAnsi="Arial"/>
                <w:sz w:val="18"/>
                <w:szCs w:val="18"/>
                <w:b w:val="1"/>
                <w:bCs w:val="1"/>
                <w:color w:val="auto"/>
              </w:rPr>
              <w:t>March 31,</w:t>
            </w:r>
          </w:p>
        </w:tc>
        <w:tc>
          <w:tcPr>
            <w:tcW w:w="162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December 31,</w:t>
            </w:r>
          </w:p>
        </w:tc>
      </w:tr>
      <w:tr>
        <w:trPr>
          <w:trHeight w:val="247"/>
        </w:trPr>
        <w:tc>
          <w:tcPr>
            <w:tcW w:w="9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Current portion of operating lease liabilities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taxes payable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Stockholders’ equity:</w:t>
      </w:r>
    </w:p>
    <w:p>
      <w:pPr>
        <w:spacing w:after="0" w:line="9" w:lineRule="exact"/>
        <w:rPr>
          <w:sz w:val="20"/>
          <w:szCs w:val="20"/>
          <w:color w:val="auto"/>
        </w:rPr>
      </w:pPr>
    </w:p>
    <w:p>
      <w:pPr>
        <w:ind w:left="420" w:right="1080" w:hanging="149"/>
        <w:spacing w:after="0" w:line="229" w:lineRule="auto"/>
        <w:rPr>
          <w:sz w:val="20"/>
          <w:szCs w:val="20"/>
          <w:color w:val="auto"/>
        </w:rPr>
      </w:pPr>
      <w:r>
        <w:rPr>
          <w:rFonts w:ascii="Arial" w:cs="Arial" w:eastAsia="Arial" w:hAnsi="Arial"/>
          <w:sz w:val="18"/>
          <w:szCs w:val="18"/>
          <w:color w:val="auto"/>
        </w:rPr>
        <w:t>Preferred stock, $0.001 par value per share; 10,000,000 shares authorized; no shares issued and outstanding as of March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420" w:right="1420" w:hanging="149"/>
        <w:spacing w:after="0" w:line="219" w:lineRule="auto"/>
        <w:rPr>
          <w:sz w:val="20"/>
          <w:szCs w:val="20"/>
          <w:color w:val="auto"/>
        </w:rPr>
      </w:pPr>
      <w:r>
        <w:rPr>
          <w:rFonts w:ascii="Arial" w:cs="Arial" w:eastAsia="Arial" w:hAnsi="Arial"/>
          <w:sz w:val="18"/>
          <w:szCs w:val="18"/>
          <w:color w:val="auto"/>
        </w:rPr>
        <w:t>Common stock, $0.001 par value; 300,000,000 shares authorized as of March 31, 2022 and December 31, 2021;</w:t>
      </w:r>
    </w:p>
    <w:p>
      <w:pPr>
        <w:ind w:left="420" w:right="1780"/>
        <w:spacing w:after="0" w:line="248" w:lineRule="auto"/>
        <w:rPr>
          <w:sz w:val="20"/>
          <w:szCs w:val="20"/>
          <w:color w:val="auto"/>
        </w:rPr>
      </w:pPr>
      <w:r>
        <w:rPr>
          <w:rFonts w:ascii="Arial" w:cs="Arial" w:eastAsia="Arial" w:hAnsi="Arial"/>
          <w:sz w:val="17"/>
          <w:szCs w:val="17"/>
          <w:color w:val="auto"/>
        </w:rPr>
        <w:t>83,257,591 and 83,102,730 shares issued and outstanding as of March 31, 2022 and December 31, 2021, respectively</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stockholders’ equity</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705,545</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764,375</w:t>
            </w:r>
          </w:p>
        </w:tc>
      </w:tr>
      <w:tr>
        <w:trPr>
          <w:trHeight w:val="235"/>
        </w:trPr>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7,687</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r>
      <w:tr>
        <w:trPr>
          <w:trHeight w:val="191"/>
        </w:trPr>
        <w:tc>
          <w:tcPr>
            <w:tcW w:w="56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color w:val="auto"/>
              </w:rPr>
              <w:t>713,232</w:t>
            </w:r>
          </w:p>
        </w:tc>
        <w:tc>
          <w:tcPr>
            <w:tcW w:w="68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color w:val="auto"/>
              </w:rPr>
              <w:t>772,403</w:t>
            </w:r>
          </w:p>
        </w:tc>
      </w:tr>
      <w:tr>
        <w:trPr>
          <w:trHeight w:val="216"/>
        </w:trPr>
        <w:tc>
          <w:tcPr>
            <w:tcW w:w="5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762</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305</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5"/>
        </w:trPr>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2,890</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9"/>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717,189</w:t>
            </w: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772,892</w:t>
            </w:r>
          </w:p>
        </w:tc>
      </w:tr>
      <w:tr>
        <w:trPr>
          <w:trHeight w:val="623"/>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3,657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4,534</w:t>
            </w:r>
          </w:p>
        </w:tc>
      </w:tr>
      <w:tr>
        <w:trPr>
          <w:trHeight w:val="216"/>
        </w:trPr>
        <w:tc>
          <w:tcPr>
            <w:tcW w:w="5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24,840</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52,152</w:t>
            </w:r>
          </w:p>
        </w:tc>
      </w:tr>
      <w:tr>
        <w:trPr>
          <w:trHeight w:val="235"/>
        </w:trPr>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191"/>
        </w:trPr>
        <w:tc>
          <w:tcPr>
            <w:tcW w:w="560" w:type="dxa"/>
            <w:vAlign w:val="bottom"/>
          </w:tcPr>
          <w:p>
            <w:pPr>
              <w:spacing w:after="0"/>
              <w:rPr>
                <w:sz w:val="16"/>
                <w:szCs w:val="16"/>
                <w:color w:val="auto"/>
              </w:rPr>
            </w:pPr>
          </w:p>
        </w:tc>
        <w:tc>
          <w:tcPr>
            <w:tcW w:w="1220" w:type="dxa"/>
            <w:vAlign w:val="bottom"/>
          </w:tcPr>
          <w:p>
            <w:pPr>
              <w:jc w:val="right"/>
              <w:ind w:right="70"/>
              <w:spacing w:after="0" w:line="191" w:lineRule="exact"/>
              <w:rPr>
                <w:sz w:val="20"/>
                <w:szCs w:val="20"/>
                <w:color w:val="auto"/>
              </w:rPr>
            </w:pPr>
            <w:r>
              <w:rPr>
                <w:rFonts w:ascii="Arial" w:cs="Arial" w:eastAsia="Arial" w:hAnsi="Arial"/>
                <w:sz w:val="18"/>
                <w:szCs w:val="18"/>
                <w:color w:val="auto"/>
              </w:rPr>
              <w:t>28,610</w:t>
            </w:r>
          </w:p>
        </w:tc>
        <w:tc>
          <w:tcPr>
            <w:tcW w:w="68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color w:val="auto"/>
              </w:rPr>
              <w:t>56,883</w:t>
            </w:r>
          </w:p>
        </w:tc>
      </w:tr>
      <w:tr>
        <w:trPr>
          <w:trHeight w:val="216"/>
        </w:trPr>
        <w:tc>
          <w:tcPr>
            <w:tcW w:w="5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2,763</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5,932</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w:t>
            </w:r>
          </w:p>
        </w:tc>
      </w:tr>
      <w:tr>
        <w:trPr>
          <w:trHeight w:val="210"/>
        </w:trPr>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37,305</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62,815</w:t>
            </w:r>
          </w:p>
        </w:tc>
      </w:tr>
      <w:tr>
        <w:trPr>
          <w:trHeight w:val="1023"/>
        </w:trPr>
        <w:tc>
          <w:tcPr>
            <w:tcW w:w="56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60"/>
        </w:trPr>
        <w:tc>
          <w:tcPr>
            <w:tcW w:w="56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665,848</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653,964</w:t>
            </w:r>
          </w:p>
        </w:tc>
      </w:tr>
      <w:tr>
        <w:trPr>
          <w:trHeight w:val="235"/>
        </w:trPr>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13,953</w:t>
            </w: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56,030</w:t>
            </w:r>
          </w:p>
        </w:tc>
      </w:tr>
      <w:tr>
        <w:trPr>
          <w:trHeight w:val="209"/>
        </w:trPr>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679,884</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710,077</w:t>
            </w:r>
          </w:p>
        </w:tc>
      </w:tr>
      <w:tr>
        <w:trPr>
          <w:trHeight w:val="232"/>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717,189</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772,892</w:t>
            </w:r>
          </w:p>
        </w:tc>
      </w:tr>
    </w:tbl>
    <w:p>
      <w:pPr>
        <w:spacing w:after="0" w:line="153" w:lineRule="exact"/>
        <w:rPr>
          <w:sz w:val="20"/>
          <w:szCs w:val="20"/>
          <w:color w:val="auto"/>
        </w:rPr>
      </w:pPr>
    </w:p>
    <w:p>
      <w:pPr>
        <w:sectPr>
          <w:pgSz w:w="11900" w:h="16838" w:orient="portrait"/>
          <w:cols w:equalWidth="0" w:num="2">
            <w:col w:w="6920" w:space="720"/>
            <w:col w:w="3600"/>
          </w:cols>
          <w:pgMar w:left="320" w:top="323" w:right="3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1880" w:type="dxa"/>
            <w:vAlign w:val="bottom"/>
            <w:gridSpan w:val="2"/>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8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w w:val="99"/>
              </w:rPr>
              <w:t>Three Months Ended</w:t>
            </w:r>
          </w:p>
        </w:tc>
      </w:tr>
      <w:tr>
        <w:trPr>
          <w:trHeight w:val="235"/>
        </w:trPr>
        <w:tc>
          <w:tcPr>
            <w:tcW w:w="7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7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65,985</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29,633</w:t>
            </w:r>
          </w:p>
        </w:tc>
        <w:tc>
          <w:tcPr>
            <w:tcW w:w="6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26,571</w:t>
            </w: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12,542</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8,759</w:t>
            </w:r>
          </w:p>
        </w:tc>
      </w:tr>
      <w:tr>
        <w:trPr>
          <w:trHeight w:val="210"/>
        </w:trPr>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42,175</w:t>
            </w:r>
          </w:p>
        </w:tc>
        <w:tc>
          <w:tcPr>
            <w:tcW w:w="6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35,330</w:t>
            </w: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(42,175 )</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30,655</w:t>
            </w: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98</w:t>
            </w:r>
          </w:p>
        </w:tc>
        <w:tc>
          <w:tcPr>
            <w:tcW w:w="6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(42,077 )</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30,713</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(42,077 )</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30,713</w:t>
            </w:r>
          </w:p>
        </w:tc>
      </w:tr>
      <w:tr>
        <w:trPr>
          <w:trHeight w:val="164"/>
        </w:trPr>
        <w:tc>
          <w:tcPr>
            <w:tcW w:w="764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w:t>
            </w:r>
          </w:p>
        </w:tc>
        <w:tc>
          <w:tcPr>
            <w:tcW w:w="4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r>
      <w:tr>
        <w:trPr>
          <w:trHeight w:val="235"/>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stockholders</w:t>
            </w: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(0.51 )</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(0.51 )</w:t>
            </w:r>
          </w:p>
        </w:tc>
        <w:tc>
          <w:tcPr>
            <w:tcW w:w="6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83,176,408</w:t>
            </w:r>
          </w:p>
        </w:tc>
        <w:tc>
          <w:tcPr>
            <w:tcW w:w="6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82,577,836</w:t>
            </w:r>
          </w:p>
        </w:tc>
      </w:tr>
      <w:tr>
        <w:trPr>
          <w:trHeight w:val="237"/>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83,176,408</w:t>
            </w: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89,099,075</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3"/>
                <w:szCs w:val="13"/>
                <w:color w:val="auto"/>
              </w:rPr>
            </w:pPr>
          </w:p>
        </w:tc>
        <w:tc>
          <w:tcPr>
            <w:tcW w:w="9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3"/>
                <w:szCs w:val="13"/>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3"/>
                <w:szCs w:val="13"/>
                <w:color w:val="auto"/>
              </w:rPr>
            </w:pPr>
          </w:p>
        </w:tc>
        <w:tc>
          <w:tcPr>
            <w:tcW w:w="1180" w:type="dxa"/>
            <w:vAlign w:val="bottom"/>
          </w:tcPr>
          <w:p>
            <w:pPr>
              <w:jc w:val="right"/>
              <w:ind w:right="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Paid-in</w:t>
            </w:r>
          </w:p>
        </w:tc>
        <w:tc>
          <w:tcPr>
            <w:tcW w:w="4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2021</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83,102,730</w:t>
            </w:r>
          </w:p>
        </w:tc>
        <w:tc>
          <w:tcPr>
            <w:tcW w:w="4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653,964</w:t>
            </w:r>
          </w:p>
        </w:tc>
        <w:tc>
          <w:tcPr>
            <w:tcW w:w="4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56,030</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710,077</w:t>
            </w:r>
          </w:p>
        </w:tc>
        <w:tc>
          <w:tcPr>
            <w:tcW w:w="0" w:type="dxa"/>
            <w:vAlign w:val="bottom"/>
          </w:tcPr>
          <w:p>
            <w:pPr>
              <w:spacing w:after="0"/>
              <w:rPr>
                <w:sz w:val="1"/>
                <w:szCs w:val="1"/>
                <w:color w:val="auto"/>
              </w:rPr>
            </w:pPr>
          </w:p>
        </w:tc>
      </w:tr>
      <w:tr>
        <w:trPr>
          <w:trHeight w:val="153"/>
        </w:trPr>
        <w:tc>
          <w:tcPr>
            <w:tcW w:w="436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exercise of</w:t>
            </w:r>
          </w:p>
        </w:tc>
        <w:tc>
          <w:tcPr>
            <w:tcW w:w="1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154,861</w:t>
            </w:r>
          </w:p>
        </w:tc>
        <w:tc>
          <w:tcPr>
            <w:tcW w:w="440" w:type="dxa"/>
            <w:vAlign w:val="bottom"/>
          </w:tcPr>
          <w:p>
            <w:pPr>
              <w:spacing w:after="0"/>
              <w:rPr>
                <w:sz w:val="13"/>
                <w:szCs w:val="13"/>
                <w:color w:val="auto"/>
              </w:rPr>
            </w:pPr>
          </w:p>
        </w:tc>
        <w:tc>
          <w:tcPr>
            <w:tcW w:w="88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980" w:type="dxa"/>
            <w:vAlign w:val="bottom"/>
          </w:tcPr>
          <w:p>
            <w:pPr>
              <w:jc w:val="right"/>
              <w:ind w:right="48"/>
              <w:spacing w:after="0" w:line="153" w:lineRule="exact"/>
              <w:rPr>
                <w:sz w:val="20"/>
                <w:szCs w:val="20"/>
                <w:color w:val="auto"/>
              </w:rPr>
            </w:pPr>
            <w:r>
              <w:rPr>
                <w:rFonts w:ascii="Arial" w:cs="Arial" w:eastAsia="Arial" w:hAnsi="Arial"/>
                <w:sz w:val="14"/>
                <w:szCs w:val="14"/>
                <w:color w:val="auto"/>
              </w:rPr>
              <w:t>223</w:t>
            </w:r>
          </w:p>
        </w:tc>
        <w:tc>
          <w:tcPr>
            <w:tcW w:w="460" w:type="dxa"/>
            <w:vAlign w:val="bottom"/>
          </w:tcPr>
          <w:p>
            <w:pPr>
              <w:spacing w:after="0"/>
              <w:rPr>
                <w:sz w:val="13"/>
                <w:szCs w:val="13"/>
                <w:color w:val="auto"/>
              </w:rPr>
            </w:pPr>
          </w:p>
        </w:tc>
        <w:tc>
          <w:tcPr>
            <w:tcW w:w="104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80" w:type="dxa"/>
            <w:vAlign w:val="bottom"/>
          </w:tcPr>
          <w:p>
            <w:pPr>
              <w:jc w:val="right"/>
              <w:ind w:right="8"/>
              <w:spacing w:after="0" w:line="153"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1"/>
        </w:trPr>
        <w:tc>
          <w:tcPr>
            <w:tcW w:w="436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11,661</w:t>
            </w:r>
          </w:p>
        </w:tc>
        <w:tc>
          <w:tcPr>
            <w:tcW w:w="4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11,661</w:t>
            </w:r>
          </w:p>
        </w:tc>
        <w:tc>
          <w:tcPr>
            <w:tcW w:w="0" w:type="dxa"/>
            <w:vAlign w:val="bottom"/>
          </w:tcPr>
          <w:p>
            <w:pPr>
              <w:spacing w:after="0"/>
              <w:rPr>
                <w:sz w:val="1"/>
                <w:szCs w:val="1"/>
                <w:color w:val="auto"/>
              </w:rPr>
            </w:pPr>
          </w:p>
        </w:tc>
      </w:tr>
      <w:tr>
        <w:trPr>
          <w:trHeight w:val="176"/>
        </w:trPr>
        <w:tc>
          <w:tcPr>
            <w:tcW w:w="43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(42,077 )</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(42,077 )</w:t>
            </w: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Balance—March 31, 2022</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83,257,591</w:t>
            </w:r>
          </w:p>
        </w:tc>
        <w:tc>
          <w:tcPr>
            <w:tcW w:w="4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665,848</w:t>
            </w:r>
          </w:p>
        </w:tc>
        <w:tc>
          <w:tcPr>
            <w:tcW w:w="4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13,953</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679,884</w:t>
            </w: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2"/>
                <w:szCs w:val="12"/>
                <w:color w:val="auto"/>
              </w:rPr>
            </w:pPr>
          </w:p>
        </w:tc>
        <w:tc>
          <w:tcPr>
            <w:tcW w:w="96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Additional</w:t>
            </w:r>
          </w:p>
        </w:tc>
        <w:tc>
          <w:tcPr>
            <w:tcW w:w="320" w:type="dxa"/>
            <w:vAlign w:val="bottom"/>
          </w:tcPr>
          <w:p>
            <w:pPr>
              <w:spacing w:after="0"/>
              <w:rPr>
                <w:sz w:val="12"/>
                <w:szCs w:val="12"/>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2020</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82,436,937</w:t>
            </w:r>
          </w:p>
        </w:tc>
        <w:tc>
          <w:tcPr>
            <w:tcW w:w="4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612,879</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(65,160 )</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547,801</w:t>
            </w:r>
          </w:p>
        </w:tc>
        <w:tc>
          <w:tcPr>
            <w:tcW w:w="0" w:type="dxa"/>
            <w:vAlign w:val="bottom"/>
          </w:tcPr>
          <w:p>
            <w:pPr>
              <w:spacing w:after="0"/>
              <w:rPr>
                <w:sz w:val="1"/>
                <w:szCs w:val="1"/>
                <w:color w:val="auto"/>
              </w:rPr>
            </w:pPr>
          </w:p>
        </w:tc>
      </w:tr>
      <w:tr>
        <w:trPr>
          <w:trHeight w:val="139"/>
        </w:trPr>
        <w:tc>
          <w:tcPr>
            <w:tcW w:w="436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12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300,000</w:t>
            </w:r>
          </w:p>
        </w:tc>
        <w:tc>
          <w:tcPr>
            <w:tcW w:w="440" w:type="dxa"/>
            <w:vAlign w:val="bottom"/>
          </w:tcPr>
          <w:p>
            <w:pPr>
              <w:spacing w:after="0"/>
              <w:rPr>
                <w:sz w:val="12"/>
                <w:szCs w:val="12"/>
                <w:color w:val="auto"/>
              </w:rPr>
            </w:pPr>
          </w:p>
        </w:tc>
        <w:tc>
          <w:tcPr>
            <w:tcW w:w="880" w:type="dxa"/>
            <w:vAlign w:val="bottom"/>
          </w:tcPr>
          <w:p>
            <w:pPr>
              <w:jc w:val="right"/>
              <w:ind w:right="8"/>
              <w:spacing w:after="0" w:line="13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960" w:type="dxa"/>
            <w:vAlign w:val="bottom"/>
          </w:tcPr>
          <w:p>
            <w:pPr>
              <w:jc w:val="right"/>
              <w:ind w:right="48"/>
              <w:spacing w:after="0" w:line="139" w:lineRule="exact"/>
              <w:rPr>
                <w:sz w:val="20"/>
                <w:szCs w:val="20"/>
                <w:color w:val="auto"/>
              </w:rPr>
            </w:pPr>
            <w:r>
              <w:rPr>
                <w:rFonts w:ascii="Arial" w:cs="Arial" w:eastAsia="Arial" w:hAnsi="Arial"/>
                <w:sz w:val="14"/>
                <w:szCs w:val="14"/>
                <w:color w:val="auto"/>
              </w:rPr>
              <w:t>470</w:t>
            </w:r>
          </w:p>
        </w:tc>
        <w:tc>
          <w:tcPr>
            <w:tcW w:w="320" w:type="dxa"/>
            <w:vAlign w:val="bottom"/>
          </w:tcPr>
          <w:p>
            <w:pPr>
              <w:spacing w:after="0"/>
              <w:rPr>
                <w:sz w:val="12"/>
                <w:szCs w:val="12"/>
                <w:color w:val="auto"/>
              </w:rPr>
            </w:pPr>
          </w:p>
        </w:tc>
        <w:tc>
          <w:tcPr>
            <w:tcW w:w="1200" w:type="dxa"/>
            <w:vAlign w:val="bottom"/>
          </w:tcPr>
          <w:p>
            <w:pPr>
              <w:jc w:val="right"/>
              <w:ind w:right="88"/>
              <w:spacing w:after="0" w:line="13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5"/>
        </w:trPr>
        <w:tc>
          <w:tcPr>
            <w:tcW w:w="4360" w:type="dxa"/>
            <w:vAlign w:val="bottom"/>
          </w:tcPr>
          <w:p>
            <w:pPr>
              <w:ind w:left="320"/>
              <w:spacing w:after="0"/>
              <w:rPr>
                <w:sz w:val="20"/>
                <w:szCs w:val="20"/>
                <w:color w:val="auto"/>
              </w:rPr>
            </w:pPr>
            <w:r>
              <w:rPr>
                <w:rFonts w:ascii="Arial" w:cs="Arial" w:eastAsia="Arial" w:hAnsi="Arial"/>
                <w:sz w:val="14"/>
                <w:szCs w:val="14"/>
                <w:color w:val="auto"/>
              </w:rPr>
              <w:t>stock options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7,273</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7,273</w:t>
            </w:r>
          </w:p>
        </w:tc>
        <w:tc>
          <w:tcPr>
            <w:tcW w:w="0" w:type="dxa"/>
            <w:vAlign w:val="bottom"/>
          </w:tcPr>
          <w:p>
            <w:pPr>
              <w:spacing w:after="0"/>
              <w:rPr>
                <w:sz w:val="1"/>
                <w:szCs w:val="1"/>
                <w:color w:val="auto"/>
              </w:rPr>
            </w:pPr>
          </w:p>
        </w:tc>
      </w:tr>
      <w:tr>
        <w:trPr>
          <w:trHeight w:val="176"/>
        </w:trPr>
        <w:tc>
          <w:tcPr>
            <w:tcW w:w="43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30,713</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Balance—March 31, 2021</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82,736,937</w:t>
            </w:r>
          </w:p>
        </w:tc>
        <w:tc>
          <w:tcPr>
            <w:tcW w:w="4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620,622</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(34,447 )</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586,258</w:t>
            </w: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ind w:right="3200"/>
        <w:spacing w:after="0" w:line="256" w:lineRule="auto"/>
        <w:rPr>
          <w:sz w:val="20"/>
          <w:szCs w:val="20"/>
          <w:color w:val="auto"/>
        </w:rPr>
      </w:pPr>
      <w:r>
        <w:rPr>
          <w:rFonts w:ascii="Arial" w:cs="Arial" w:eastAsia="Arial" w:hAnsi="Arial"/>
          <w:sz w:val="32"/>
          <w:szCs w:val="32"/>
          <w:b w:val="1"/>
          <w:bCs w:val="1"/>
          <w:color w:val="auto"/>
        </w:rPr>
        <w:t>ATEA PHARMACEUTICALS, INC. and Subsidiary Condensed Consolidated Statements of Cash Flows</w:t>
      </w:r>
    </w:p>
    <w:p>
      <w:pPr>
        <w:spacing w:after="0" w:line="235" w:lineRule="auto"/>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900" w:type="dxa"/>
            <w:vAlign w:val="bottom"/>
            <w:gridSpan w:val="2"/>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gridSpan w:val="2"/>
          </w:tcPr>
          <w:p>
            <w:pPr>
              <w:jc w:val="right"/>
              <w:ind w:right="10"/>
              <w:spacing w:after="0" w:line="170" w:lineRule="exact"/>
              <w:rPr>
                <w:sz w:val="20"/>
                <w:szCs w:val="20"/>
                <w:color w:val="auto"/>
              </w:rPr>
            </w:pPr>
            <w:r>
              <w:rPr>
                <w:rFonts w:ascii="Arial" w:cs="Arial" w:eastAsia="Arial" w:hAnsi="Arial"/>
                <w:sz w:val="18"/>
                <w:szCs w:val="18"/>
                <w:b w:val="1"/>
                <w:bCs w:val="1"/>
                <w:color w:val="auto"/>
                <w:w w:val="99"/>
              </w:rPr>
              <w:t>Three Months Ended</w:t>
            </w:r>
          </w:p>
        </w:tc>
      </w:tr>
      <w:tr>
        <w:trPr>
          <w:trHeight w:val="235"/>
        </w:trPr>
        <w:tc>
          <w:tcPr>
            <w:tcW w:w="76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7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(42,077 )</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30,713</w:t>
            </w:r>
          </w:p>
        </w:tc>
      </w:tr>
      <w:tr>
        <w:trPr>
          <w:trHeight w:val="170"/>
        </w:trPr>
        <w:tc>
          <w:tcPr>
            <w:tcW w:w="764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Adjustments to reconcile net income (loss) to net cash used in</w:t>
            </w:r>
          </w:p>
        </w:tc>
        <w:tc>
          <w:tcPr>
            <w:tcW w:w="5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235"/>
        </w:trPr>
        <w:tc>
          <w:tcPr>
            <w:tcW w:w="7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5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11,661</w:t>
            </w:r>
          </w:p>
        </w:tc>
        <w:tc>
          <w:tcPr>
            <w:tcW w:w="6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7,273</w:t>
            </w: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lease expense</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Depreciation and amortization expense</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6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1,151</w:t>
            </w: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(356 )</w:t>
            </w: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(877 )</w:t>
            </w:r>
          </w:p>
        </w:tc>
        <w:tc>
          <w:tcPr>
            <w:tcW w:w="6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3,732</w:t>
            </w: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(28,014 )</w:t>
            </w: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6,628</w:t>
            </w: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(65,985 )</w:t>
            </w:r>
          </w:p>
        </w:tc>
      </w:tr>
      <w:tr>
        <w:trPr>
          <w:trHeight w:val="209"/>
        </w:trPr>
        <w:tc>
          <w:tcPr>
            <w:tcW w:w="7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(59,009 )</w:t>
            </w: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(16,837 )</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Additions to property and equipment</w:t>
            </w:r>
          </w:p>
        </w:tc>
        <w:tc>
          <w:tcPr>
            <w:tcW w:w="5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764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5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471</w:t>
            </w:r>
          </w:p>
        </w:tc>
      </w:tr>
      <w:tr>
        <w:trPr>
          <w:trHeight w:val="210"/>
        </w:trPr>
        <w:tc>
          <w:tcPr>
            <w:tcW w:w="764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(58,830 )</w:t>
            </w: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(16,366 )</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764,680</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850,224</w:t>
            </w:r>
          </w:p>
        </w:tc>
      </w:tr>
      <w:tr>
        <w:trPr>
          <w:trHeight w:val="21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705,850</w:t>
            </w:r>
          </w:p>
        </w:tc>
        <w:tc>
          <w:tcPr>
            <w:tcW w:w="6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833,858</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705,545</w:t>
            </w:r>
          </w:p>
        </w:tc>
        <w:tc>
          <w:tcPr>
            <w:tcW w:w="6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833,751</w:t>
            </w: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30"/>
        </w:trPr>
        <w:tc>
          <w:tcPr>
            <w:tcW w:w="7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cash, cash equivalents and restricted cash</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705,850</w:t>
            </w:r>
          </w:p>
        </w:tc>
        <w:tc>
          <w:tcPr>
            <w:tcW w:w="6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833,858</w:t>
            </w:r>
          </w:p>
        </w:tc>
      </w:tr>
    </w:tbl>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Property and equipment purchases unpaid at period end</w:t>
            </w:r>
          </w:p>
        </w:tc>
        <w:tc>
          <w:tcPr>
            <w:tcW w:w="19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702</w:t>
            </w:r>
          </w:p>
        </w:tc>
        <w:tc>
          <w:tcPr>
            <w:tcW w:w="88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6340" w:type="dxa"/>
            <w:vAlign w:val="bottom"/>
          </w:tcPr>
          <w:p>
            <w:pPr>
              <w:ind w:left="520"/>
              <w:spacing w:after="0" w:line="170" w:lineRule="exact"/>
              <w:rPr>
                <w:sz w:val="20"/>
                <w:szCs w:val="20"/>
                <w:color w:val="auto"/>
              </w:rPr>
            </w:pPr>
            <w:r>
              <w:rPr>
                <w:rFonts w:ascii="Arial" w:cs="Arial" w:eastAsia="Arial" w:hAnsi="Arial"/>
                <w:sz w:val="18"/>
                <w:szCs w:val="18"/>
                <w:color w:val="auto"/>
              </w:rPr>
              <w:t>Right of use assets obtained in exchange for operating</w:t>
            </w:r>
          </w:p>
        </w:tc>
        <w:tc>
          <w:tcPr>
            <w:tcW w:w="194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2,938</w:t>
            </w:r>
          </w:p>
        </w:tc>
        <w:tc>
          <w:tcPr>
            <w:tcW w:w="88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lease liabilities</w:t>
            </w:r>
          </w:p>
        </w:tc>
        <w:tc>
          <w:tcPr>
            <w:tcW w:w="194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0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severe viral infections.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7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w:t>
      </w:r>
    </w:p>
    <w:p>
      <w:pPr>
        <w:spacing w:after="0" w:line="1"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The terms of any financing may adversely affect the holdings or the rights of the Company’s existing stockholders. The Company believes that its cash and cash equivalents of $705,545 as of March 31, 2022 will be sufficient to fund its operations as currently planned through at least twelve months from the issuance of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SEC rules and regulations. Accordingly, these unaudited condensed consolidated financial statements should be read in conjunction with the Company’s audited consolidated financial statements and the notes thereto for the year ended December 31, 2021 included in the Company’s Annual Report on Form 10-K filed with the SEC on February 28, 2022.</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2"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accompanying condensed consolidated balance sheet as of March 31, 2022, the condensed consolidated statements of operations and comprehensive income (loss) for the three months ended March 31, 2022 and 2021, the condensed consolidated statements of stockholders’ equity for the three months ended March 31, 2022 and 2021, and the condensed consolidated statements of cash flows for the three months ended March 31, 2022 and 2021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2022, the results of its operations for the three months ended March 31, 2022 and 2021 and its cash flows for the three months ended March 31, 2022 and 2021. The results for the three months ended March 31, 2022 are not necessarily indicative of results to be expected for the year ending December 31, 2022, or any other interim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accrued research and development expenses, valuation of stock-based awards, valuation of operating lease right-of-use assets and lease liabilities and income taxes. Changes in estimates are recorded in the period in which they become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unaudited condensed consolidated financial statements include the accounts of Atea Pharmaceuticals, Inc. and its wholly owned subsidiary, Atea Pharmaceuticals Securities Corporation. All intercompany amounts have been eliminated in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2021 filed with the SEC on February 28,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jc w:val="both"/>
        <w:ind w:right="480"/>
        <w:spacing w:after="0" w:line="261" w:lineRule="auto"/>
        <w:rPr>
          <w:sz w:val="20"/>
          <w:szCs w:val="20"/>
          <w:color w:val="auto"/>
        </w:rPr>
      </w:pPr>
      <w:r>
        <w:rPr>
          <w:rFonts w:ascii="Arial" w:cs="Arial" w:eastAsia="Arial" w:hAnsi="Arial"/>
          <w:sz w:val="18"/>
          <w:szCs w:val="18"/>
          <w:color w:val="auto"/>
        </w:rPr>
        <w:t>From time to time, new accounting pronouncements are issued by the Financial Accounting Standard Board (“FASB”) or other standard setting bodies that the Company adopts as of the specified effective date. The Company does not believe that the adoption of recently issued standards have or may have a material impact on its consolidated financial statements and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October 2020, the Company entered into a License Agreement (the “Roche License Agreement”) with F. Hoffmann-LaRoche Ltd. and Genentech, Inc. (together, “Roche”) under which the Company granted an exclusive license for certain development and commercialization rights related to bemnifosbuvir outside of the United States (other than for certain HCV uses) to Roche.</w:t>
      </w:r>
    </w:p>
    <w:p>
      <w:pPr>
        <w:spacing w:after="0" w:line="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November 12, 2021, Roche provided the Company with a notice of termination of the Roche License Agreement. Under the terms of the Roche License Agreement, the termination was effective in February 2022. Upon termination, the rights and licenses granted by the Company to Roche under the Roche License Agreement were returned to the Company, resulting in the Company having all rights to continue the clinical development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1" w:name="page12"/>
    <w:bookmarkEnd w:id="11"/>
    <w:p>
      <w:pPr>
        <w:ind w:right="300"/>
        <w:spacing w:after="0" w:line="287" w:lineRule="auto"/>
        <w:rPr>
          <w:sz w:val="20"/>
          <w:szCs w:val="20"/>
          <w:color w:val="auto"/>
        </w:rPr>
      </w:pPr>
      <w:r>
        <w:rPr>
          <w:rFonts w:ascii="Arial" w:cs="Arial" w:eastAsia="Arial" w:hAnsi="Arial"/>
          <w:sz w:val="18"/>
          <w:szCs w:val="18"/>
          <w:color w:val="auto"/>
        </w:rPr>
        <w:t>and future commercialization of bemnifosbuvir worldwide. Global development plan activities and related cost sharing between the parties continued through the effective date of the termination.</w:t>
      </w:r>
    </w:p>
    <w:p>
      <w:pPr>
        <w:spacing w:after="0" w:line="31"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The Company concluded that the notice of termination represented a contract modification for accounting purposes. The Company further concluded that upon receipt of the notice of termination, all of the Company's performance obligations had been completely satisfied. As a result, the Company recognized all remaining deferred revenue as collaboration revenue within the consolidated statements of operations and comprehensive income (loss) for the year ended December 31, 2021.</w:t>
      </w:r>
    </w:p>
    <w:p>
      <w:pPr>
        <w:spacing w:after="0" w:line="6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classified all revenues recognized under the Roche License Agreement as collaboration revenue within the accompanying consolidated statements of operations and comprehensive income (loss). For the three months ended March 31, 2021, the Company recognized collaboration revenue of $65,985 related to the Roche License Agreement.</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activities to complete the global development plan were accounted for under ASC 808. Expenses incurred and reimbursements made or received from Roche were accounted for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was expensing costs as incurred, including any reimbursements made to Roche, and recognizing reimbursement received from Roche as a reduction of research and development expense through the effective date of the termination.</w:t>
      </w:r>
    </w:p>
    <w:p>
      <w:pPr>
        <w:spacing w:after="0" w:line="62"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For the three months ended March 31, 2022 and 2021, costs reimbursable by Roche, which are reflected as a reduction to operating expenses were $845 and $3,419, respectively. The Company recorded research and development expense of $9,578 and $14,517 during the three months ended March 31, 2022 and 2021, respectively, related to its share of costs incurred by Roche. As of March 31, 2022 and December 31, 2021, the Company recorded accrued expenses of $8,733 and $10,417, respectively, related to amounts payable to Roche pursuant to the cost share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0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173"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March 31, 2022</w:t>
            </w:r>
          </w:p>
        </w:tc>
      </w:tr>
      <w:tr>
        <w:trPr>
          <w:trHeight w:val="209"/>
        </w:trPr>
        <w:tc>
          <w:tcPr>
            <w:tcW w:w="5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656,853</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656,853</w:t>
            </w:r>
          </w:p>
        </w:tc>
      </w:tr>
      <w:tr>
        <w:trPr>
          <w:trHeight w:val="210"/>
        </w:trPr>
        <w:tc>
          <w:tcPr>
            <w:tcW w:w="5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656,853</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656,853</w:t>
            </w:r>
          </w:p>
        </w:tc>
      </w:tr>
      <w:tr>
        <w:trPr>
          <w:trHeight w:val="68"/>
        </w:trPr>
        <w:tc>
          <w:tcPr>
            <w:tcW w:w="57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150"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 2021</w:t>
            </w:r>
          </w:p>
        </w:tc>
      </w:tr>
      <w:tr>
        <w:trPr>
          <w:trHeight w:val="210"/>
        </w:trPr>
        <w:tc>
          <w:tcPr>
            <w:tcW w:w="5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731,767</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731,767</w:t>
            </w:r>
          </w:p>
        </w:tc>
      </w:tr>
      <w:tr>
        <w:trPr>
          <w:trHeight w:val="210"/>
        </w:trPr>
        <w:tc>
          <w:tcPr>
            <w:tcW w:w="5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731,767</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731,767</w:t>
            </w:r>
          </w:p>
        </w:tc>
      </w:tr>
      <w:tr>
        <w:trPr>
          <w:trHeight w:val="68"/>
        </w:trPr>
        <w:tc>
          <w:tcPr>
            <w:tcW w:w="57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30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unaudited condensed consolidated balance sheets as of March 31, 2022 and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three months ended March 31, 2022 and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70"/>
              <w:spacing w:after="0" w:line="170"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4"/>
                <w:szCs w:val="14"/>
                <w:color w:val="auto"/>
              </w:rPr>
            </w:pPr>
          </w:p>
        </w:tc>
        <w:tc>
          <w:tcPr>
            <w:tcW w:w="142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December 31,</w:t>
            </w:r>
          </w:p>
        </w:tc>
      </w:tr>
      <w:tr>
        <w:trPr>
          <w:trHeight w:val="235"/>
        </w:trPr>
        <w:tc>
          <w:tcPr>
            <w:tcW w:w="7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including manufacturing and clinical expenditures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17,280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18,080</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License fee</w:t>
            </w:r>
          </w:p>
        </w:tc>
        <w:tc>
          <w:tcPr>
            <w:tcW w:w="4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2,572</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Payroll and payroll related</w:t>
            </w:r>
          </w:p>
        </w:tc>
        <w:tc>
          <w:tcPr>
            <w:tcW w:w="4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1,914</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3,074</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r>
      <w:tr>
        <w:trPr>
          <w:trHeight w:val="210"/>
        </w:trPr>
        <w:tc>
          <w:tcPr>
            <w:tcW w:w="7640" w:type="dxa"/>
            <w:vAlign w:val="bottom"/>
          </w:tcPr>
          <w:p>
            <w:pPr>
              <w:ind w:left="280"/>
              <w:spacing w:after="0"/>
              <w:rPr>
                <w:sz w:val="20"/>
                <w:szCs w:val="20"/>
                <w:color w:val="auto"/>
              </w:rPr>
            </w:pPr>
            <w:r>
              <w:rPr>
                <w:rFonts w:ascii="Arial" w:cs="Arial" w:eastAsia="Arial" w:hAnsi="Arial"/>
                <w:sz w:val="18"/>
                <w:szCs w:val="18"/>
                <w:color w:val="auto"/>
              </w:rPr>
              <w:t>Total accrued expenses and other current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24,840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52,152</w:t>
            </w:r>
          </w:p>
        </w:tc>
      </w:tr>
      <w:tr>
        <w:trPr>
          <w:trHeight w:val="68"/>
        </w:trPr>
        <w:tc>
          <w:tcPr>
            <w:tcW w:w="76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At March 31, 2022, the authorized capital of the Company included 300,000,000 shares of common stock, of which 83,257,591 shares of common stock were issued and outstanding. On all matters to be voted upon by the holders of common stock, holders of common stock are entitled to one vote per share. The holders of common stock have no preemptive, redemption or conversion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October 2020, the Company’s stockholders approved the Company’s 2020 Incentive Award Plan (the “2020 Plan”). The 2020 Plan provided for the initial issuance of up to 7,924,000 shares of common stock and for grant of incentive stock options or other incentive awards to employees, officers, directors and consultants of the Company. The number of shares of common stock that may be issued under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2020 Plan is also subject to increase on the first day of each calendar year equal to the lesser of i) 5% of the aggregate number of shares of common stock outstanding on the final day of the immediately preceding calendar year or ii) such smaller number of shares of common stock as is determined by the board of directors. In January 2022 and 2021, the shares of common stock available for issuance under the 2020 Plan were increased by 4,155,136 and 4,130,847 shares,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2020 Plan replaced and is the successor of the 2013 Equity Incentive Plan, as amended (the “2013 Plan”). Any cancellation of</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outstanding option awards to purchase up to 5,982,266 shares of common stock under the 2013 Plan will be made available for grant under 2020 Plan.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there were 8,373,712 shares of common stock remaining available for future issuance under the 2020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During the three months ended March 31, 2022 and 2021, the Company granted 2,900,833 and 2,212,250 options, respectively, to employees with an aggregate grant date fair market value of $14,811 and $112,471,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2"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During the three months ended March 31, 2022, the Company granted 182,350 restricted stock units, to employees with an aggregate grant date fair market value of $1,302. No restricted units were granted during the three months ended March 31, 2021. The restricted stock unit awards vest in three annual installments, the first of which will occur on January 31,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During the three months ended March 31, 2022, the Company granted 742,070 performance-based restricted stock units, to employees with an aggregate grant date fair market value of $5,298. No performance-based restricted stock units were granted during the three months ended March 31, 2021. The performance stock unit awards provide for a performance period from February 1, 2022 through January 31, 2025 to complete up to six defined performance metrics. The percentage of awards eligible to vest will be determined based on the number of metrics achieved during the performance period and may range from 0% to 200%. The vesting of any eligible awards will occur in equal installments on January 31, 2025 and January 31, 2026.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Stock-based compensation expense by award type included within the unaudited condensed consolidated statements of operations and comprehensive income (loss)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920" w:type="dxa"/>
            <w:vAlign w:val="bottom"/>
            <w:gridSpan w:val="2"/>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Three Months Ended</w:t>
            </w:r>
          </w:p>
        </w:tc>
      </w:tr>
      <w:tr>
        <w:trPr>
          <w:trHeight w:val="235"/>
        </w:trPr>
        <w:tc>
          <w:tcPr>
            <w:tcW w:w="76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7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6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Performance-based stock units</w:t>
            </w: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11,661</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7,273</w:t>
            </w:r>
          </w:p>
        </w:tc>
      </w:tr>
      <w:tr>
        <w:trPr>
          <w:trHeight w:val="68"/>
        </w:trPr>
        <w:tc>
          <w:tcPr>
            <w:tcW w:w="76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r>
        <w:trPr>
          <w:trHeight w:val="328"/>
        </w:trPr>
        <w:tc>
          <w:tcPr>
            <w:tcW w:w="7640" w:type="dxa"/>
            <w:vAlign w:val="bottom"/>
          </w:tcPr>
          <w:p>
            <w:pPr>
              <w:spacing w:after="0"/>
              <w:rPr>
                <w:sz w:val="20"/>
                <w:szCs w:val="20"/>
                <w:color w:val="auto"/>
              </w:rPr>
            </w:pPr>
            <w:r>
              <w:rPr>
                <w:rFonts w:ascii="Arial" w:cs="Arial" w:eastAsia="Arial" w:hAnsi="Arial"/>
                <w:sz w:val="18"/>
                <w:szCs w:val="18"/>
                <w:color w:val="auto"/>
              </w:rPr>
              <w:t>Stock-based compensation expense is classified as follows: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920" w:type="dxa"/>
            <w:vAlign w:val="bottom"/>
            <w:gridSpan w:val="2"/>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Three Months Ended</w:t>
            </w:r>
          </w:p>
        </w:tc>
      </w:tr>
      <w:tr>
        <w:trPr>
          <w:trHeight w:val="235"/>
        </w:trPr>
        <w:tc>
          <w:tcPr>
            <w:tcW w:w="76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7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6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11,661</w:t>
            </w:r>
          </w:p>
        </w:tc>
        <w:tc>
          <w:tcPr>
            <w:tcW w:w="6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r>
      <w:tr>
        <w:trPr>
          <w:trHeight w:val="68"/>
        </w:trPr>
        <w:tc>
          <w:tcPr>
            <w:tcW w:w="76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pacing w:after="0" w:line="200" w:lineRule="exact"/>
        <w:rPr>
          <w:sz w:val="20"/>
          <w:szCs w:val="20"/>
          <w:color w:val="auto"/>
        </w:rPr>
      </w:pPr>
    </w:p>
    <w:p>
      <w:pPr>
        <w:spacing w:after="0" w:line="213" w:lineRule="exact"/>
        <w:rPr>
          <w:sz w:val="20"/>
          <w:szCs w:val="20"/>
          <w:color w:val="auto"/>
        </w:rPr>
      </w:pPr>
    </w:p>
    <w:p>
      <w:pPr>
        <w:ind w:right="5280" w:firstLine="8"/>
        <w:spacing w:after="0" w:line="396"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80" w:type="dxa"/>
            <w:vAlign w:val="bottom"/>
            <w:gridSpan w:val="2"/>
            <w:shd w:val="clear" w:color="auto" w:fill="000000"/>
          </w:tcPr>
          <w:p>
            <w:pPr>
              <w:spacing w:after="0"/>
              <w:rPr>
                <w:sz w:val="5"/>
                <w:szCs w:val="5"/>
                <w:color w:val="auto"/>
              </w:rPr>
            </w:pPr>
          </w:p>
        </w:tc>
      </w:tr>
      <w:tr>
        <w:trPr>
          <w:trHeight w:val="170"/>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gridSpan w:val="3"/>
          </w:tcPr>
          <w:p>
            <w:pPr>
              <w:jc w:val="right"/>
              <w:spacing w:after="0" w:line="170" w:lineRule="exact"/>
              <w:rPr>
                <w:sz w:val="20"/>
                <w:szCs w:val="20"/>
                <w:color w:val="auto"/>
              </w:rPr>
            </w:pPr>
            <w:r>
              <w:rPr>
                <w:rFonts w:ascii="Arial" w:cs="Arial" w:eastAsia="Arial" w:hAnsi="Arial"/>
                <w:sz w:val="18"/>
                <w:szCs w:val="18"/>
                <w:b w:val="1"/>
                <w:bCs w:val="1"/>
                <w:color w:val="auto"/>
                <w:w w:val="99"/>
              </w:rPr>
              <w:t>Three Months Ended</w:t>
            </w:r>
          </w:p>
        </w:tc>
      </w:tr>
      <w:tr>
        <w:trPr>
          <w:trHeight w:val="235"/>
        </w:trPr>
        <w:tc>
          <w:tcPr>
            <w:tcW w:w="7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1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(42,077 )</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30,713</w:t>
            </w: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4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83,176,408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82,577,836</w:t>
            </w: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outstanding stock options</w:t>
            </w:r>
          </w:p>
        </w:tc>
        <w:tc>
          <w:tcPr>
            <w:tcW w:w="4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6,521,239</w:t>
            </w:r>
          </w:p>
        </w:tc>
      </w:tr>
      <w:tr>
        <w:trPr>
          <w:trHeight w:val="209"/>
        </w:trPr>
        <w:tc>
          <w:tcPr>
            <w:tcW w:w="76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4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83,176,408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89,099,075</w:t>
            </w: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basic</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(0.51 )</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(0.51 )</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68"/>
        </w:trPr>
        <w:tc>
          <w:tcPr>
            <w:tcW w:w="76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-462280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Stock options for the purchase of 13,182,944 weighted average shares were excluded from the computation of the net loss per share attributable to common stockholders for the three months ended March 31, 2022 due to net loss during the period as their effect is anti-dilutive. Stock options for the purchase of 1,532,944 weighted average shares were excluded from the computation of diluted net income per share attributable to common stockholders for the three months ended March 31, 2021 because those options had an anti-dilutive impact due to the assumed proceeds per share using the treasury stock method being greater than the average fair value of the Company’s common shares for the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Company’s building leases are comprised of office space under non-cancelable operating leases. As of March 31, 2022, the Company’s principal office was located at 125 Summer Street in Boston, Massachusetts pursuant to a lease that expires in July 2022. In July 2021, the Company entered into a lease agreement pursuant to which the Company leased additional office space in Boston, Massachusetts at 225 Franklin Street (the "225 Lease"). The 225 Lease commencement date was January 1, 2022 and the 225 Lease runs through December 31, 2026. The leases do not contain any options for renewal or extension. The Company began to occupy the additional space in April 2022.</w:t>
      </w:r>
    </w:p>
    <w:p>
      <w:pPr>
        <w:spacing w:after="0" w:line="8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connection with the 225 Lease commencement, the Company recorded a right-of-use asset and operating lease liability of $2,938 and $2,873 as of January 1, 2022.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Future minimum payments under the Company’s operating leases as of March 31, 2022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92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r>
      <w:tr>
        <w:trPr>
          <w:trHeight w:val="197"/>
        </w:trPr>
        <w:tc>
          <w:tcPr>
            <w:tcW w:w="9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ind w:right="10"/>
              <w:spacing w:after="0" w:line="197" w:lineRule="exact"/>
              <w:rPr>
                <w:sz w:val="20"/>
                <w:szCs w:val="20"/>
                <w:color w:val="auto"/>
              </w:rPr>
            </w:pPr>
            <w:r>
              <w:rPr>
                <w:rFonts w:ascii="Arial" w:cs="Arial" w:eastAsia="Arial" w:hAnsi="Arial"/>
                <w:sz w:val="18"/>
                <w:szCs w:val="18"/>
                <w:b w:val="1"/>
                <w:bCs w:val="1"/>
                <w:color w:val="auto"/>
              </w:rPr>
              <w:t>As of March 31,</w:t>
            </w:r>
          </w:p>
        </w:tc>
      </w:tr>
      <w:tr>
        <w:trPr>
          <w:trHeight w:val="235"/>
        </w:trPr>
        <w:tc>
          <w:tcPr>
            <w:tcW w:w="9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706</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821</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855</w:t>
            </w:r>
          </w:p>
        </w:tc>
      </w:tr>
      <w:tr>
        <w:trPr>
          <w:trHeight w:val="210"/>
        </w:trPr>
        <w:tc>
          <w:tcPr>
            <w:tcW w:w="92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4,025</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amount representing implied interest</w:t>
            </w: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(272 )</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Less amount representing tenant improvement allowance</w:t>
            </w: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(877 )</w:t>
            </w:r>
          </w:p>
        </w:tc>
      </w:tr>
      <w:tr>
        <w:trPr>
          <w:trHeight w:val="20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2,876</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2,763</w:t>
            </w:r>
          </w:p>
        </w:tc>
      </w:tr>
      <w:tr>
        <w:trPr>
          <w:trHeight w:val="68"/>
        </w:trPr>
        <w:tc>
          <w:tcPr>
            <w:tcW w:w="92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r>
    </w:tbl>
    <w:p>
      <w:pPr>
        <w:spacing w:after="0" w:line="8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 the three months ended March 31, 2022 and 2021, the Company recorded operating lease costs of $232 and $76, respectively relating to its operating lease agreements.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225 Lease includes a leasehold improvement allowance of $877 for certain improvements the Company is constructing in the space.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received or recorded any amounts related to the improvement allowance as of March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recorded no provision for federal or state income taxes for the three months ended March 31, 2022 and 2021, respectively. The Company maintained a full valuation allowance for the three months ended March 31, 2022 and 2021 due to uncertainty regarding ability to utilize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w:t>
      </w:r>
    </w:p>
    <w:p>
      <w:pPr>
        <w:spacing w:after="0" w:line="1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During the year ended December 31, 2021, the Company implemented a defined contribution plan under Section 401(k) of the Internal Revenue Code (the “401(k) Plan”). The 401(k) Plan covers substantially all employees who meet minimum age and service requirements. Under the terms of the 401(k) Plan, the Company records matching contributions up to 4% of each participant’s eligible compensation. During the three months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March 31, 2022 and 2021 the Company recognized expense of $240 and $0 relating to matching contributions to the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year ended December 31, 2021, the Company entered into a consulting agreement with an entity controlled by one of its directors. The agreement provides for an annual retainer of $110; the Company recognized expense in connection with the consulting agreement in the amount of $27 and $0, respectively, for the three months ended March 31, 2022 and 2021.</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431" w:right="9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dated December 31, 2021, filed with the Securities and Exchange Commission (“SEC”) on February 28,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severe viral infections. Leveraging our deep understanding of antiviral drug development, nucleos(t)ide biology, and medicinal chemistry, we have built a proprietary purine nucleos(t)ide prodrug platform to develop novel product candidates to treat single stranded ribonucleic acid viruses, which are a prevalent cause of severe viral diseases. Currently, we are focused on the development of orally available, potent, and selective nucleos(t)ide prodrugs for difficult to treat, life-threatening viral infections, including SARS-CoV-2, the virus that causes COVID-19, dengue virus, chronic hepatitis C infection (“HCV”), and respiratory syncytial virus (“RSV”).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 – Bemnifosubvir</w:t>
      </w:r>
    </w:p>
    <w:p>
      <w:pPr>
        <w:spacing w:after="0" w:line="11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Our most advanced product candidate for the treatment of COVID-19 is an investigational, novel, orally administered guanosine nucleotide analog polymerase inhibitor. Bemnifosbuvir has a unique dual mechanism of action at both the RNA-dependent RNA polymerase (RdRp) and NiRAN active sites on the highly conserved SARS-CoV-2 RNA polymerase.</w:t>
      </w:r>
    </w:p>
    <w:p>
      <w:pPr>
        <w:spacing w:after="0" w:line="1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Topline Efficacy Results from the MORNINGSKY Trial: </w:t>
      </w:r>
      <w:r>
        <w:rPr>
          <w:rFonts w:ascii="Arial" w:cs="Arial" w:eastAsia="Arial" w:hAnsi="Arial"/>
          <w:sz w:val="18"/>
          <w:szCs w:val="18"/>
          <w:color w:val="auto"/>
        </w:rPr>
        <w:t>In a topline analysis of data from the MORNINGSKY trial, the primary endpoint,</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symptom alleviation, was not achieved. However, a 71% reduction in hospitalization (2.9% versus 10%) was observed (p=0.047, unadjusted, exploratory) in the bemnifosbuvir arm (n=137) versus placebo (n=70). There were no deaths in the trial.</w:t>
      </w:r>
    </w:p>
    <w:p>
      <w:pPr>
        <w:spacing w:after="0" w:line="7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study enrolled a broad patient population of whom approximately 50% were high risk; 50% were standard risk; 28% of patients were vaccinated; and 56% were seropositive at baseline. Consistent with previous studies, bemnifosbuvir was generally well tolerated. Adverse events leading to treatment discontinuation were 3% for bemnifosbuvir versus 7% for placebo and there were no gastrointestinal-related events leading to treatment discontinuation.</w:t>
      </w:r>
    </w:p>
    <w:p>
      <w:pPr>
        <w:spacing w:after="0" w:line="7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MORNINGSKY was a randomized, double-blind, multi-center, placebo-controlled Phase 3 trial designed to evaluate the antiviral activity, safety and pharmacokinetics of bemnifosbuvir in up to 1,400 patients randomized 2:1 to receive bemnifosbuvir 550 mg twice-daily (BID) or placebo in an outpatient setting. The study was closed out early in December 2021 having enrolled and treated 216 patients of which 207 were evaluable for efficacy. Atea plans to present the full results of this study at an upcoming scientific meeting.</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Final Analysis from Phase 2 Hospitalized Study in High-Risk Patients with COVID-19: </w:t>
      </w:r>
      <w:r>
        <w:rPr>
          <w:rFonts w:ascii="Arial" w:cs="Arial" w:eastAsia="Arial" w:hAnsi="Arial"/>
          <w:sz w:val="18"/>
          <w:szCs w:val="18"/>
          <w:color w:val="auto"/>
        </w:rPr>
        <w:t>Final clinical efficacy results from the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hospitalized study in high -risk patients with COVID-19 (n=83) suggest potential clinical benefits. The overall rate of disease progression was low, which had an impact on the ability to assess the primary endpoint of progression of respiratory insufficiency (PRI) rate, showing a 7.5% PRI rate for bemnifosbuvir versus a 10% PRI rate for placebo (primary endpoint). There were three deaths in the study, no deaths reported with patients treated with bemnifosbuvir versus three deaths with placebo (secondary endpoint).</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Final virology results in 83 patients (secondary endpoint) were consistent with previously reported interim data of 62 evaluable patients from this study. Bemnifosbuvir was generally well tolerated with no drug related serious adverse events and no adverse events leading to treatment discontinuation were observed. The sample size evaluated was insufficient for statistical comparisons.</w:t>
      </w:r>
    </w:p>
    <w:p>
      <w:pPr>
        <w:spacing w:after="0" w:line="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global Phase 2 trial was a randomized, double-blind, placebo-controlled, multi-center study to evaluate bemnifosbuvir in patients with moderate COVID-19 in the hospital setting. The key inclusion criteria for this study were adult patients over 18 years and older with risk factors such as obesity, diabetes and hypertension. Study objectives were to assess safety, tolerability, and clinical and antiviral efficacy. Patients in Cohort A were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9" w:right="459" w:bottom="1440" w:gutter="0" w:footer="0" w:header="0"/>
        </w:sectPr>
      </w:pPr>
    </w:p>
    <w:bookmarkStart w:id="17" w:name="page18"/>
    <w:bookmarkEnd w:id="17"/>
    <w:p>
      <w:pPr>
        <w:ind w:right="160"/>
        <w:spacing w:after="0" w:line="261" w:lineRule="auto"/>
        <w:rPr>
          <w:sz w:val="20"/>
          <w:szCs w:val="20"/>
          <w:color w:val="auto"/>
        </w:rPr>
      </w:pPr>
      <w:r>
        <w:rPr>
          <w:rFonts w:ascii="Arial" w:cs="Arial" w:eastAsia="Arial" w:hAnsi="Arial"/>
          <w:sz w:val="18"/>
          <w:szCs w:val="18"/>
          <w:color w:val="auto"/>
        </w:rPr>
        <w:t>randomized within five days of symptom onset to receive either bemnifosbuvir 550 mg BID or placebo and were dosed for five days. An additional cohort evaluating bemnifosbuvir 1100 mg BID versus placebo enrolled a very small number of patients prior to closing out early due to the evolving nature of the standard of care in the hospital setting.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Steps for Bemnifosbuvir Clinical Development for COVID-19</w:t>
      </w:r>
      <w:r>
        <w:rPr>
          <w:rFonts w:ascii="Arial" w:cs="Arial" w:eastAsia="Arial" w:hAnsi="Arial"/>
          <w:sz w:val="18"/>
          <w:szCs w:val="18"/>
          <w:color w:val="auto"/>
        </w:rPr>
        <w:t>: In light of the new MORNINGSKY outpatient and Phase 2</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hospitalized data for bemnifosbuvir, we are pursuing interactions with regulatory authorities to review the data package and to discuss the next steps in our clinical development program for COVID-19.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HCV – Bemnifosbuvir in combination with ruzasvir</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For the treatment of chronic HCV infection, we are advancing a novel combination of bemnifosbuvir and ruzasvir, an investigational nonstructural protein 5A (“NS5A”) inhibitor that we exclusively in-licensed from Merck in December 2021. As single agents, both bemnifosbuvir and ruzasvir have demonstrated potent pan-genotypic antiviral activity against HCV. We are currently manufacturing clinical trial supplies of ruzasvir and are evaluating clinical trial designs for a Phase 2 combination study of bemnifosbuvir and ruzasvir.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Dengue – AT-752</w:t>
      </w:r>
    </w:p>
    <w:p>
      <w:pPr>
        <w:spacing w:after="0" w:line="10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 xml:space="preserve">Dengue is a mosquito-borne viral infection that infects up to 400 million people worldwide a year, causing substantial public health and economic burden. Currently there are no antiviral therapies approved by either the U.S. Food and Drug Administration (“FDA”) or the European Commission. To address this unmet medical need, we are developing AT-752, an oral, purine nucleotide prodrug product candidate for the treatment of dengue. AT-752 targets the inhibition of the dengue viral polymerase and, in preclinical studies, the drug candidate showed potent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against all dengue serotypes tested, as well as potent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antiviral activity in small animal models.</w:t>
      </w:r>
    </w:p>
    <w:p>
      <w:pPr>
        <w:spacing w:after="0" w:line="6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have initiated the global Phase 2 DEFEND-2 (</w:t>
      </w:r>
      <w:r>
        <w:rPr>
          <w:rFonts w:ascii="Arial" w:cs="Arial" w:eastAsia="Arial" w:hAnsi="Arial"/>
          <w:sz w:val="18"/>
          <w:szCs w:val="18"/>
          <w:b w:val="1"/>
          <w:bCs w:val="1"/>
          <w:u w:val="single" w:color="auto"/>
          <w:color w:val="auto"/>
        </w:rPr>
        <w:t>DE</w:t>
      </w:r>
      <w:r>
        <w:rPr>
          <w:rFonts w:ascii="Arial" w:cs="Arial" w:eastAsia="Arial" w:hAnsi="Arial"/>
          <w:sz w:val="18"/>
          <w:szCs w:val="18"/>
          <w:color w:val="auto"/>
        </w:rPr>
        <w:t xml:space="preserve">ngue </w:t>
      </w:r>
      <w:r>
        <w:rPr>
          <w:rFonts w:ascii="Arial" w:cs="Arial" w:eastAsia="Arial" w:hAnsi="Arial"/>
          <w:sz w:val="18"/>
          <w:szCs w:val="18"/>
          <w:b w:val="1"/>
          <w:bCs w:val="1"/>
          <w:u w:val="single" w:color="auto"/>
          <w:color w:val="auto"/>
        </w:rPr>
        <w:t>F</w:t>
      </w:r>
      <w:r>
        <w:rPr>
          <w:rFonts w:ascii="Arial" w:cs="Arial" w:eastAsia="Arial" w:hAnsi="Arial"/>
          <w:sz w:val="18"/>
          <w:szCs w:val="18"/>
          <w:color w:val="auto"/>
        </w:rPr>
        <w:t xml:space="preserve">ever </w:t>
      </w:r>
      <w:r>
        <w:rPr>
          <w:rFonts w:ascii="Arial" w:cs="Arial" w:eastAsia="Arial" w:hAnsi="Arial"/>
          <w:sz w:val="18"/>
          <w:szCs w:val="18"/>
          <w:b w:val="1"/>
          <w:bCs w:val="1"/>
          <w:u w:val="single" w:color="auto"/>
          <w:color w:val="auto"/>
        </w:rPr>
        <w:t>END</w:t>
      </w:r>
      <w:r>
        <w:rPr>
          <w:rFonts w:ascii="Arial" w:cs="Arial" w:eastAsia="Arial" w:hAnsi="Arial"/>
          <w:sz w:val="18"/>
          <w:szCs w:val="18"/>
          <w:color w:val="auto"/>
        </w:rPr>
        <w:t>) study of AT-752 for the treatment of dengue. The randomized, double-blind, placebo-controlled study will evaluate multiple doses of AT-752 and enroll up to 60 adult patients infected with dengue. The primary objective of the study is to evaluate antiviral activity, with change from baseline in dengue virus (DENV) viral load as the primary endpoint [DENV RNA by reverse transcription-polymerase chain reaction (RT-PCR)].</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DEFEND-2 study, we have initiated a dengue human challenge trial. This trial, which is being conducted exclusively in the United States, is designed to evaluate the effect of AT-752 in healthy volunteers who are challenged with an attenuated DENV-1 virus strain after receiving AT-752 or placebo.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collaboration</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October 2020, we entered into a License Agreement (the “Roche License Agreement”) with F. Hoffmann-LaRoche Ltd. and Genentech, Inc. (together, “Roche”) under which we granted an exclusive license for certain development and commercialization rights related to bemnifosbuvir outside of the United States (other than for certain HCV uses) to Roche. As partial consideration, Roche paid us an upfront payment of $350.0 million which was received in November 2020. Additionally, upon realization of a development milestone in June 2021, we received an additional $50.0 million from Roche.</w:t>
      </w:r>
    </w:p>
    <w:p>
      <w:pPr>
        <w:spacing w:after="0" w:line="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November 2021, we received notice from Roche that they had elected to terminate the Roche License Agreement in its entirety on a worldwide basis including Japan, with an effective date of February 10, 2022. In December 2021, we delivered to Roche notice that we intended to continue the development of bemnifosbuvir and we have been working with Roche to effect an orderly wind down of activities in accordance with the terms of the Roche License Agreement. The obligations of Roche to equally share the costs associated with development activities terminated on February 10, 2022. We are now responsible for, and alone will bear the costs associated with the development of bemnifosbuvir. Additionally, we remain liable to Roche for certain expenses associated with transition related activities occurring after the effective date of the termination of the Roche License Agreement.</w:t>
      </w:r>
    </w:p>
    <w:p>
      <w:pPr>
        <w:spacing w:after="0" w:line="6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a result of the termination of the Roche License Agreement, we have regained worldwide exclusive rights from Roche to research, develop, manufacture and commercialize bemnifosbuvir in all fields of use.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1"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As of March 31, 2022, we had cash and cash equivalents of $705.5 million. Net cash used in operating activities was $59.0 million for the three months ended March 31, 2022.</w:t>
      </w:r>
    </w:p>
    <w:p>
      <w:pPr>
        <w:spacing w:after="0" w:line="4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may incur additional costs as we continue to operate as a public company. We believe that our available cash and cash equivalents will be sufficient to fund our planned operations through at least 2025.</w:t>
      </w:r>
    </w:p>
    <w:p>
      <w:pPr>
        <w:spacing w:after="0" w:line="6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we continue to advance our programs, we expect to incur significantly higher expenses over the next several years. We anticipate that our expenses will increase significantly in connection with our ongoing activities, as we:</w:t>
      </w:r>
    </w:p>
    <w:p>
      <w:pPr>
        <w:spacing w:after="0" w:line="5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bemnifosbuvir for the treatment of COVID-19;</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AT-752 for the treatment of dengue;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initiate clinical development of bemnifosbuvir and ruzasvir for the treatment of HCV;</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discovery and IND-enabling activities in anticipation of a nominating a product candidate for the treatment of RSV;</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research, development and administrative personnel;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commercialization capabilities if we are successful in developing our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was terminated in February 2022.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9" w:name="page20"/>
    <w:bookmarkEnd w:id="19"/>
    <w:p>
      <w:pPr>
        <w:jc w:val="both"/>
        <w:ind w:right="640"/>
        <w:spacing w:after="0" w:line="261" w:lineRule="auto"/>
        <w:rPr>
          <w:sz w:val="20"/>
          <w:szCs w:val="20"/>
          <w:color w:val="auto"/>
        </w:rPr>
      </w:pPr>
      <w:r>
        <w:rPr>
          <w:rFonts w:ascii="Arial" w:cs="Arial" w:eastAsia="Arial" w:hAnsi="Arial"/>
          <w:sz w:val="18"/>
          <w:szCs w:val="18"/>
          <w:color w:val="auto"/>
        </w:rPr>
        <w:t>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including stock-based compensation, facility costs, including depreciation and lab consumables. We have not historically tracked our internal research and development expenses by therapeutic area as they are deployed across multiple programs.</w:t>
      </w:r>
    </w:p>
    <w:p>
      <w:pPr>
        <w:spacing w:after="0" w:line="7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As discussed in Note 3 to our unaudited condensed consolidated financial statements, during the term of the Roche License Agreement which terminated in February 2022, we and Roche shared certain manufacturing and clinical development costs on a 50/50 basis. Billings to us by Roche for our percentage share of such expenses are recorded in research and development expenses. While these costs represented a material portion of our total expenses through March 31, 2022 we do not expect such costs to be a material portion of our global expenses in the future.</w:t>
      </w:r>
    </w:p>
    <w:p>
      <w:pPr>
        <w:spacing w:after="0" w:line="6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920" w:type="dxa"/>
            <w:vAlign w:val="bottom"/>
            <w:gridSpan w:val="2"/>
            <w:shd w:val="clear" w:color="auto" w:fill="000000"/>
          </w:tcPr>
          <w:p>
            <w:pPr>
              <w:spacing w:after="0"/>
              <w:rPr>
                <w:sz w:val="5"/>
                <w:szCs w:val="5"/>
                <w:color w:val="auto"/>
              </w:rPr>
            </w:pPr>
          </w:p>
        </w:tc>
      </w:tr>
      <w:tr>
        <w:trPr>
          <w:trHeight w:val="170"/>
        </w:trPr>
        <w:tc>
          <w:tcPr>
            <w:tcW w:w="7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Three Months Ended</w:t>
            </w:r>
          </w:p>
        </w:tc>
      </w:tr>
      <w:tr>
        <w:trPr>
          <w:trHeight w:val="235"/>
        </w:trPr>
        <w:tc>
          <w:tcPr>
            <w:tcW w:w="76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7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09"/>
        </w:trPr>
        <w:tc>
          <w:tcPr>
            <w:tcW w:w="7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 external costs</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8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18,113</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Dengue external costs</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3,227</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HCV external costs</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8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RSV external costs</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11,114</w:t>
            </w:r>
          </w:p>
        </w:tc>
        <w:tc>
          <w:tcPr>
            <w:tcW w:w="8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6,768</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Total research and development costs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29,633</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26,571</w:t>
            </w:r>
          </w:p>
        </w:tc>
      </w:tr>
      <w:tr>
        <w:trPr>
          <w:trHeight w:val="68"/>
        </w:trPr>
        <w:tc>
          <w:tcPr>
            <w:tcW w:w="76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r>
    </w:tbl>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bemnifosbuvir.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6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We anticipate that our general and administrative expenses may increase as a result of increased personnel costs, expanded infrastructure and higher consulting, legal and accounting services costs associated with complying with Nasdaq and SEC requirements, investor relations costs and director and officer insurance premiums associated with being a public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and cash equivalents.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5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680" w:type="dxa"/>
            <w:vAlign w:val="bottom"/>
            <w:gridSpan w:val="3"/>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65,985</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(65,985 )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29,633</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26,571</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65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12,542</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8,759</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42,175</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35,330</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(42,175 )</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30,655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(72,830 )</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98</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(42,077 )</w:t>
            </w: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30,713</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(72,790 )</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(42,077 )</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30,713</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(72,790 )</w:t>
            </w:r>
          </w:p>
        </w:tc>
        <w:tc>
          <w:tcPr>
            <w:tcW w:w="0" w:type="dxa"/>
            <w:vAlign w:val="bottom"/>
          </w:tcPr>
          <w:p>
            <w:pPr>
              <w:spacing w:after="0"/>
              <w:rPr>
                <w:sz w:val="1"/>
                <w:szCs w:val="1"/>
                <w:color w:val="auto"/>
              </w:rPr>
            </w:pPr>
          </w:p>
        </w:tc>
      </w:tr>
      <w:tr>
        <w:trPr>
          <w:trHeight w:val="68"/>
        </w:trPr>
        <w:tc>
          <w:tcPr>
            <w:tcW w:w="65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Collaboration revenue for the three months ended March 31, 2021 was derived from the Roche License Agreement that was executed in October 2020 and terminated in February 2022. As discussed in Note 3 to our unaudited condensed consolidated financial statements included elsewhere in this Quarterly Report on Form 10-Q, following receipt in November 2021 of the notice from Roche terminating the agreement, the Company recognized all remaining revenue and consequently we had no collaboration revenue for the three months ended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$3.1 million from $26.6 million for the three months ended March 31, 2021 to $29.7</w:t>
      </w:r>
    </w:p>
    <w:p>
      <w:pPr>
        <w:spacing w:after="0" w:line="219" w:lineRule="auto"/>
        <w:rPr>
          <w:sz w:val="20"/>
          <w:szCs w:val="20"/>
          <w:color w:val="auto"/>
        </w:rPr>
      </w:pPr>
      <w:r>
        <w:rPr>
          <w:rFonts w:ascii="Arial" w:cs="Arial" w:eastAsia="Arial" w:hAnsi="Arial"/>
          <w:sz w:val="18"/>
          <w:szCs w:val="18"/>
          <w:color w:val="auto"/>
        </w:rPr>
        <w:t>million for the three months ended March 31, 2022. Research and development expenses primarily consists of external expenses incurred</w:t>
      </w:r>
    </w:p>
    <w:p>
      <w:pPr>
        <w:spacing w:after="0" w:line="219" w:lineRule="auto"/>
        <w:rPr>
          <w:sz w:val="20"/>
          <w:szCs w:val="20"/>
          <w:color w:val="auto"/>
        </w:rPr>
      </w:pPr>
      <w:r>
        <w:rPr>
          <w:rFonts w:ascii="Arial" w:cs="Arial" w:eastAsia="Arial" w:hAnsi="Arial"/>
          <w:sz w:val="18"/>
          <w:szCs w:val="18"/>
          <w:color w:val="auto"/>
        </w:rPr>
        <w:t>related to services provided by the CROs and CMOs in conjunction with the advancement of product candidates, including $9.6 million and</w:t>
      </w:r>
    </w:p>
    <w:p>
      <w:pPr>
        <w:spacing w:after="0" w:line="219" w:lineRule="auto"/>
        <w:rPr>
          <w:sz w:val="20"/>
          <w:szCs w:val="20"/>
          <w:color w:val="auto"/>
        </w:rPr>
      </w:pPr>
      <w:r>
        <w:rPr>
          <w:rFonts w:ascii="Arial" w:cs="Arial" w:eastAsia="Arial" w:hAnsi="Arial"/>
          <w:sz w:val="18"/>
          <w:szCs w:val="18"/>
          <w:color w:val="auto"/>
        </w:rPr>
        <w:t>$14.5 million for the three months ended March 31, 2022 and 2021, respectively, related to our share of costs incurred by Roche. In addition,</w:t>
      </w:r>
    </w:p>
    <w:p>
      <w:pPr>
        <w:spacing w:after="0" w:line="219" w:lineRule="auto"/>
        <w:rPr>
          <w:sz w:val="20"/>
          <w:szCs w:val="20"/>
          <w:color w:val="auto"/>
        </w:rPr>
      </w:pPr>
      <w:r>
        <w:rPr>
          <w:rFonts w:ascii="Arial" w:cs="Arial" w:eastAsia="Arial" w:hAnsi="Arial"/>
          <w:sz w:val="18"/>
          <w:szCs w:val="18"/>
          <w:color w:val="auto"/>
        </w:rPr>
        <w:t>increase in internal spend consists primarily of salaries and bonuses, benefits and stock-based compensation expense of $2.2 million for our</w:t>
      </w:r>
    </w:p>
    <w:p>
      <w:pPr>
        <w:spacing w:after="0" w:line="219" w:lineRule="auto"/>
        <w:rPr>
          <w:sz w:val="20"/>
          <w:szCs w:val="20"/>
          <w:color w:val="auto"/>
        </w:rPr>
      </w:pPr>
      <w:r>
        <w:rPr>
          <w:rFonts w:ascii="Arial" w:cs="Arial" w:eastAsia="Arial" w:hAnsi="Arial"/>
          <w:sz w:val="18"/>
          <w:szCs w:val="18"/>
          <w:color w:val="auto"/>
        </w:rPr>
        <w:t>research and product development employees and consulting fees and other research and development expenses. Research and</w:t>
      </w:r>
    </w:p>
    <w:p>
      <w:pPr>
        <w:spacing w:after="0" w:line="235" w:lineRule="auto"/>
        <w:rPr>
          <w:sz w:val="20"/>
          <w:szCs w:val="20"/>
          <w:color w:val="auto"/>
        </w:rPr>
      </w:pPr>
      <w:r>
        <w:rPr>
          <w:rFonts w:ascii="Arial" w:cs="Arial" w:eastAsia="Arial" w:hAnsi="Arial"/>
          <w:sz w:val="18"/>
          <w:szCs w:val="18"/>
          <w:color w:val="auto"/>
        </w:rPr>
        <w:t>development expenses include a reduction of $0.9 million and $3.4 million, respectively, representing Roche’s share of certain expenses we</w:t>
      </w:r>
    </w:p>
    <w:p>
      <w:pPr>
        <w:ind w:right="460"/>
        <w:spacing w:after="0" w:line="237" w:lineRule="auto"/>
        <w:rPr>
          <w:sz w:val="20"/>
          <w:szCs w:val="20"/>
          <w:color w:val="auto"/>
        </w:rPr>
      </w:pPr>
      <w:r>
        <w:rPr>
          <w:rFonts w:ascii="Arial" w:cs="Arial" w:eastAsia="Arial" w:hAnsi="Arial"/>
          <w:sz w:val="18"/>
          <w:szCs w:val="18"/>
          <w:color w:val="auto"/>
        </w:rPr>
        <w:t>incurred that are subject to ASC 808 as discussed in Note 3 to our unaudited condensed consolidated financial statements for the three months ended March 31,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General and administrative expenses increased by $3.7 million from $8.8 million for the three months ended March 31, 2021 to $12.5 million for the three months ended March 31, 2022. The increase in general and administrative expenses was primarily due to the expansion of our organization resulting in an increase in payroll and personnel-related expenses of $2.4 million, including salaries, benefits and stock-based compensation expense of $2.1 million and an increase in other general and administrative expenses of $0.8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1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Interest income and other, net, remained substantially consistent during the three months ended March 31, 2022 compared to the three months ended March 31,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$0 for the three months ended March 31, 2022 and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March 31, 2022, we had cash and cash equivalents of $705.5 million. We believe that our available cash and cash equivalents will be sufficient to fund our planned operations through at least 2025.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may incur additional general and administrative costs as we continue to operate as a public company.</w:t>
      </w:r>
    </w:p>
    <w:p>
      <w:pPr>
        <w:spacing w:after="0" w:line="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76" w:lineRule="exact"/>
        <w:rPr>
          <w:sz w:val="20"/>
          <w:szCs w:val="20"/>
          <w:color w:val="auto"/>
        </w:rPr>
      </w:pPr>
    </w:p>
    <w:p>
      <w:pPr>
        <w:ind w:left="1260" w:right="520" w:hanging="368"/>
        <w:spacing w:after="0" w:line="270"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4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clinical programs we decide to pursue;</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and costs of development and commercial manufacturing activities;</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2" w:lineRule="exact"/>
        <w:rPr>
          <w:rFonts w:ascii="Times New Roman" w:cs="Times New Roman" w:eastAsia="Times New Roman" w:hAnsi="Times New Roman"/>
          <w:sz w:val="18"/>
          <w:szCs w:val="18"/>
          <w:color w:val="auto"/>
        </w:rPr>
      </w:pPr>
    </w:p>
    <w:p>
      <w:pPr>
        <w:ind w:left="1260" w:right="300" w:hanging="368"/>
        <w:spacing w:after="0" w:line="270"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6" w:lineRule="exact"/>
        <w:rPr>
          <w:rFonts w:ascii="Times New Roman" w:cs="Times New Roman" w:eastAsia="Times New Roman" w:hAnsi="Times New Roman"/>
          <w:sz w:val="18"/>
          <w:szCs w:val="18"/>
          <w:color w:val="auto"/>
        </w:rPr>
      </w:pPr>
    </w:p>
    <w:p>
      <w:pPr>
        <w:ind w:left="1260" w:right="80" w:hanging="368"/>
        <w:spacing w:after="0" w:line="300" w:lineRule="auto"/>
        <w:tabs>
          <w:tab w:leader="none" w:pos="12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23" w:lineRule="exact"/>
        <w:rPr>
          <w:rFonts w:ascii="Times New Roman" w:cs="Times New Roman" w:eastAsia="Times New Roman" w:hAnsi="Times New Roman"/>
          <w:sz w:val="17"/>
          <w:szCs w:val="17"/>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implementation of operational, financial and management systems; and</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8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22" w:name="page23"/>
    <w:bookmarkEnd w:id="22"/>
    <w:p>
      <w:pPr>
        <w:ind w:right="360"/>
        <w:spacing w:after="0" w:line="251" w:lineRule="auto"/>
        <w:rPr>
          <w:sz w:val="20"/>
          <w:szCs w:val="20"/>
          <w:color w:val="auto"/>
        </w:rPr>
      </w:pPr>
      <w:r>
        <w:rPr>
          <w:rFonts w:ascii="Arial" w:cs="Arial" w:eastAsia="Arial" w:hAnsi="Arial"/>
          <w:sz w:val="18"/>
          <w:szCs w:val="18"/>
          <w:color w:val="auto"/>
        </w:rPr>
        <w:t>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900" w:type="dxa"/>
            <w:vAlign w:val="bottom"/>
            <w:gridSpan w:val="2"/>
            <w:shd w:val="clear" w:color="auto" w:fill="000000"/>
          </w:tcPr>
          <w:p>
            <w:pPr>
              <w:spacing w:after="0"/>
              <w:rPr>
                <w:sz w:val="5"/>
                <w:szCs w:val="5"/>
                <w:color w:val="auto"/>
              </w:rPr>
            </w:pPr>
          </w:p>
        </w:tc>
      </w:tr>
      <w:tr>
        <w:trPr>
          <w:trHeight w:val="170"/>
        </w:trPr>
        <w:tc>
          <w:tcPr>
            <w:tcW w:w="7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gridSpan w:val="2"/>
          </w:tcPr>
          <w:p>
            <w:pPr>
              <w:jc w:val="right"/>
              <w:ind w:right="10"/>
              <w:spacing w:after="0" w:line="170" w:lineRule="exact"/>
              <w:rPr>
                <w:sz w:val="20"/>
                <w:szCs w:val="20"/>
                <w:color w:val="auto"/>
              </w:rPr>
            </w:pPr>
            <w:r>
              <w:rPr>
                <w:rFonts w:ascii="Arial" w:cs="Arial" w:eastAsia="Arial" w:hAnsi="Arial"/>
                <w:sz w:val="18"/>
                <w:szCs w:val="18"/>
                <w:b w:val="1"/>
                <w:bCs w:val="1"/>
                <w:color w:val="auto"/>
                <w:w w:val="99"/>
              </w:rPr>
              <w:t>Three Months Ended</w:t>
            </w:r>
          </w:p>
        </w:tc>
      </w:tr>
      <w:tr>
        <w:trPr>
          <w:trHeight w:val="235"/>
        </w:trPr>
        <w:tc>
          <w:tcPr>
            <w:tcW w:w="76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09"/>
        </w:trPr>
        <w:tc>
          <w:tcPr>
            <w:tcW w:w="7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r>
      <w:tr>
        <w:trPr>
          <w:trHeight w:val="210"/>
        </w:trPr>
        <w:tc>
          <w:tcPr>
            <w:tcW w:w="7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(59,009 )</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(16,837 )</w:t>
            </w:r>
          </w:p>
        </w:tc>
      </w:tr>
      <w:tr>
        <w:trPr>
          <w:trHeight w:val="216"/>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8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(58,830 )</w:t>
            </w:r>
          </w:p>
        </w:tc>
        <w:tc>
          <w:tcPr>
            <w:tcW w:w="8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(16,366 )</w:t>
            </w:r>
          </w:p>
        </w:tc>
      </w:tr>
      <w:tr>
        <w:trPr>
          <w:trHeight w:val="68"/>
        </w:trPr>
        <w:tc>
          <w:tcPr>
            <w:tcW w:w="76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Net cash used in operating activities for the three months ended March 31, 2022 was $59.0 million. Cash used in operating activities was primarily due to net loss of $42.1 million partially offset by stock-based compensation of $11.7 million, a decrease in accounts payable and accrued expenses of $28.9 million and a decrease in prepaid and other current assets of $0.3 million.</w:t>
      </w:r>
    </w:p>
    <w:p>
      <w:pPr>
        <w:spacing w:after="0" w:line="7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Net cash used in operating activities for the three months ended March 31, 2021 was $16.8 million. Cash used in operating activities was primarily due to research and development expenses of $ 26.6 million and general and administrative expenses of $8.8 million, partially offset by stock-based compensation of $7.3 million, an increase in accounts payable and accrued expenses of $10.4 million, an increase in other assets of $0.3 million and a decrease in prepaid expenses of $1.2 million. The Company recognized revenue of $66.0 million for the three months ended March 31, 2021. The revenue recognized did not have an impact on net cash used in operating activities as this amount was previously included in deferred revenue as of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0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Cash used in investing activities for the three months ended March 31, 2022 was less than $0.1 million and consisted of purchases of fixed assets. There were no cash flows from investing activities for the three months ended March 31,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02"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color w:val="auto"/>
        </w:rPr>
        <w:t>Net cash provided by financing activities was $0.2 million and $0.5 million for the three months ended March 31, 2022 and 2021, respectively, and consisted of proceeds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There have been no material changes to our contractual obligations during the three months ended March 31, 2022 from those previously disclosed in our Annual Report on Form 10-K for the year ended December 31, 2021.</w:t>
      </w:r>
    </w:p>
    <w:p>
      <w:pPr>
        <w:spacing w:after="0" w:line="4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Our critical accounting policies and estimates are described under the heading “Management’s Discussion and Analysis of Financial Condition and Results of Operations—Critical Accounting Policies and Estimates” in our Annual Report on Form 10-K for the year ended December 31, 2021. We believe that these accounting policies are critical to understanding our historical and future performance, as these policies relate to significant areas involving management’s judgments and estimates. During the three months ended March 31, 2022 there were no material changes to our critical accounting policies from those discussed in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5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included in this Quarterly Report on Form 10-Q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March 31, 2022, we had cash and cash equivalents of $705.5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significant impact on our results of operations for any periods presented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24" w:name="page25"/>
    <w:bookmarkEnd w:id="24"/>
    <w:p>
      <w:pPr>
        <w:spacing w:after="0" w:line="261" w:lineRule="auto"/>
        <w:rPr>
          <w:sz w:val="20"/>
          <w:szCs w:val="20"/>
          <w:color w:val="auto"/>
        </w:rPr>
      </w:pPr>
      <w:r>
        <w:rPr>
          <w:rFonts w:ascii="Arial" w:cs="Arial" w:eastAsia="Arial" w:hAnsi="Arial"/>
          <w:sz w:val="18"/>
          <w:szCs w:val="18"/>
          <w:color w:val="auto"/>
        </w:rPr>
        <w:t>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2022,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unaudited condensed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bemnifosbuvir as a potential treatment for COVID-19.</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development of bemnifosbuvir for the treatment of COVID-19 is in its early stages, and we may not be successful in our development of bemnifosbuvir as a potential treatment for COVID-19. In October 2020, we entered into a license agreement (as amended, the “Roche License Agreement”) with F. Hoffmann-LaRoche Ltd. and Genentech, Inc. (together, “Roche”) under which we granted to Roche an exclusive license to development and commercialization rights related to certain of our compounds, including bemnifosbuvir, outside of the United States (other than for certain HCV uses). Together with Roche, in April 2021, we initiated a randomized, double blind, multi -center, placebo-controlled Phase 3 clinical trial to study bemnifosbuvir in adult and adolescent patients with mild or moderate COVID-19 in the outpatient setting (“MORNINGSKY”) and we subsequently initiated a Phase 3 six month follow-up study (“MEADOWSPRING”) to assess the impact of bemnifosbuvir treatment on long-term sequelae of COVID-19 in the patients previously enrolled in MORNINGSKY. The Phase 3 clinical trials were begun while two Phase 2 clinical trials evaluating bemnifosbuvir in patients with COVID1-19 were ongoing. One of these Phase 2 clinical trials enrolled hospitalized patients and the other Phase 2 clinical trial (MOONSOONG) enrolled outpatients. In October 2021, we, together with Roche, completed MOOONSONG, and we announced that we did not meet the primary endpoint of reduction from baseline in the amount of SARS-CoV-2 virus in patients with mild or moderate COVID-19 compared to placebo in the overall study population, of which approximately two-thirds of enrolled patients were low-risk with mild symptoms. In November 2021, Roche notified us that it was terminating the Roche License Agreement effective February 10, 2022. In December 2021 due to the changing COVID -19 treatment landscape, including the availability of new oral antiviral treatment regimens, we determined to discontinue each of the phase 3 MORNINGSKY and MEADOWSPRING clinical trials. We did not enroll a sufficient number of patients in either study to conduct prespecified statistical analyses. In January 2022 we determined to close out the Phase 2 clinical trial in hospitalized patients.</w:t>
      </w:r>
    </w:p>
    <w:p>
      <w:pPr>
        <w:spacing w:after="0" w:line="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May 2022, we reported topline results from the MORNINGSKY trial and the final analysis of data from the Phase 2 clinical trial in high-risk hospitalized patients.</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the topline analysis of data from the MORNINGSKY trial, the primary endpoint, time to symptom alleviation, was not achieved. However, a 71% reduction in hospitalization (2.9% versus 10%) was observed (p=0.047, unadjusted, exploratory) in the bemnifosbuvir arm (n=137) versus placebo (n=70). There were no deaths in the MORNINGSKY trial.</w:t>
      </w:r>
    </w:p>
    <w:p>
      <w:pPr>
        <w:spacing w:after="0" w:line="5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Final clinical results from the Phase 2 study in high-risk hospitalized patients (n=83) suggest potential clinical benefits. The overall rate of disease progression was low, which had an impact on the ability to assess the primary endpoint of progression of respiratory insufficiency (PRI) rate, showing a 7.5% PRI rate for bemnifosbuvir 550 mg BID versus a 10% PRI rate for placebo (primary endpoint). There were three deaths in the study, no deaths were reported with patients treated with bemnifosbuvir versus three deaths reported with placebo. Final virology results (secondary endpoint) were consistent with previously reported interim data from this study. Bemnifosbuvir was generally well tolerated with no drug related serious adverse events and no adverse events leading to treatment discontinuation.</w:t>
      </w:r>
    </w:p>
    <w:p>
      <w:pPr>
        <w:spacing w:after="0" w:line="67"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Given these results, we are currently evaluating the pathway for development of bemnifosbuvir for the treatment of COVID-19 and may determine to pursue either or both of a mono- and combination therapy strategy. We do not know if either of these approaches will be successful. In addition, clinical trials evaluating combination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26" w:name="page27"/>
    <w:bookmarkEnd w:id="26"/>
    <w:p>
      <w:pPr>
        <w:ind w:right="360"/>
        <w:spacing w:after="0" w:line="261" w:lineRule="auto"/>
        <w:rPr>
          <w:sz w:val="20"/>
          <w:szCs w:val="20"/>
          <w:color w:val="auto"/>
        </w:rPr>
      </w:pPr>
      <w:r>
        <w:rPr>
          <w:rFonts w:ascii="Arial" w:cs="Arial" w:eastAsia="Arial" w:hAnsi="Arial"/>
          <w:sz w:val="18"/>
          <w:szCs w:val="18"/>
          <w:color w:val="auto"/>
        </w:rPr>
        <w:t>regimens will be subject to additional risks, including the potential requirement to sufficiently demonstrate the effect, if any, of each constituent component of the combination regimen to the satisfaction of the United States Food and Drug Administration (“FDA”) or other regulatory authorities.</w:t>
      </w:r>
    </w:p>
    <w:p>
      <w:pPr>
        <w:spacing w:after="0" w:line="5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not acquired or developed any agents that may be combined with bemnifosbuvir in a combination therapy. We have begun to internally develop a potential protease inhibitor to evaluate in combination with bemnifosbuvir. These efforts are at a very early stage and we do not know if such efforts will be successful, or if successful, when a protease inhibitor product candidate generated from our discovery efforts may be permitted to enter clinical development. Alternatively, we may in-license or acquire the rights to develop and commercialize a protease inhibitor drug candidate from a third party. Proposing, negotiating and implementing acquisition or in-license of a protease inhibitor or any other product candidate that may be combined with bemnifosbuvir may be a lengthy and complex process. Other companies, including those with substantially greater financial, marketing and sales resources, may compete with us for the acquisition of such product candidates. We may not be able to acquire the rights to additional product candidates on terms that we find acceptable, if at all</w:t>
      </w:r>
    </w:p>
    <w:p>
      <w:pPr>
        <w:spacing w:after="0" w:line="8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committed and plan to continue to commit significant financial and personnel resources to the development of bemnifosbuvir as either or both of a mono- and combination therapy (together, a “bemnifosbuvir COV19 product candidate”) as a potential treatment for COVID-19. If we are unable to successfully develop a bemnifosbuvir COV19 product candidate for the treatment of COVID-19, we will have taken resources away from other development programs and will not be able to recuperate the resources dedicated to developing a bemnifosbuvir COV19 product candidate as a potential treatment for COVID-19, which could have a material adverse impact on our business. If we are able to initiate clinical development of the bemnifosbuvir COV19 product and the data from our clinical trials are not supportive of further development or commercialization of such bemnifosbuvir COV19 product candidate as a treatment for COVID-19, or the investor community otherwise has a negative reaction to the data, the demand for our common stock could decrease significantly, and the price of our common stock could decline substantially, which could result in significant losses for our stockholders.</w:t>
      </w:r>
    </w:p>
    <w:p>
      <w:pPr>
        <w:spacing w:after="0" w:line="8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Further, while we believe there is currently an urgent need for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the number or severity of new infections, the effectiveness of vaccines, the effectiveness of other treatment options, or otherwise, the need for treatments could decrease significantly. If the need for a treatment decreases before or soon after commercialization of a bemnifosbuvir COV19 product candidate, if successfully developed and approved, our business could be adversely impacted.</w:t>
      </w:r>
    </w:p>
    <w:p>
      <w:pPr>
        <w:spacing w:after="0" w:line="71"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A bemnifosbuvir COV19 product candidate, even if successfully developed and approved, may face significant competition from other treatments and vaccines for COVID-19 which have been authorized or approved for use or are in development.</w:t>
      </w:r>
    </w:p>
    <w:p>
      <w:pPr>
        <w:spacing w:after="0" w:line="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November 2021, molnupiravir, an orally administered direct-acting antiviral, being developed by Merck and Ridgeback Biotherapeutics (“Ridgeback”) for the treatment of adults with mild to moderate COVID-19 in the outpatient setting received conditional marketing authorization for use from the health authorities in the United Kingdom. In December 2021, the FDA issued an emergency use authorization for molnupiravir for the treatment of mild-to-moderate COVID-19 in certain adults who are at high-risk for progression to severe COVID-19, including hospitalization or death. Merck and Ridgeback are currently seeking similar authorizations from numerous other global health authorities. In December 2021, the FDA issued an emergency use authorization for Paxlovid, an orally administered direct-acting antiviral being developed by Pfizer Inc. (“Pfizer”) consisting of nirmatrelvir, a protease inhibitor, and ritonavir, for the treatment of adults with mild to moderate COVID-19 in the outpatient setting. In January 2022, the European Medicines Agency recommended conditional marketing authorization for Paxlovid. Other products for the treatment of COVID-19 are currently authorized for use or approved by health regulatory authorities in numerous countries throughout the world. These products include the antiviral drug Veklury (remdesivir), a direct acting antiviral marketed by Gilead Sciences for the treatment of COVID-19 for certain patients requiring hospitalization and </w:t>
      </w:r>
      <w:r>
        <w:rPr>
          <w:rFonts w:ascii="Arial" w:cs="Arial" w:eastAsia="Arial" w:hAnsi="Arial"/>
          <w:sz w:val="18"/>
          <w:szCs w:val="18"/>
          <w:color w:val="333333"/>
        </w:rPr>
        <w:t>sotrovimab, a monoclonal antibody for the treatment of high risk adults and adolescents with mild to moderate</w:t>
      </w:r>
      <w:r>
        <w:rPr>
          <w:rFonts w:ascii="Arial" w:cs="Arial" w:eastAsia="Arial" w:hAnsi="Arial"/>
          <w:sz w:val="18"/>
          <w:szCs w:val="18"/>
          <w:color w:val="auto"/>
        </w:rPr>
        <w:t xml:space="preserve"> </w:t>
      </w:r>
      <w:r>
        <w:rPr>
          <w:rFonts w:ascii="Arial" w:cs="Arial" w:eastAsia="Arial" w:hAnsi="Arial"/>
          <w:sz w:val="18"/>
          <w:szCs w:val="18"/>
          <w:color w:val="333333"/>
        </w:rPr>
        <w:t xml:space="preserve">COVID-19 for which VIR Biotechnology, Inc. and GlaxoSmithKline have received emergency use authorization from the FDA. In addition to therapeutics, vaccines indicated for active immunization to prevent COVID-19 have been authorized by the FDA. In August 2021, the FDA approved vaccines from </w:t>
      </w:r>
      <w:r>
        <w:rPr>
          <w:rFonts w:ascii="Arial" w:cs="Arial" w:eastAsia="Arial" w:hAnsi="Arial"/>
          <w:sz w:val="18"/>
          <w:szCs w:val="18"/>
          <w:color w:val="000000"/>
        </w:rPr>
        <w:t>Pfizer and BioNTech and Moderna, Inc. (“Moderna”), each of which were found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7" w:name="page28"/>
    <w:bookmarkEnd w:id="27"/>
    <w:p>
      <w:pPr>
        <w:spacing w:after="0" w:line="244" w:lineRule="auto"/>
        <w:rPr>
          <w:sz w:val="20"/>
          <w:szCs w:val="20"/>
          <w:color w:val="auto"/>
        </w:rPr>
      </w:pPr>
      <w:r>
        <w:rPr>
          <w:rFonts w:ascii="Arial" w:cs="Arial" w:eastAsia="Arial" w:hAnsi="Arial"/>
          <w:sz w:val="18"/>
          <w:szCs w:val="18"/>
          <w:color w:val="auto"/>
        </w:rPr>
        <w:t>be more than 90% effective in preventing COVID-19 during clinical trials. In addition, in February 2021, the FDA granted emergency use authorization to a vaccine developed by Janssen Pharmaceutical Company (“Janssen”). Each of Pfizer and BioNTech, Moderna and Janssen have also created, developed and received regulatory authorization in a number of jurisdictions for the use of vaccine “boosters,” which are intended to extend the immunizing effect initiated with the administration of the initial vaccine regimen.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we are unable to develop a treatment that can be distinguished based on efficacy, safety, cost or other factors from the growing number of treatments for COVID-19 or if any treatment becomes the standard of care, can be administered at a lower cost, or is more successful at commercializing an approved treatment, we may not be able to successfully commercialize a bemnifosbuvir COV19 product for the treatment of COVID-19, even if approved, or compete with other treatments or vaccines, which would adversely impact our business and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global emergence of variants and subvariants of SARS-CoV-2, including the Delta and Omicron variant and subvariants such as BA.2 and BA.2.12.1 and more recently BA.4 and BA.5,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adversely affected workforces, customers, consumer sentiment, economies, and financial markets, and, along with decreased consumer spending, contributed to an economic downturn in the United States. Future resurgences in cases may result in renewal of measures, now being increasingly relaxed, intended to reduce the spread of COVID-19.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At times during the pandemic, these measures have disrupted our business and delayed certain of our clinical programs and timelines. For example, our Phase 1/2a clinical trial in patients with hepatitis C virus (“HCV”) was paused when clinical trial sites closed due to COVID-19 precautions by the countries and medical facilities where the trial was to be conducted.</w:t>
      </w:r>
    </w:p>
    <w:p>
      <w:pPr>
        <w:spacing w:after="0" w:line="6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impact to our operations due to elongation of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manufacture of our product candidates, and our ability to raise capital.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clinical trials.</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 a result of the COVID-19 pandemic, we may experience additional disruptions that could severely impact our clinical trials, including but not limited to:</w:t>
      </w:r>
    </w:p>
    <w:p>
      <w:pPr>
        <w:spacing w:after="0" w:line="46" w:lineRule="exact"/>
        <w:rPr>
          <w:sz w:val="20"/>
          <w:szCs w:val="20"/>
          <w:color w:val="auto"/>
        </w:rPr>
      </w:pPr>
    </w:p>
    <w:p>
      <w:pPr>
        <w:ind w:left="1020" w:right="2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patients in a clinical trial as a result of rapidly evolving treatment paradigms, particularly in the case of patients with COVID-19;</w:t>
      </w:r>
    </w:p>
    <w:p>
      <w:pPr>
        <w:spacing w:after="0" w:line="32" w:lineRule="exact"/>
        <w:rPr>
          <w:rFonts w:ascii="Times New Roman" w:cs="Times New Roman" w:eastAsia="Times New Roman" w:hAnsi="Times New Roman"/>
          <w:sz w:val="18"/>
          <w:szCs w:val="18"/>
          <w:color w:val="auto"/>
        </w:rPr>
      </w:pPr>
    </w:p>
    <w:p>
      <w:pPr>
        <w:ind w:left="1020" w:right="8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patients that may not be able to comply with clinical trial protocols if quarantines impede patient movement or interrupt healthcare services;</w:t>
      </w:r>
    </w:p>
    <w:p>
      <w:pPr>
        <w:spacing w:after="0" w:line="59"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46" w:lineRule="exact"/>
        <w:rPr>
          <w:rFonts w:ascii="Times New Roman" w:cs="Times New Roman" w:eastAsia="Times New Roman" w:hAnsi="Times New Roman"/>
          <w:sz w:val="18"/>
          <w:szCs w:val="18"/>
          <w:color w:val="auto"/>
        </w:rPr>
      </w:pPr>
    </w:p>
    <w:p>
      <w:pPr>
        <w:ind w:left="1020" w:right="6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w:t>
      </w:r>
    </w:p>
    <w:p>
      <w:pPr>
        <w:spacing w:after="0" w:line="32"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8" w:name="page29"/>
    <w:bookmarkEnd w:id="28"/>
    <w:p>
      <w:pPr>
        <w:ind w:left="1020" w:right="112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32" w:lineRule="exact"/>
        <w:rPr>
          <w:rFonts w:ascii="Times New Roman" w:cs="Times New Roman" w:eastAsia="Times New Roman" w:hAnsi="Times New Roman"/>
          <w:sz w:val="18"/>
          <w:szCs w:val="18"/>
          <w:color w:val="auto"/>
        </w:rPr>
      </w:pPr>
    </w:p>
    <w:p>
      <w:pPr>
        <w:jc w:val="both"/>
        <w:ind w:left="1020" w:right="460" w:hanging="503"/>
        <w:spacing w:after="0" w:line="300" w:lineRule="auto"/>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36" w:lineRule="exact"/>
        <w:rPr>
          <w:rFonts w:ascii="Times New Roman" w:cs="Times New Roman" w:eastAsia="Times New Roman" w:hAnsi="Times New Roman"/>
          <w:sz w:val="17"/>
          <w:szCs w:val="17"/>
          <w:color w:val="auto"/>
        </w:rPr>
      </w:pPr>
    </w:p>
    <w:p>
      <w:pPr>
        <w:ind w:left="1020" w:right="4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supplies;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32"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refusal of the FDA or foreign regulatory authorities to accept data from clinical trials in these affected geographies.</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symptoms, progression, and transmission of COVID-19 resulting from infection with a particular variant, as evidenced with Delta or Omicron variants differ in multiple ways including severity of symptoms and rate of transmissibility. This rapid and continuing emergence of variants and the evolution of disease manifestation presents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bemnifosbuvir or are consistent with the underlying disease. Any increase in the severity or incidence of adverse events deemed to be related to bemnifosbuvir or any combination regimen we seek to develop could delay or prevent its regulatory approval, which could have a material adverse effect on our business, financial condition and results of operations. In addition, efficacy and antiviral results from a COVID-19 clinical trial may be affected by, among other things, which variant or variants causes the infection and evolving immunization status of the patients enrolling in the clinical trial, resulting in response rates that may also be variable over time as the pandemic progresses.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1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product at commercial-scale,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For example, due to changes in the COVID-19 landscape, we discontinued our Phase 3 MORNINGSKY trial in 2021. As we undertake additional development of a bemnifosbuvir COV19 product candidate, particularly if we advance a combination product, we may be required to conduct earlier-stage trials before we can advance to any late- or pivotal-stage clinical trials, and therefore will require additional time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9" w:name="page30"/>
    <w:bookmarkEnd w:id="29"/>
    <w:p>
      <w:pPr>
        <w:ind w:right="240"/>
        <w:spacing w:after="0" w:line="261" w:lineRule="auto"/>
        <w:rPr>
          <w:sz w:val="20"/>
          <w:szCs w:val="20"/>
          <w:color w:val="auto"/>
        </w:rPr>
      </w:pPr>
      <w:r>
        <w:rPr>
          <w:rFonts w:ascii="Arial" w:cs="Arial" w:eastAsia="Arial" w:hAnsi="Arial"/>
          <w:sz w:val="18"/>
          <w:szCs w:val="18"/>
          <w:color w:val="auto"/>
        </w:rPr>
        <w:t>resources, including the resources required to discover or acquire a product or product candidate that we can evaluate in combination with bemnifosbuvir. If we successfully develop and obtain approval of any product candidate, we will need to transition from a company with a research and development focus to a company capable of supporting commercial activities. We may not be successful in this transition.</w:t>
      </w:r>
    </w:p>
    <w:p>
      <w:pPr>
        <w:spacing w:after="0" w:line="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For example, the decision by Roche to terminate the Roche License Agreement also terminated Roche’s obligation, after February 10, 2022, the effective date of the termination of the Roche License Agreement, to share with us costs associated with the development of bemnifosbuvir for the treatment of COVID-19.</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as a further result of the termination of the Roche License Agreement, we will not receive any other revenue from Roche beyond the upfront payment we received in 2020 and the milestone payment we received in 2021. Accordingly, you should not rely upon the results included in this report or any other particular prior quarterly or annual period as indications of future operating performance.</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do not expect to maintain profitability in 2022 and for the foreseeable future.</w:t>
      </w:r>
    </w:p>
    <w:p>
      <w:pPr>
        <w:spacing w:after="0" w:line="4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have incurred significant operating expenses since our inception. For the three months ended March 31, 2022 and the year ended December 31, 2021, our operating expenses were $42.2 million and $213.0 million, respectively. In 2021, as a result of the termination by Roche of the Roche License Agreement, which resulted in the recognition of revenue for accounting purposes associated with the deferred revenue balance associated with upfront payment and the milestone payment we received from Roche, we recorded operating income for the year ended December 31, 2021. We do not expect to maintain operating income in 2022 and for the foreseeable future.</w:t>
      </w:r>
    </w:p>
    <w:p>
      <w:pPr>
        <w:spacing w:after="0" w:line="6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have not commercialized any products and have never generated any revenue from product sales. We have devoted almost all of our financial resources to research and development, including our clinical trials and preclinical development activities. We expect to continue to incur significant additional operating expenses and to incur operating losses in the remainder of 2022 and for the foreseeable future as we seek to advance product candidates through clinical development, continue preclinical development, expand our research and development activities, discover or acquire and develop new product candidates, acquire or in-license a drug or drug candidate for our bemnifosbuvir COV19 product candidate, complete preclinical studies and clinical trials, seek regulatory approval and, if we receive regulatory approval, commercialize our products.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order to obtain the FDA’s or a foreign regulatory authority’s approval to market any product candidate in the United States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again achieve profitability. Our expenses will also increase substantially if or as we:</w:t>
      </w:r>
    </w:p>
    <w:p>
      <w:pPr>
        <w:spacing w:after="0" w:line="69" w:lineRule="exact"/>
        <w:rPr>
          <w:sz w:val="20"/>
          <w:szCs w:val="20"/>
          <w:color w:val="auto"/>
        </w:rPr>
      </w:pPr>
    </w:p>
    <w:p>
      <w:pPr>
        <w:ind w:left="1020" w:right="4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clinical trials of our most advanced product candidate, bemnifosbuvir, for the treatment of patients with COVID-19;</w:t>
      </w:r>
    </w:p>
    <w:p>
      <w:pPr>
        <w:spacing w:after="0" w:line="32"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advance the development of our other product candidates, including the ongoing clinical development of AT-752 for the treatment of dengue, our planned clinical development of bemnifosbuvir in combination with ruzasvir for the treatment of HCV, and the preclinical development of potential other product candidates, including for the treatment of RSV;</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discover and develop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0" w:name="page31"/>
    <w:bookmarkEnd w:id="30"/>
    <w:p>
      <w:pPr>
        <w:ind w:left="1020" w:right="42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3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6" w:lineRule="exact"/>
        <w:rPr>
          <w:rFonts w:ascii="Times New Roman" w:cs="Times New Roman" w:eastAsia="Times New Roman" w:hAnsi="Times New Roman"/>
          <w:sz w:val="18"/>
          <w:szCs w:val="18"/>
          <w:color w:val="auto"/>
        </w:rPr>
      </w:pPr>
    </w:p>
    <w:p>
      <w:pPr>
        <w:ind w:left="1020" w:right="9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royalty or other payments under the Merck License Agreement with respect to the development and commercialization of ruzasvir and any future in-license agreements relating to other product candidates;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1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and any future product candidate we may discover, license or otherwise acquire,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amount of future expenses or losses and our ability to achieve or maintain profitability in future years, if ever, are uncertain. We have no products that have generated any commercial revenue, do not expect to generate revenues from the commercial sale of products in the foreseeable future,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8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Since inception, we have incurred substantial operating expenses. We expect to continue to incur substantial expenses to continue the clinical development of bemnifosbuvir COV19 product candidate for the treatment of COVID-19, the combination of bemnifosbuvir and ruzasvir for the treatment of HCV and AT-752 for the treatment of dengue. Additionally, we expect to incur significant expenses in the future in connection with clinical trials for other product candidates and in our efforts to identify new product candidates, through internal discovery efforts or through acquisition or licensing.</w:t>
      </w:r>
    </w:p>
    <w:p>
      <w:pPr>
        <w:spacing w:after="0" w:line="6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1" w:name="page32"/>
    <w:bookmarkEnd w:id="31"/>
    <w:p>
      <w:pPr>
        <w:ind w:right="20"/>
        <w:spacing w:after="0" w:line="246" w:lineRule="auto"/>
        <w:rPr>
          <w:sz w:val="20"/>
          <w:szCs w:val="20"/>
          <w:color w:val="auto"/>
        </w:rPr>
      </w:pPr>
      <w:r>
        <w:rPr>
          <w:rFonts w:ascii="Arial" w:cs="Arial" w:eastAsia="Arial" w:hAnsi="Arial"/>
          <w:sz w:val="18"/>
          <w:szCs w:val="18"/>
          <w:color w:val="auto"/>
        </w:rPr>
        <w:t>Based on our current operating plan, we believe that our cash and cash equivalents as of March 31, 2022 will be sufficient to fund our operating expenses and capital expenditure requirements through at least 2025.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if approved, commercialization of any product candidate we develop.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04" w:lineRule="exact"/>
        <w:rPr>
          <w:sz w:val="20"/>
          <w:szCs w:val="20"/>
          <w:color w:val="auto"/>
        </w:rPr>
      </w:pPr>
    </w:p>
    <w:p>
      <w:pPr>
        <w:ind w:left="1020" w:right="2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costs associated with discovery, license or acquisition of a protease inhibitor or another direct acting antiviral product candidate to combine with bemnifosbuvir and develop for the treatment of patients with COVID-19</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our preclinical studies and clinical trials;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46" w:lineRule="exact"/>
        <w:rPr>
          <w:rFonts w:ascii="Times New Roman" w:cs="Times New Roman" w:eastAsia="Times New Roman" w:hAnsi="Times New Roman"/>
          <w:sz w:val="18"/>
          <w:szCs w:val="18"/>
          <w:color w:val="auto"/>
        </w:rPr>
      </w:pPr>
    </w:p>
    <w:p>
      <w:pPr>
        <w:ind w:left="1020" w:right="78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59"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76"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changes in pharmaceutical pricing and reimbursement infrastructure;</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receipt of regulatory approval, revenue, if any, received from commercial sales for any approved indications for any of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with other therapies in the indications we target;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in-license or acquire rights to products, product candidates or technologies in addition to ruzasvir;</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growth of our headcount and associated costs as we expand our research and development capabilities and establish a commercial infrastructure;</w:t>
      </w:r>
    </w:p>
    <w:p>
      <w:pPr>
        <w:spacing w:after="0" w:line="46" w:lineRule="exact"/>
        <w:rPr>
          <w:rFonts w:ascii="Times New Roman" w:cs="Times New Roman" w:eastAsia="Times New Roman" w:hAnsi="Times New Roman"/>
          <w:sz w:val="18"/>
          <w:szCs w:val="18"/>
          <w:color w:val="auto"/>
        </w:rPr>
      </w:pPr>
    </w:p>
    <w:p>
      <w:pPr>
        <w:ind w:left="1020" w:right="16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costs of operating as a public company.</w:t>
      </w:r>
    </w:p>
    <w:p>
      <w:pPr>
        <w:spacing w:after="0" w:line="10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achieve profitability.</w:t>
      </w:r>
    </w:p>
    <w:p>
      <w:pPr>
        <w:spacing w:after="0" w:line="11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Due to the recognition of revenue for accounting purposes of certain payments we received under the terminated Roche License Agreement, we recognized operating income for the year ended December 31, 2021, however, our ability to achieve and sustain future profitability depends upon our ability to generate revenue from product sales. Other than from the Roche License Agreement, we have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2" w:name="page33"/>
    <w:bookmarkEnd w:id="32"/>
    <w:p>
      <w:pPr>
        <w:ind w:right="120"/>
        <w:spacing w:after="0" w:line="252" w:lineRule="auto"/>
        <w:rPr>
          <w:sz w:val="20"/>
          <w:szCs w:val="20"/>
          <w:color w:val="auto"/>
        </w:rPr>
      </w:pPr>
      <w:r>
        <w:rPr>
          <w:rFonts w:ascii="Arial" w:cs="Arial" w:eastAsia="Arial" w:hAnsi="Arial"/>
          <w:sz w:val="18"/>
          <w:szCs w:val="18"/>
          <w:color w:val="auto"/>
        </w:rPr>
        <w:t>all cases will require additional clinical development as well as regulatory review and approval, substantial investment, access to sufficient commercial manufacturing capacity and significant marketing efforts before we can generate any revenue from product sales. Currently, we do not anticipate generating revenue from product sales for at least the next several years. Our ability to generate revenue depends on a number of factors, including, but not limited to:</w:t>
      </w:r>
    </w:p>
    <w:p>
      <w:pPr>
        <w:spacing w:after="0" w:line="76" w:lineRule="exact"/>
        <w:rPr>
          <w:sz w:val="20"/>
          <w:szCs w:val="20"/>
          <w:color w:val="auto"/>
        </w:rPr>
      </w:pPr>
    </w:p>
    <w:p>
      <w:pPr>
        <w:ind w:left="1020" w:right="18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timely initiation and completion of our clinical trials of bemnifosbuvir COV-19 product, bemnifosbuvir and ruzasvir, and AT-752, our preclinical studies and other future clinical trials, which may be significantly slower or more costly than we currently anticipate and will depend substantially upon the performance of third-party contractors;</w:t>
      </w:r>
    </w:p>
    <w:p>
      <w:pPr>
        <w:spacing w:after="0" w:line="7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5"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59"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 or similar requirements outside the United States;</w:t>
      </w:r>
    </w:p>
    <w:p>
      <w:pPr>
        <w:spacing w:after="0" w:line="74" w:lineRule="exact"/>
        <w:rPr>
          <w:rFonts w:ascii="Times New Roman" w:cs="Times New Roman" w:eastAsia="Times New Roman" w:hAnsi="Times New Roman"/>
          <w:sz w:val="18"/>
          <w:szCs w:val="18"/>
          <w:color w:val="auto"/>
        </w:rPr>
      </w:pPr>
    </w:p>
    <w:p>
      <w:pPr>
        <w:jc w:val="both"/>
        <w:ind w:left="1020" w:right="34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62"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3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be able to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w:t>
      </w:r>
    </w:p>
    <w:p>
      <w:pPr>
        <w:spacing w:after="0" w:line="8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taxable income may be subject to certain limitations.</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utilized federal and state net operating loss carryforwards (“NOLs”) of approximately $52.8 million and $52.6 million, respectively, during the year ending December 31, 2021. We utilized federal and state research and development credit carryforwards of $0.7 million and $0.3 million, respectively during the year ended December 31, 2021. As of March 31, 2022, we had federal NOLs of $0.4 million which may be available to offset future taxable income, if any.</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3" w:name="page34"/>
    <w:bookmarkEnd w:id="33"/>
    <w:p>
      <w:pPr>
        <w:ind w:right="160"/>
        <w:spacing w:after="0" w:line="252" w:lineRule="auto"/>
        <w:rPr>
          <w:sz w:val="20"/>
          <w:szCs w:val="20"/>
          <w:color w:val="auto"/>
        </w:rPr>
      </w:pPr>
      <w:r>
        <w:rPr>
          <w:rFonts w:ascii="Arial" w:cs="Arial" w:eastAsia="Arial" w:hAnsi="Arial"/>
          <w:sz w:val="18"/>
          <w:szCs w:val="18"/>
          <w:color w:val="auto"/>
        </w:rPr>
        <w:t>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performed an analysis through December 31, 2020 pursuant to Section 382 of the Code to determine whether any limitations might exist on the utilization of NOLs and other tax attributes. Based on this analysis, we have determined that ownership changes occurred in 2014. In addition, based on publicly available statements of acquisition of beneficial ownership, we identified an ownership change on December 31, 2021 which did not have an impact on our consolidated financial statements. We are in the process of completing a Section 382 study for the fiscal year 2021, the results of which could indicate that the ownership shift occurred prior to December 31, 2021.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w:t>
      </w:r>
    </w:p>
    <w:p>
      <w:pPr>
        <w:spacing w:after="0" w:line="74"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4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90"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3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Our business is highly dependent on our ability to identify and develop a bemnifosbuvir COV19 product for the treatment of COVID-19. If we are not successful in identifying and developing a bemnifosbuvir COV19 product candidate, our business will be harmed. Our business is also highly dependent on the success of our other most advanced product candidates, including the combination of bemnifosbuvir and rusazvir for the treatment of HCV, and AT-752 for the treatment of dengue,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5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 substantial portion of our business and future success depends on our ability to identify and develop a bemnifosbuvir COV19 product candidate for the treatment of COVID-19 and to develop, obtain regulatory approval for and successfully commercialize the combination of bemnifosbuvir and rusazvir for the treatment of HCV and AT-752 for the treatment of dengue. We currently have no products that are approved for commercial sale and have not completed the development of any of our product candidates, and we may never be able to develop marketable products. We expect that a substantial portion of our efforts and expenditures will be devoted to identifying and developing a potential benmnifosbuvir COV19 product candidate for the treatment of COVID-19, which may require additional preclinical and clinical development and expenses related to discovering, acquiring or in-licensing a drug or drug candidate to combine with bemnifosbuvir. Additionally, we expect that a substantial portion of our efforts and expenditures over the next few years will be devoted to developing the combination of bemnifosbuvir and rusazvir for the treatment of HCV and AT-752 for the treatment of dengue, each of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We cannot be certain that any of our current or future product candidates will be successful in clinical trials, receive regulatory approval or be successfully commercialized even if we receive regulatory approval. For example, a Phase 2 clinical trial evaluating bemnifosbuvir for the treatment of mild-to-moderate COVID-19 in outpatients failed to meet its primary endpoint in the overall study population. Further, our development of any product candidate may be delayed, which may affect our ability to successfully commercialize such product candidate.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7"/>
          <w:szCs w:val="17"/>
          <w:color w:val="auto"/>
        </w:rPr>
        <w:t>If our competitors develop products to treat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any product candidate,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or in identifying and developing a bemnifosbuvir COV19 product candidate,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67" w:lineRule="exact"/>
        <w:rPr>
          <w:sz w:val="20"/>
          <w:szCs w:val="20"/>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32"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9"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46" w:lineRule="exact"/>
        <w:rPr>
          <w:rFonts w:ascii="Times New Roman" w:cs="Times New Roman" w:eastAsia="Times New Roman" w:hAnsi="Times New Roman"/>
          <w:sz w:val="18"/>
          <w:szCs w:val="18"/>
          <w:color w:val="auto"/>
        </w:rPr>
      </w:pPr>
    </w:p>
    <w:p>
      <w:pPr>
        <w:ind w:left="1020" w:right="62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5" w:name="page36"/>
    <w:bookmarkEnd w:id="35"/>
    <w:p>
      <w:pPr>
        <w:ind w:right="60"/>
        <w:spacing w:after="0" w:line="24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7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Clinical development is lengthy and uncertain. We may encounter substantial delays and costs in our clinical trials, or may not be able to conduct or complete our clinical trials on the timelines we expect, if at all.</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October 2021 of bemnifosbuvir to meet the primary endpoint in the overall patient population in the Phase 2 MOONSONG clinical trial, and the outcome of preclinical studies and early-stage clinical trials may not be predictive of the success of later clinical trials. This is particularly true in the development of therapeutics for the treatment of COVID-19, where the evolution of the virus and disease have occurred at such a rapid rate that product candidates in development have the potential to become obsolete before clinical development is completed. Moreover, preclinical and clinical data, particularly the analysis of exploratory endpoints and analysis of data derived from patient subgroups, are often susceptible to varying interpretations,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 but are not limited to:</w:t>
      </w:r>
    </w:p>
    <w:p>
      <w:pPr>
        <w:spacing w:after="0" w:line="66" w:lineRule="exact"/>
        <w:rPr>
          <w:sz w:val="20"/>
          <w:szCs w:val="20"/>
          <w:color w:val="auto"/>
        </w:rPr>
      </w:pPr>
    </w:p>
    <w:p>
      <w:pPr>
        <w:ind w:left="1020" w:right="38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failure in obtaining regulatory authorization to commence a trial;</w:t>
      </w:r>
    </w:p>
    <w:p>
      <w:pPr>
        <w:spacing w:after="0" w:line="11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recruiting, screening and enrolling suitable patients to participate in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3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59"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6" w:name="page37"/>
    <w:bookmarkEnd w:id="36"/>
    <w:p>
      <w:pPr>
        <w:ind w:left="1020" w:right="40"/>
        <w:spacing w:after="0" w:line="287" w:lineRule="auto"/>
        <w:rPr>
          <w:sz w:val="20"/>
          <w:szCs w:val="20"/>
          <w:color w:val="auto"/>
        </w:rPr>
      </w:pPr>
      <w:r>
        <w:rPr>
          <w:rFonts w:ascii="Arial" w:cs="Arial" w:eastAsia="Arial" w:hAnsi="Arial"/>
          <w:sz w:val="18"/>
          <w:szCs w:val="18"/>
          <w:color w:val="auto"/>
        </w:rPr>
        <w:t>result of a new safety finding that presents unreasonable risk to clinical trial participants; or a negative finding from an inspection of our clinical trial operations or study sites;</w:t>
      </w:r>
    </w:p>
    <w:p>
      <w:pPr>
        <w:spacing w:after="0" w:line="31" w:lineRule="exact"/>
        <w:rPr>
          <w:sz w:val="20"/>
          <w:szCs w:val="20"/>
          <w:color w:val="auto"/>
        </w:rPr>
      </w:pPr>
    </w:p>
    <w:p>
      <w:pPr>
        <w:ind w:left="1020" w:right="6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55" w:lineRule="exact"/>
        <w:rPr>
          <w:rFonts w:ascii="Times New Roman" w:cs="Times New Roman" w:eastAsia="Times New Roman" w:hAnsi="Times New Roman"/>
          <w:sz w:val="18"/>
          <w:szCs w:val="18"/>
          <w:color w:val="auto"/>
        </w:rPr>
      </w:pPr>
    </w:p>
    <w:p>
      <w:pPr>
        <w:ind w:left="1020" w:right="36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delays caused by patients withdrawing from clinical trials or failing to return for post-treatment follow-up, including due to the COVID-19 pandemic or political unrest and war, including the current conflict between the Ukraine and Russia and any escalation or spillover into additional regions;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collaborating with patient groups and investigators;</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55"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clinical trial protocols;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sites deviating from trial protocol or dropping out of a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46" w:lineRule="exact"/>
        <w:rPr>
          <w:rFonts w:ascii="Times New Roman" w:cs="Times New Roman" w:eastAsia="Times New Roman" w:hAnsi="Times New Roman"/>
          <w:sz w:val="18"/>
          <w:szCs w:val="18"/>
          <w:color w:val="auto"/>
        </w:rPr>
      </w:pPr>
    </w:p>
    <w:p>
      <w:pPr>
        <w:ind w:left="1020" w:right="420" w:hanging="503"/>
        <w:spacing w:after="0" w:line="28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0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In particular, changes in the standard of care for the treatment of COVID-19, which is rapidly evolving due to the mutation of the virus, rapidly increasing knowledge being obtained by healthcare providers, rates and durability of vaccines, and availability of an increasing number of therapeutic options, may impact the initiation or successful completion of clinical trials.</w:t>
      </w:r>
    </w:p>
    <w:p>
      <w:pPr>
        <w:spacing w:after="0" w:line="8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6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7" w:name="page38"/>
    <w:bookmarkEnd w:id="37"/>
    <w:p>
      <w:pPr>
        <w:ind w:right="180"/>
        <w:spacing w:after="0" w:line="261" w:lineRule="auto"/>
        <w:rPr>
          <w:sz w:val="20"/>
          <w:szCs w:val="20"/>
          <w:color w:val="auto"/>
        </w:rPr>
      </w:pPr>
      <w:r>
        <w:rPr>
          <w:rFonts w:ascii="Arial" w:cs="Arial" w:eastAsia="Arial" w:hAnsi="Arial"/>
          <w:sz w:val="18"/>
          <w:szCs w:val="18"/>
          <w:color w:val="auto"/>
        </w:rPr>
        <w:t>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 conducting clinical trials in foreign countries, as we expect to continue doing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7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clinical research organizations (“CROs”), may impact our developments plans.</w:t>
      </w:r>
    </w:p>
    <w:p>
      <w:pPr>
        <w:spacing w:after="0" w:line="9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It is currently unclear to what extent the United Kingdom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closes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8"/>
          <w:szCs w:val="18"/>
          <w:color w:val="auto"/>
        </w:rPr>
        <w:t>the cost of conducting clinical trials in the UK as opposed to other countries and/or make it harder to seek a marketing authorization in the EU for our product candidates on the basis of clinical trials conducted in the UK.</w:t>
      </w:r>
    </w:p>
    <w:p>
      <w:pPr>
        <w:ind w:right="60"/>
        <w:spacing w:after="0" w:line="250"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also be impacted.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For the treatment of COVID-19, we are evaluating the development of a bemnifosbuvir COV19 product candidate.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viral infections, and we would be subject to similar risks if we develop any of our product candidates for use in combination with other drugs or biologics or for indications other than COVID-19. Developing combination therapies using approved therapeutics, as we may decide to do for our product candidates, also exposes us to additional clinical risks, such as the requirement that we demonstrate the safety and efficacy of each active component of any combination regimen we may develop.</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the treatment of HCV, we intend to evaluate bemnifosbuvir in combination with ruzasvir, a product candidate that has not yet been approved for marketing by the FDA or similar foreign regulatory authorities. We may not be able to market and sell any product candidate we develop in combination with any such unapproved therapies that do not ultimately obtain marketing approval.</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8"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51"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adverse events caused by such products, a number of potentially significant negative consequences could result, including but not limited to:</w:t>
      </w:r>
    </w:p>
    <w:p>
      <w:pPr>
        <w:spacing w:after="0" w:line="117" w:lineRule="exact"/>
        <w:rPr>
          <w:sz w:val="20"/>
          <w:szCs w:val="20"/>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46" w:lineRule="exact"/>
        <w:rPr>
          <w:rFonts w:ascii="Times New Roman" w:cs="Times New Roman" w:eastAsia="Times New Roman" w:hAnsi="Times New Roman"/>
          <w:sz w:val="18"/>
          <w:szCs w:val="18"/>
          <w:color w:val="auto"/>
        </w:rPr>
      </w:pPr>
    </w:p>
    <w:p>
      <w:pPr>
        <w:ind w:left="1020" w:right="20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or similar risk management measures which could include a medication guide outlining the risks of such side effects for distribution to patients;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1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6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but not limited to:</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patient eligibility criteria defined in the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target disease population;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of patients to trial sites;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2"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 and political unrest and war, including the current conflict between the Ukraine and Russia and any escalation or spillover into additional regions.</w:t>
      </w:r>
    </w:p>
    <w:p>
      <w:pPr>
        <w:spacing w:after="0" w:line="7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0" w:name="page41"/>
    <w:bookmarkEnd w:id="40"/>
    <w:p>
      <w:pPr>
        <w:ind w:right="120"/>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56"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conduct, and expect in the future to conduct, clinical trials outside the United States for our product candidates.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86" w:lineRule="exact"/>
        <w:rPr>
          <w:sz w:val="20"/>
          <w:szCs w:val="20"/>
          <w:color w:val="auto"/>
        </w:rPr>
      </w:pPr>
    </w:p>
    <w:p>
      <w:pPr>
        <w:ind w:left="1020" w:right="120" w:hanging="503"/>
        <w:spacing w:after="0" w:line="28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foreign exchange fluctuations;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customs, shipment and storage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cultural differences in medical practice and clinical research; and</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data should be viewed with caution until the final data are available.</w:t>
      </w:r>
    </w:p>
    <w:p>
      <w:pPr>
        <w:spacing w:after="0" w:line="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1" w:name="page42"/>
    <w:bookmarkEnd w:id="41"/>
    <w:p>
      <w:pPr>
        <w:spacing w:after="0" w:line="26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w:t>
      </w:r>
    </w:p>
    <w:p>
      <w:pPr>
        <w:spacing w:after="0" w:line="5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5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02" w:lineRule="exact"/>
        <w:rPr>
          <w:rFonts w:ascii="Times New Roman" w:cs="Times New Roman" w:eastAsia="Times New Roman" w:hAnsi="Times New Roman"/>
          <w:sz w:val="18"/>
          <w:szCs w:val="18"/>
          <w:color w:val="auto"/>
        </w:rPr>
      </w:pPr>
    </w:p>
    <w:p>
      <w:pPr>
        <w:ind w:left="1020" w:right="28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32" w:lineRule="exact"/>
        <w:rPr>
          <w:rFonts w:ascii="Times New Roman" w:cs="Times New Roman" w:eastAsia="Times New Roman" w:hAnsi="Times New Roman"/>
          <w:sz w:val="18"/>
          <w:szCs w:val="18"/>
          <w:color w:val="auto"/>
        </w:rPr>
      </w:pPr>
    </w:p>
    <w:p>
      <w:pPr>
        <w:ind w:left="1020" w:right="120" w:hanging="503"/>
        <w:spacing w:after="0" w:line="300"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36"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02"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we are unable to identify and successfully commercialize additional suitable product candidates, this would adversely impact our business strategy and our financial position.</w:t>
      </w:r>
    </w:p>
    <w:p>
      <w:pPr>
        <w:spacing w:after="0" w:line="33"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7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bemnifosbuvir COV19 product candidate for the treatment of COVID-19, bemnifosbuvir in combination with rusazvir for the treatment of HCV and AT-752 for the treatment of dengue,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more advantageous for us to retain sole development and commercialization rights to such future product candidates.</w:t>
      </w:r>
    </w:p>
    <w:p>
      <w:pPr>
        <w:spacing w:after="0" w:line="11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or similar expedited approval pathways outside the United States.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expedited approval.</w:t>
      </w:r>
    </w:p>
    <w:p>
      <w:pPr>
        <w:spacing w:after="0" w:line="5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European Medicines Agency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 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w:t>
      </w:r>
    </w:p>
    <w:p>
      <w:pPr>
        <w:spacing w:after="0" w:line="101"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3" w:name="page44"/>
    <w:bookmarkEnd w:id="43"/>
    <w:p>
      <w:pPr>
        <w:ind w:right="60"/>
        <w:spacing w:after="0" w:line="243"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7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pharmaceutical industry in the long term.</w:t>
      </w:r>
    </w:p>
    <w:p>
      <w:pPr>
        <w:spacing w:after="0" w:line="8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69"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seek an EUA from the FDA or comparable emergency use authorizations from foreign regulatory authorities with respect to our product candidate in development for the treatment of COVID-19, and if we fail to obtain or maintain such authorizations, we may be required to pursue a more lengthy clinical development process than we expect, and our business may be harmed</w:t>
      </w:r>
      <w:r>
        <w:rPr>
          <w:rFonts w:ascii="Arial" w:cs="Arial" w:eastAsia="Arial" w:hAnsi="Arial"/>
          <w:sz w:val="18"/>
          <w:szCs w:val="18"/>
          <w:color w:val="auto"/>
        </w:rPr>
        <w:t>.</w:t>
      </w:r>
    </w:p>
    <w:p>
      <w:pPr>
        <w:spacing w:after="0" w:line="6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seek an EUA from the FDA or comparable emergency use authorizations from other foreign regulatory authorities with respect to our COVID-19 product candidate. The FDA has the authority to issue an EUA under certain circumstances, such as during a public health emergency, pursuant to a declaration by the Secretary of the Department of Health and Human Services, or HHS, that an emergency exists justifying the issuance of EUAs for certain types of products (referred to as EUA declarations). On March 27, 2020, the Secretary of HHS declared that circumstances exist justifying authorization of drugs and biologics during the COVID-19 pandemic, subject to the terms of any EUA that is issued for a specific product. Once an EUA declaration has been issued and remains in place, the FDA can issue EUAs for products that fall within the scope of that declaration. To issue an EUA, the FDA Commissioner must conclude that (1) the chemical, biological, radioactive or nuclear agent, or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4" w:name="page45"/>
    <w:bookmarkEnd w:id="44"/>
    <w:p>
      <w:pPr>
        <w:spacing w:after="0" w:line="251" w:lineRule="auto"/>
        <w:rPr>
          <w:sz w:val="20"/>
          <w:szCs w:val="20"/>
          <w:color w:val="auto"/>
        </w:rPr>
      </w:pPr>
      <w:r>
        <w:rPr>
          <w:rFonts w:ascii="Arial" w:cs="Arial" w:eastAsia="Arial" w:hAnsi="Arial"/>
          <w:sz w:val="18"/>
          <w:szCs w:val="18"/>
          <w:color w:val="auto"/>
        </w:rPr>
        <w:t>The FDA’s standards for granting an EUA are lower than for approving NDAs in accordance with traditional review procedures, and even if we seek and obtain an EUA for one or more of our product candidates, we cannot assure you that the FDA would approve a NDA for such product candidate, if such approval is required. Accordingly, even if we obtain an EUA for one or more of our product candidates, we may be required to conduct additional clinical trials before we are able to submit NDAs or comparable marketing applications for such product candidates.</w:t>
      </w:r>
    </w:p>
    <w:p>
      <w:pPr>
        <w:spacing w:after="0" w:line="6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the authorization to market products under an EUA is limited to the period of time the EUA declaration is in effect, and the FDA can revoke an EUA in certain circumstances. The FDA’s policies regarding an EUA can change unexpectedly. We cannot predict how long any authorization, if obtained, will remain in place. The FDA’s policies regarding vaccines and other products used to diagnose, treat or mitigate COVID-19 remain in flux as the FDA responds to new and evolving public health information and clinical evidence.</w:t>
      </w:r>
    </w:p>
    <w:p>
      <w:pPr>
        <w:spacing w:after="0" w:line="6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Therefore, even if we obtain an EUA or other emergency authorizations for one or more of our product candidates, it is possible that such EUA or other authorizations may be revoked and we may be required to cease any commercialization activities, which would adversely impact our business, financial condition and results of operations.</w:t>
      </w:r>
    </w:p>
    <w:p>
      <w:pPr>
        <w:spacing w:after="0" w:line="5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4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oral antivirals have been recently authorized for the treatment of COVID-19,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but not limited to:</w:t>
      </w:r>
    </w:p>
    <w:p>
      <w:pPr>
        <w:spacing w:after="0" w:line="6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efficacy and potential advantages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offer our products, if approved, for sale at competitive prices;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convenience and ease of administration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102"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45" w:name="page46"/>
    <w:bookmarkEnd w:id="45"/>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adoption of a companion diagnostic and/or complementary diagnostic;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1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Disruptions at the FDA and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4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May 2022.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8"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45"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6" w:name="page47"/>
    <w:bookmarkEnd w:id="46"/>
    <w:p>
      <w:pPr>
        <w:ind w:right="400"/>
        <w:spacing w:after="0" w:line="287" w:lineRule="auto"/>
        <w:rPr>
          <w:sz w:val="20"/>
          <w:szCs w:val="20"/>
          <w:color w:val="auto"/>
        </w:rPr>
      </w:pPr>
      <w:r>
        <w:rPr>
          <w:rFonts w:ascii="Arial" w:cs="Arial" w:eastAsia="Arial" w:hAnsi="Arial"/>
          <w:sz w:val="18"/>
          <w:szCs w:val="18"/>
          <w:color w:val="auto"/>
        </w:rPr>
        <w:t>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3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6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business and operations may suffer in the event of system failures, deficiencies or intrusions which could materially affect our results.</w:t>
      </w:r>
    </w:p>
    <w:p>
      <w:pPr>
        <w:spacing w:after="0" w:line="3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computer systems, as well as those of our CROs and other contractors and consultants, are vulnerable to failure or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w:t>
      </w:r>
    </w:p>
    <w:p>
      <w:pPr>
        <w:spacing w:after="0" w:line="8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Despite security measures that we and our critical third parties (e.g., collaborators) implement, our information technology and infrastructure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will be subject to extensive and costly government regulation.</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w:t>
      </w:r>
    </w:p>
    <w:p>
      <w:pPr>
        <w:spacing w:after="0" w:line="6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7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6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obtain marketing approval of and commercialize our product candidates and could adversely affect our business.</w:t>
      </w:r>
    </w:p>
    <w:p>
      <w:pPr>
        <w:spacing w:after="0" w:line="45"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8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74" w:lineRule="exact"/>
        <w:rPr>
          <w:sz w:val="20"/>
          <w:szCs w:val="20"/>
          <w:color w:val="auto"/>
        </w:rPr>
      </w:pPr>
    </w:p>
    <w:p>
      <w:pPr>
        <w:ind w:left="1020" w:right="34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62" w:lineRule="exact"/>
        <w:rPr>
          <w:rFonts w:ascii="Times New Roman" w:cs="Times New Roman" w:eastAsia="Times New Roman" w:hAnsi="Times New Roman"/>
          <w:sz w:val="18"/>
          <w:szCs w:val="18"/>
          <w:color w:val="auto"/>
        </w:rPr>
      </w:pPr>
    </w:p>
    <w:p>
      <w:pPr>
        <w:ind w:left="1020" w:right="160" w:hanging="503"/>
        <w:spacing w:after="0" w:line="28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3" w:right="379" w:bottom="1440" w:gutter="0" w:footer="0" w:header="0"/>
        </w:sectPr>
      </w:pPr>
    </w:p>
    <w:bookmarkStart w:id="48" w:name="page49"/>
    <w:bookmarkEnd w:id="48"/>
    <w:p>
      <w:pPr>
        <w:ind w:left="1020"/>
        <w:spacing w:after="0"/>
        <w:rPr>
          <w:sz w:val="20"/>
          <w:szCs w:val="20"/>
          <w:color w:val="auto"/>
        </w:rPr>
      </w:pPr>
      <w:r>
        <w:rPr>
          <w:rFonts w:ascii="Arial" w:cs="Arial" w:eastAsia="Arial" w:hAnsi="Arial"/>
          <w:sz w:val="18"/>
          <w:szCs w:val="18"/>
          <w:color w:val="auto"/>
        </w:rPr>
        <w:t>their coverage gap period, as a condition for the manufacturer’s outpatient drugs to be covered under Medicare Part D;</w:t>
      </w:r>
    </w:p>
    <w:p>
      <w:pPr>
        <w:spacing w:after="0" w:line="117" w:lineRule="exact"/>
        <w:rPr>
          <w:sz w:val="20"/>
          <w:szCs w:val="20"/>
          <w:color w:val="auto"/>
        </w:rPr>
      </w:pPr>
    </w:p>
    <w:p>
      <w:pPr>
        <w:ind w:left="1020" w:right="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32"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2" w:lineRule="exact"/>
        <w:rPr>
          <w:rFonts w:ascii="Times New Roman" w:cs="Times New Roman" w:eastAsia="Times New Roman" w:hAnsi="Times New Roman"/>
          <w:sz w:val="18"/>
          <w:szCs w:val="18"/>
          <w:color w:val="auto"/>
        </w:rPr>
      </w:pPr>
    </w:p>
    <w:p>
      <w:pPr>
        <w:ind w:left="1020" w:right="76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32"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6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w:t>
      </w:r>
    </w:p>
    <w:p>
      <w:pPr>
        <w:spacing w:after="0" w:line="75"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8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9" w:name="page50"/>
    <w:bookmarkEnd w:id="49"/>
    <w:p>
      <w:pPr>
        <w:ind w:right="480"/>
        <w:spacing w:after="0" w:line="287" w:lineRule="auto"/>
        <w:rPr>
          <w:sz w:val="20"/>
          <w:szCs w:val="20"/>
          <w:color w:val="auto"/>
        </w:rPr>
      </w:pPr>
      <w:r>
        <w:rPr>
          <w:rFonts w:ascii="Arial" w:cs="Arial" w:eastAsia="Arial" w:hAnsi="Arial"/>
          <w:sz w:val="18"/>
          <w:szCs w:val="18"/>
          <w:color w:val="auto"/>
        </w:rPr>
        <w:t>which suppliers will be included in their prescription drug and other healthcare programs. This could reduce the ultimate demand for our product candidates or put pressure on our product pricing.</w:t>
      </w:r>
    </w:p>
    <w:p>
      <w:pPr>
        <w:spacing w:after="0" w:line="3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ind w:right="160"/>
        <w:spacing w:after="0" w:line="260" w:lineRule="auto"/>
        <w:rPr>
          <w:sz w:val="20"/>
          <w:szCs w:val="20"/>
          <w:color w:val="auto"/>
        </w:rPr>
      </w:pPr>
      <w:r>
        <w:rPr>
          <w:rFonts w:ascii="Arial" w:cs="Arial" w:eastAsia="Arial" w:hAnsi="Arial"/>
          <w:sz w:val="17"/>
          <w:szCs w:val="17"/>
          <w:color w:val="auto"/>
        </w:rPr>
        <w:t>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5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78"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3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contract manufacturers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8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6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letters;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0" w:name="page51"/>
    <w:bookmarkEnd w:id="50"/>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but are not limited to:</w:t>
      </w:r>
    </w:p>
    <w:p>
      <w:pPr>
        <w:spacing w:after="0" w:line="76" w:lineRule="exact"/>
        <w:rPr>
          <w:sz w:val="20"/>
          <w:szCs w:val="20"/>
          <w:color w:val="auto"/>
        </w:rPr>
      </w:pPr>
    </w:p>
    <w:p>
      <w:pPr>
        <w:ind w:left="1020" w:right="100" w:hanging="503"/>
        <w:spacing w:after="0" w:line="245"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1" w:lineRule="exact"/>
        <w:rPr>
          <w:rFonts w:ascii="Times New Roman" w:cs="Times New Roman" w:eastAsia="Times New Roman" w:hAnsi="Times New Roman"/>
          <w:sz w:val="18"/>
          <w:szCs w:val="18"/>
          <w:color w:val="auto"/>
        </w:rPr>
      </w:pPr>
    </w:p>
    <w:p>
      <w:pPr>
        <w:ind w:left="1020" w:right="40" w:hanging="503"/>
        <w:spacing w:after="0" w:line="24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51" w:name="page52"/>
    <w:bookmarkEnd w:id="51"/>
    <w:p>
      <w:pPr>
        <w:ind w:left="503" w:right="60"/>
        <w:spacing w:after="0" w:line="244" w:lineRule="auto"/>
        <w:rPr>
          <w:sz w:val="20"/>
          <w:szCs w:val="20"/>
          <w:color w:val="auto"/>
        </w:rPr>
      </w:pPr>
      <w:r>
        <w:rPr>
          <w:rFonts w:ascii="Arial" w:cs="Arial" w:eastAsia="Arial" w:hAnsi="Arial"/>
          <w:sz w:val="18"/>
          <w:szCs w:val="18"/>
          <w:color w:val="auto"/>
        </w:rPr>
        <w:t>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69" w:lineRule="exact"/>
        <w:rPr>
          <w:sz w:val="20"/>
          <w:szCs w:val="20"/>
          <w:color w:val="auto"/>
        </w:rPr>
      </w:pPr>
    </w:p>
    <w:p>
      <w:pPr>
        <w:ind w:left="503" w:right="220" w:hanging="503"/>
        <w:spacing w:after="0" w:line="252"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4" w:lineRule="exact"/>
        <w:rPr>
          <w:rFonts w:ascii="Times New Roman" w:cs="Times New Roman" w:eastAsia="Times New Roman" w:hAnsi="Times New Roman"/>
          <w:sz w:val="18"/>
          <w:szCs w:val="18"/>
          <w:color w:val="auto"/>
        </w:rPr>
      </w:pPr>
    </w:p>
    <w:p>
      <w:pPr>
        <w:ind w:left="503" w:right="100" w:hanging="503"/>
        <w:spacing w:after="0" w:line="244"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70" w:lineRule="exact"/>
        <w:rPr>
          <w:rFonts w:ascii="Times New Roman" w:cs="Times New Roman" w:eastAsia="Times New Roman" w:hAnsi="Times New Roman"/>
          <w:sz w:val="18"/>
          <w:szCs w:val="18"/>
          <w:color w:val="auto"/>
        </w:rPr>
      </w:pPr>
    </w:p>
    <w:p>
      <w:pPr>
        <w:ind w:left="503" w:right="40" w:hanging="503"/>
        <w:spacing w:after="0" w:line="286"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32" w:lineRule="exact"/>
        <w:rPr>
          <w:rFonts w:ascii="Times New Roman" w:cs="Times New Roman" w:eastAsia="Times New Roman" w:hAnsi="Times New Roman"/>
          <w:sz w:val="18"/>
          <w:szCs w:val="18"/>
          <w:color w:val="auto"/>
        </w:rPr>
      </w:pPr>
    </w:p>
    <w:p>
      <w:pPr>
        <w:ind w:left="503" w:right="60" w:hanging="503"/>
        <w:spacing w:after="0" w:line="246"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w:t>
      </w:r>
    </w:p>
    <w:p>
      <w:pPr>
        <w:spacing w:after="0" w:line="66" w:lineRule="exact"/>
        <w:rPr>
          <w:rFonts w:ascii="Times New Roman" w:cs="Times New Roman" w:eastAsia="Times New Roman" w:hAnsi="Times New Roman"/>
          <w:sz w:val="18"/>
          <w:szCs w:val="18"/>
          <w:color w:val="auto"/>
        </w:rPr>
      </w:pPr>
    </w:p>
    <w:p>
      <w:pPr>
        <w:ind w:left="503" w:right="460" w:hanging="503"/>
        <w:spacing w:after="0" w:line="270"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59" w:lineRule="exact"/>
        <w:rPr>
          <w:rFonts w:ascii="Times New Roman" w:cs="Times New Roman" w:eastAsia="Times New Roman" w:hAnsi="Times New Roman"/>
          <w:sz w:val="18"/>
          <w:szCs w:val="18"/>
          <w:color w:val="auto"/>
        </w:rPr>
      </w:pPr>
    </w:p>
    <w:p>
      <w:pPr>
        <w:ind w:left="503" w:right="620" w:hanging="503"/>
        <w:spacing w:after="0" w:line="270" w:lineRule="auto"/>
        <w:tabs>
          <w:tab w:leader="none" w:pos="503"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ind w:left="503" w:hanging="503"/>
        <w:spacing w:after="0" w:line="260" w:lineRule="auto"/>
        <w:tabs>
          <w:tab w:leader="none" w:pos="503"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182"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1" w:right="359" w:bottom="1440" w:gutter="0" w:footer="0" w:header="0"/>
        </w:sectPr>
      </w:pPr>
    </w:p>
    <w:bookmarkStart w:id="52" w:name="page53"/>
    <w:bookmarkEnd w:id="52"/>
    <w:p>
      <w:pPr>
        <w:ind w:left="1020" w:right="140" w:hanging="503"/>
        <w:spacing w:after="0" w:line="286"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3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GDPR, the CCPA, the CPRA or other domestic or foreign privacy and data protection laws, any liability from failure to comply with the requirements of these laws could adversely affect our financial condition.</w:t>
      </w:r>
    </w:p>
    <w:p>
      <w:pPr>
        <w:spacing w:after="0" w:line="6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7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3" w:name="page54"/>
    <w:bookmarkEnd w:id="53"/>
    <w:p>
      <w:pPr>
        <w:ind w:right="40"/>
        <w:spacing w:after="0" w:line="242" w:lineRule="auto"/>
        <w:rPr>
          <w:sz w:val="20"/>
          <w:szCs w:val="20"/>
          <w:color w:val="auto"/>
        </w:rPr>
      </w:pPr>
      <w:r>
        <w:rPr>
          <w:rFonts w:ascii="Arial" w:cs="Arial" w:eastAsia="Arial" w:hAnsi="Arial"/>
          <w:sz w:val="18"/>
          <w:szCs w:val="18"/>
          <w:color w:val="auto"/>
        </w:rPr>
        <w:t>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 Violations of the GDPR can lead to potential fines of up to €20 million or 4% of the annual global revenues of the noncompliant undertaking. In addition to the foregoing, a breach of the GDPR could result in regulatory investigations, reputational damage, orders to cease / change our processing of our data, enforcement notices, and/ or assessment notices (for a compulsory audit).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in July 2020 the Court of Justice of the EU (“CJEU”) limited how organizations could lawfully transfer personal data from the EEA to the United States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 UK’s Information Commissioner’s Office launched a public consultation on its draft revised data transfers mechanisms in August 2021. This and other recent developments are likely to require us to review and amend the legal mechanisms by which we make and/ or receive personal data transfers to and in the United States.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addition, from January 1, 2021, we are subject to the GDPR and also the UK GDPR,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4" w:name="page55"/>
    <w:bookmarkEnd w:id="54"/>
    <w:p>
      <w:pPr>
        <w:ind w:right="60"/>
        <w:spacing w:after="0" w:line="246"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7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w:t>
      </w:r>
    </w:p>
    <w:p>
      <w:pPr>
        <w:spacing w:after="0" w:line="6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55" w:name="page56"/>
    <w:bookmarkEnd w:id="55"/>
    <w:p>
      <w:pPr>
        <w:ind w:right="160"/>
        <w:spacing w:after="0" w:line="294"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6"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1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8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undertaking preclinical testing and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NDA approval by the FDA;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comparable foreign regulatory approvals of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formulating and manufacturing products;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marketing and selling products.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56" w:name="page57"/>
    <w:bookmarkEnd w:id="56"/>
    <w:p>
      <w:pPr>
        <w:ind w:right="20"/>
        <w:spacing w:after="0" w:line="243" w:lineRule="auto"/>
        <w:rPr>
          <w:sz w:val="20"/>
          <w:szCs w:val="20"/>
          <w:color w:val="auto"/>
        </w:rPr>
      </w:pPr>
      <w:r>
        <w:rPr>
          <w:rFonts w:ascii="Arial" w:cs="Arial" w:eastAsia="Arial" w:hAnsi="Arial"/>
          <w:sz w:val="18"/>
          <w:szCs w:val="18"/>
          <w:color w:val="auto"/>
        </w:rPr>
        <w:t>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and, in some cases, vaccines for COVID-19, HCV, dengue and RSV. There are several vaccines approved or authorized for use for COVID-19 and there is an increasing number of therapeutics becoming available for the treatment of COVID-19 including two authorized oral antiviral therapies. There are also several drugs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5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8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7" w:name="page58"/>
    <w:bookmarkEnd w:id="57"/>
    <w:p>
      <w:pPr>
        <w:spacing w:after="0" w:line="252" w:lineRule="auto"/>
        <w:rPr>
          <w:sz w:val="20"/>
          <w:szCs w:val="20"/>
          <w:color w:val="auto"/>
        </w:rPr>
      </w:pPr>
      <w:r>
        <w:rPr>
          <w:rFonts w:ascii="Arial" w:cs="Arial" w:eastAsia="Arial" w:hAnsi="Arial"/>
          <w:sz w:val="18"/>
          <w:szCs w:val="18"/>
          <w:color w:val="auto"/>
        </w:rPr>
        <w:t>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7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8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6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for at least as long as the public health emergency declared by the Secretary of HHS in March 2020 at the outset of the COVID-19 pandemic continues, we currently expect the U.S. federal government will be the primary and perhaps exclusive purchaser of therapeutics for the treatment of COVID-19. Even if we succeed in developing a bemnifosbuvir COV19 product candidate, we may not be able to compete effectively if such product does not satisfy government procurement requirements and our future results of operations may be adversely impacted if government procurement needs for such products decline due to over-saturated supply, reduced patient demand or reduced appropriations for such purchases.</w:t>
      </w:r>
    </w:p>
    <w:p>
      <w:pPr>
        <w:spacing w:after="0" w:line="6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5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8" w:name="page59"/>
    <w:bookmarkEnd w:id="58"/>
    <w:p>
      <w:pPr>
        <w:jc w:val="both"/>
        <w:ind w:right="240"/>
        <w:spacing w:after="0" w:line="252" w:lineRule="auto"/>
        <w:rPr>
          <w:sz w:val="20"/>
          <w:szCs w:val="20"/>
          <w:color w:val="auto"/>
        </w:rPr>
      </w:pPr>
      <w:r>
        <w:rPr>
          <w:rFonts w:ascii="Arial" w:cs="Arial" w:eastAsia="Arial" w:hAnsi="Arial"/>
          <w:sz w:val="18"/>
          <w:szCs w:val="18"/>
          <w:color w:val="auto"/>
        </w:rPr>
        <w:t>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 but are not limited to:</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2" w:lineRule="exact"/>
        <w:rPr>
          <w:rFonts w:ascii="Times New Roman" w:cs="Times New Roman" w:eastAsia="Times New Roman" w:hAnsi="Times New Roman"/>
          <w:sz w:val="18"/>
          <w:szCs w:val="18"/>
          <w:color w:val="auto"/>
        </w:rPr>
      </w:pPr>
    </w:p>
    <w:p>
      <w:pPr>
        <w:ind w:left="1020" w:right="400" w:hanging="503"/>
        <w:spacing w:after="0" w:line="28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32"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6"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w:t>
      </w:r>
    </w:p>
    <w:p>
      <w:pPr>
        <w:spacing w:after="0" w:line="7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6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that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78"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3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We do not currently have any collaborator for the commercialization of any of our product candidates in foreign markets.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9" w:name="page60"/>
    <w:bookmarkEnd w:id="59"/>
    <w:p>
      <w:pPr>
        <w:ind w:right="40"/>
        <w:spacing w:after="0" w:line="252" w:lineRule="auto"/>
        <w:rPr>
          <w:sz w:val="20"/>
          <w:szCs w:val="20"/>
          <w:color w:val="auto"/>
        </w:rPr>
      </w:pPr>
      <w:r>
        <w:rPr>
          <w:rFonts w:ascii="Arial" w:cs="Arial" w:eastAsia="Arial" w:hAnsi="Arial"/>
          <w:sz w:val="18"/>
          <w:szCs w:val="18"/>
          <w:color w:val="auto"/>
        </w:rPr>
        <w:t>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but not limited to:</w:t>
      </w:r>
    </w:p>
    <w:p>
      <w:pPr>
        <w:spacing w:after="0" w:line="7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import or export licensing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longer accounts receivable collection times;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 but not limited to:</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patent and other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reimbursement, pricing and insurance regimes;</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no prior experience in these areas. In addition, we will need to comply with complex regulatory, tax, labor and other legal requirements imposed by both the EU and many of the individual member states in the EU as well as in other global territories such as Southeast Asia where dengue fever is endemic. Many U.S.-based biotechnology companies have found the process of marketing their own products outside of North America to be very challenging.</w:t>
      </w:r>
    </w:p>
    <w:p>
      <w:pPr>
        <w:spacing w:after="0" w:line="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0" w:name="page61"/>
    <w:bookmarkEnd w:id="60"/>
    <w:p>
      <w:pPr>
        <w:ind w:right="20"/>
        <w:spacing w:after="0" w:line="261" w:lineRule="auto"/>
        <w:rPr>
          <w:sz w:val="20"/>
          <w:szCs w:val="20"/>
          <w:color w:val="auto"/>
        </w:rPr>
      </w:pPr>
      <w:r>
        <w:rPr>
          <w:rFonts w:ascii="Arial" w:cs="Arial" w:eastAsia="Arial" w:hAnsi="Arial"/>
          <w:sz w:val="18"/>
          <w:szCs w:val="18"/>
          <w:color w:val="auto"/>
        </w:rPr>
        <w:t>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5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67"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3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6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participants from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claims and related litigation;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distraction of management’s attention from our primary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patients or other claimants;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commercialize a product candidate;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 product candidate, if approved for commercial sale;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0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19"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We rely and expect to continue to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p>
    <w:p>
      <w:pPr>
        <w:spacing w:after="0" w:line="58"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rely and expect to continue to rely on third parties for the manufacture of materials for our clinical trials and preclinical and clinical development. We expect to rely on third parties for commercial manufacture if any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1" w:name="page62"/>
    <w:bookmarkEnd w:id="61"/>
    <w:p>
      <w:pPr>
        <w:ind w:right="20"/>
        <w:spacing w:after="0" w:line="243" w:lineRule="auto"/>
        <w:rPr>
          <w:sz w:val="20"/>
          <w:szCs w:val="20"/>
          <w:color w:val="auto"/>
        </w:rPr>
      </w:pPr>
      <w:r>
        <w:rPr>
          <w:rFonts w:ascii="Arial" w:cs="Arial" w:eastAsia="Arial" w:hAnsi="Arial"/>
          <w:sz w:val="18"/>
          <w:szCs w:val="18"/>
          <w:color w:val="auto"/>
        </w:rPr>
        <w:t>product candidates receive marketing approval. We do not currently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 For example, we have only recently begun to manufacture ruzasvir, the product candidate we licensed from Merck in December 2021. Until such time, if ever, as we have successfully manufactured a sufficient quantity of ruzasvir clinical trial material, we will be unable initiate patient enrollment in the planned HCV clinical trials of the combination of bemnifosbuvir and ruzasvir.</w:t>
      </w:r>
    </w:p>
    <w:p>
      <w:pPr>
        <w:spacing w:after="0" w:line="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rely and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w:t>
      </w:r>
    </w:p>
    <w:p>
      <w:pPr>
        <w:spacing w:after="0" w:line="68" w:lineRule="exact"/>
        <w:rPr>
          <w:sz w:val="20"/>
          <w:szCs w:val="20"/>
          <w:color w:val="auto"/>
        </w:rPr>
      </w:pPr>
    </w:p>
    <w:p>
      <w:pPr>
        <w:ind w:left="1020" w:right="20" w:hanging="503"/>
        <w:spacing w:after="0" w:line="26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2" w:lineRule="exact"/>
        <w:rPr>
          <w:rFonts w:ascii="Times New Roman" w:cs="Times New Roman" w:eastAsia="Times New Roman" w:hAnsi="Times New Roman"/>
          <w:sz w:val="18"/>
          <w:szCs w:val="18"/>
          <w:color w:val="auto"/>
        </w:rPr>
      </w:pPr>
    </w:p>
    <w:p>
      <w:pPr>
        <w:ind w:left="1020" w:right="920" w:hanging="503"/>
        <w:spacing w:after="0" w:line="286"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0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59"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particular, we have relied on third parties located in China to manufacture and supply certain materials for our current product candidates, and we expect to continue to use such third party manufacturers. Any disruption in production or inability of our manufacturers in China to produce adequate quantities to meet our needs, whether as a result of a natural disaster, pandemics, trade disruptions or other causes, could impair our ability to operate our business on a day-to-day basis and to continue our research and development of our product candidates. For example, the Uyghur Forced Labor Prevention Act bans imports from China’s Xinjiang region unless it can be shown that the goods were not produced using forced labor and this legislation may have an adverse effect on global supply chains which could adversely impact our business and results of operations.</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2" w:name="page63"/>
    <w:bookmarkEnd w:id="62"/>
    <w:p>
      <w:pPr>
        <w:ind w:right="300"/>
        <w:spacing w:after="0" w:line="261" w:lineRule="auto"/>
        <w:rPr>
          <w:sz w:val="20"/>
          <w:szCs w:val="20"/>
          <w:color w:val="auto"/>
        </w:rPr>
      </w:pPr>
      <w:r>
        <w:rPr>
          <w:rFonts w:ascii="Arial" w:cs="Arial" w:eastAsia="Arial" w:hAnsi="Arial"/>
          <w:sz w:val="18"/>
          <w:szCs w:val="18"/>
          <w:color w:val="auto"/>
        </w:rPr>
        <w:t>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56" w:lineRule="exact"/>
        <w:rPr>
          <w:sz w:val="20"/>
          <w:szCs w:val="20"/>
          <w:color w:val="auto"/>
        </w:rPr>
      </w:pPr>
    </w:p>
    <w:p>
      <w:pPr>
        <w:ind w:right="620"/>
        <w:spacing w:after="0" w:line="32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and commercialize our product candidates successfully.</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do not have multiple sources of supply for each of the components used in the manufacturing of bemnifosbuvir, AT-752 or ruzasvir or any of our other product candidates. For each of our product candidates, we have sole suppliers located in China for our active pharmaceutical ingredients.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7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6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3"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3" w:name="page64"/>
    <w:bookmarkEnd w:id="63"/>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w:t>
      </w:r>
    </w:p>
    <w:p>
      <w:pPr>
        <w:spacing w:after="0" w:line="4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dependent on third parties to conduct critical aspects of our preclinical studies and clinical trials, and we expect to rely on third parties to conduct future clinical trials and preclinical studies for our product candidates.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or similar regulations outside the United States. Our failure to comply with these regulations may require us to repeat clinical trials, which would delay the regulatory approval process.</w:t>
      </w:r>
    </w:p>
    <w:p>
      <w:pPr>
        <w:spacing w:after="0" w:line="7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spacing w:after="0" w:line="7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5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64" w:name="page65"/>
    <w:bookmarkEnd w:id="64"/>
    <w:p>
      <w:pPr>
        <w:ind w:right="20"/>
        <w:spacing w:after="0" w:line="264"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4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may seek collaborative relationships for the development and commercialization of our product candidates. If we enter into any collaborative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any collaborations will depend on our collaborators’ abilities to successfully perform the functions assigned to them. We cannot predict the success of any collaboration that we enter into.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involve many risks, including:</w:t>
      </w:r>
    </w:p>
    <w:p>
      <w:pPr>
        <w:spacing w:after="0" w:line="104" w:lineRule="exact"/>
        <w:rPr>
          <w:sz w:val="20"/>
          <w:szCs w:val="20"/>
          <w:color w:val="auto"/>
        </w:rPr>
      </w:pPr>
    </w:p>
    <w:p>
      <w:pPr>
        <w:ind w:left="1020" w:right="86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59"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61" w:lineRule="exact"/>
        <w:rPr>
          <w:rFonts w:ascii="Times New Roman" w:cs="Times New Roman" w:eastAsia="Times New Roman" w:hAnsi="Times New Roman"/>
          <w:sz w:val="18"/>
          <w:szCs w:val="18"/>
          <w:color w:val="auto"/>
        </w:rPr>
      </w:pPr>
    </w:p>
    <w:p>
      <w:pPr>
        <w:jc w:val="both"/>
        <w:ind w:left="1020" w:right="220" w:hanging="503"/>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02"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59"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1020" w:right="34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terminate the collaboration, and, as a result, we may not be able to develop a product candidate or we will have to use our own clinical resources and capital to continue development of the product candidate;</w:t>
      </w:r>
    </w:p>
    <w:p>
      <w:pPr>
        <w:spacing w:after="0" w:line="32"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020" w:right="44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32"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undergo a change of control and the new owners may decide to take the collaboration in a direction that is not in our best interest;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65" w:name="page66"/>
    <w:bookmarkEnd w:id="65"/>
    <w:p>
      <w:pPr>
        <w:ind w:left="1020" w:right="100" w:hanging="503"/>
        <w:spacing w:after="0" w:line="26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5"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55" w:lineRule="exact"/>
        <w:rPr>
          <w:rFonts w:ascii="Times New Roman" w:cs="Times New Roman" w:eastAsia="Times New Roman" w:hAnsi="Times New Roman"/>
          <w:sz w:val="18"/>
          <w:szCs w:val="18"/>
          <w:color w:val="auto"/>
        </w:rPr>
      </w:pPr>
    </w:p>
    <w:p>
      <w:pPr>
        <w:ind w:left="1020" w:right="1020" w:hanging="503"/>
        <w:spacing w:after="0" w:line="28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or result in delays to development or commercialization of the applicable product candidates; and</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6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For example, in February 2022, the Roche License Agreement under which we granted to Roche an exclusive license related to bemnifosbuvir for certain development rights and commercialization rights outside of the United States terminated. As a result, substantially all activities that Roche was conducting in connection with the development and manufacture of bemnifosbuvir, including global manufacture of clinical trial material and certain operations necessary for the conduct of clinical trials, ceased. To the extent that such activities are necessary for the continued development of a bemnifosbuvir COV19 product candidate, we will be responsible for the conduct and costs of such activities.</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Merck License Agreement was terminated, we would be required to discontinue the development, manufacture and commercialization of ruzasvir in combination with bemnifosbuvir, our lead product candidate for the treatment of HCV, unless we could enter into another agreement with Merck potentially at a premium.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8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6" w:name="page67"/>
    <w:bookmarkEnd w:id="66"/>
    <w:p>
      <w:pPr>
        <w:ind w:right="80"/>
        <w:spacing w:after="0" w:line="254"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6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7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bemnifosbuvir), bemnifosbuvir, AT-281 (the free base of bemnifosbuvir), bemnifosbuvir and our in-licensed compound ruzasvir and their use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67" w:name="page68"/>
    <w:bookmarkEnd w:id="67"/>
    <w:p>
      <w:pPr>
        <w:ind w:right="240"/>
        <w:spacing w:after="0" w:line="287" w:lineRule="auto"/>
        <w:rPr>
          <w:sz w:val="20"/>
          <w:szCs w:val="20"/>
          <w:color w:val="auto"/>
        </w:rPr>
      </w:pPr>
      <w:r>
        <w:rPr>
          <w:rFonts w:ascii="Arial" w:cs="Arial" w:eastAsia="Arial" w:hAnsi="Arial"/>
          <w:sz w:val="18"/>
          <w:szCs w:val="18"/>
          <w:color w:val="auto"/>
        </w:rPr>
        <w:t>manufacture, or any of our other pipeline product candidates and any future product candidates. Our success depends in large part on our ability to obtain and maintain patent protection in the United States and other countries with respect to such product candidates.</w:t>
      </w:r>
    </w:p>
    <w:p>
      <w:pPr>
        <w:spacing w:after="0" w:line="3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6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77" w:lineRule="exact"/>
        <w:rPr>
          <w:sz w:val="20"/>
          <w:szCs w:val="20"/>
          <w:color w:val="auto"/>
        </w:rPr>
      </w:pPr>
    </w:p>
    <w:p>
      <w:pPr>
        <w:jc w:val="both"/>
        <w:ind w:right="80"/>
        <w:spacing w:after="0" w:line="258"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74"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7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8" w:name="page69"/>
    <w:bookmarkEnd w:id="68"/>
    <w:p>
      <w:pPr>
        <w:ind w:right="200"/>
        <w:spacing w:after="0" w:line="246" w:lineRule="auto"/>
        <w:rPr>
          <w:sz w:val="20"/>
          <w:szCs w:val="20"/>
          <w:color w:val="auto"/>
        </w:rPr>
      </w:pPr>
      <w:r>
        <w:rPr>
          <w:rFonts w:ascii="Arial" w:cs="Arial" w:eastAsia="Arial" w:hAnsi="Arial"/>
          <w:sz w:val="18"/>
          <w:szCs w:val="18"/>
          <w:color w:val="auto"/>
        </w:rPr>
        <w:t>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9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48"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4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8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9" w:name="page70"/>
    <w:bookmarkEnd w:id="69"/>
    <w:p>
      <w:pPr>
        <w:ind w:right="40"/>
        <w:spacing w:after="0" w:line="243" w:lineRule="auto"/>
        <w:rPr>
          <w:sz w:val="20"/>
          <w:szCs w:val="20"/>
          <w:color w:val="auto"/>
        </w:rPr>
      </w:pPr>
      <w:r>
        <w:rPr>
          <w:rFonts w:ascii="Arial" w:cs="Arial" w:eastAsia="Arial" w:hAnsi="Arial"/>
          <w:sz w:val="18"/>
          <w:szCs w:val="18"/>
          <w:color w:val="auto"/>
        </w:rPr>
        <w:t>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4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product candidates are predominantly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bemnifosbuvir.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0" w:name="page71"/>
    <w:bookmarkEnd w:id="70"/>
    <w:p>
      <w:pPr>
        <w:spacing w:after="0" w:line="256" w:lineRule="auto"/>
        <w:rPr>
          <w:sz w:val="20"/>
          <w:szCs w:val="20"/>
          <w:color w:val="auto"/>
        </w:rPr>
      </w:pPr>
      <w:r>
        <w:rPr>
          <w:rFonts w:ascii="Arial" w:cs="Arial" w:eastAsia="Arial" w:hAnsi="Arial"/>
          <w:sz w:val="17"/>
          <w:szCs w:val="17"/>
          <w:color w:val="auto"/>
        </w:rPr>
        <w:t>Observation generally challenges the patentability of the hemisulfate salt bemnifosbuvir over the free base AT-511. On August 1, 2019, we filed a response to the Observation describing that the bemnifosbuvir hemisulfate salt of AT-511 is not obvious in view of the AT-511 free base because bemnifosbuvir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bemnifosbuvir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bemnifosbuvir. The anonymous party asserted that it would have been obvious that the hemisulfate salt of AT-511 (bemnifosbuvir)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bemnifosbuvir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of bemnifosbuvir.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28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6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8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1" w:name="page72"/>
    <w:bookmarkEnd w:id="71"/>
    <w:p>
      <w:pPr>
        <w:ind w:right="140"/>
        <w:spacing w:after="0" w:line="261" w:lineRule="auto"/>
        <w:rPr>
          <w:sz w:val="20"/>
          <w:szCs w:val="20"/>
          <w:color w:val="auto"/>
        </w:rPr>
      </w:pPr>
      <w:r>
        <w:rPr>
          <w:rFonts w:ascii="Arial" w:cs="Arial" w:eastAsia="Arial" w:hAnsi="Arial"/>
          <w:sz w:val="18"/>
          <w:szCs w:val="18"/>
          <w:color w:val="auto"/>
        </w:rPr>
        <w:t>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6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2" w:name="page73"/>
    <w:bookmarkEnd w:id="72"/>
    <w:p>
      <w:pPr>
        <w:spacing w:after="0" w:line="246" w:lineRule="auto"/>
        <w:rPr>
          <w:sz w:val="20"/>
          <w:szCs w:val="20"/>
          <w:color w:val="auto"/>
        </w:rPr>
      </w:pPr>
      <w:r>
        <w:rPr>
          <w:rFonts w:ascii="Arial" w:cs="Arial" w:eastAsia="Arial" w:hAnsi="Arial"/>
          <w:sz w:val="18"/>
          <w:szCs w:val="18"/>
          <w:color w:val="auto"/>
        </w:rPr>
        <w:t>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8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6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69"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1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delay or prohibit the further development or commercialization of one or more product candidates that rely on such agreements.</w:t>
      </w:r>
    </w:p>
    <w:p>
      <w:pPr>
        <w:spacing w:after="0" w:line="119"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3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9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April 12, 2022, we received notification of a Pre-Grant Opposition from the Controller General of Patents, Designs, and Trademarks at the Indian Patent Office. The Opposition was filed by Sankalp Rehabilitation Trust and challenges our pending patent claims to AT-511 or a pharmaceutically acceptable salt thereof. We must respond to the Pre-Grant Opposition within three months, or by July 12, 2022. While we intend to vigorously defend our patent claims on AT-511 and its use to treat hepatitis C, we cannot guarantee that the Indian Patent Office will decide in our favor and allow our patent claims to grant. In addition, Pre-Grant Oppositions in India can proceed very slowly, and therefore this proceeding may not be resolved for several years. Our patent application will not issue as a patent on AT-511 or its use to treat HCV in India unless and until this Pre-Grant Opposition is resolved in our favor. If it is not resolved in our favor, we may not receive a patent on AT-511 in India.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4" w:name="page75"/>
    <w:bookmarkEnd w:id="74"/>
    <w:p>
      <w:pPr>
        <w:ind w:right="5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goivernmental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6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6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7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62" w:lineRule="exact"/>
        <w:rPr>
          <w:sz w:val="20"/>
          <w:szCs w:val="20"/>
          <w:color w:val="auto"/>
        </w:rPr>
      </w:pPr>
    </w:p>
    <w:p>
      <w:pPr>
        <w:jc w:val="both"/>
        <w:ind w:right="540"/>
        <w:spacing w:after="0" w:line="261"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3" w:right="379" w:bottom="1440" w:gutter="0" w:footer="0" w:header="0"/>
        </w:sectPr>
      </w:pPr>
    </w:p>
    <w:bookmarkStart w:id="75" w:name="page76"/>
    <w:bookmarkEnd w:id="75"/>
    <w:p>
      <w:pPr>
        <w:ind w:right="180"/>
        <w:spacing w:after="0" w:line="252" w:lineRule="auto"/>
        <w:rPr>
          <w:sz w:val="20"/>
          <w:szCs w:val="20"/>
          <w:color w:val="auto"/>
        </w:rPr>
      </w:pPr>
      <w:r>
        <w:rPr>
          <w:rFonts w:ascii="Arial" w:cs="Arial" w:eastAsia="Arial" w:hAnsi="Arial"/>
          <w:sz w:val="18"/>
          <w:szCs w:val="18"/>
          <w:color w:val="auto"/>
        </w:rPr>
        <w:t>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bemnifosbuvir, our ability to successfully commercialize bemnifosbuvir and protect our related technology could be adversely affected.</w:t>
      </w:r>
    </w:p>
    <w:p>
      <w:pPr>
        <w:spacing w:after="0" w:line="7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6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7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6" w:name="page77"/>
    <w:bookmarkEnd w:id="76"/>
    <w:p>
      <w:pPr>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p>
    <w:p>
      <w:pPr>
        <w:spacing w:after="0" w:line="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6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17"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9" w:lineRule="exact"/>
        <w:rPr>
          <w:sz w:val="20"/>
          <w:szCs w:val="20"/>
          <w:color w:val="auto"/>
        </w:rPr>
      </w:pPr>
    </w:p>
    <w:p>
      <w:pPr>
        <w:ind w:left="1020" w:right="2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46" w:lineRule="exact"/>
        <w:rPr>
          <w:rFonts w:ascii="Times New Roman" w:cs="Times New Roman" w:eastAsia="Times New Roman" w:hAnsi="Times New Roman"/>
          <w:sz w:val="18"/>
          <w:szCs w:val="18"/>
          <w:color w:val="auto"/>
        </w:rPr>
      </w:pPr>
    </w:p>
    <w:p>
      <w:pPr>
        <w:ind w:left="1020" w:right="42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pending patent applications might not result in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there might be prior public disclosures that could invalidate our patents;</w:t>
      </w:r>
    </w:p>
    <w:p>
      <w:pPr>
        <w:spacing w:after="0" w:line="102"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77" w:name="page78"/>
    <w:bookmarkEnd w:id="77"/>
    <w:p>
      <w:pPr>
        <w:ind w:left="1020" w:right="40" w:hanging="503"/>
        <w:spacing w:after="0" w:line="26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0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6"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3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 but not limited to:</w:t>
      </w:r>
    </w:p>
    <w:p>
      <w:pPr>
        <w:spacing w:after="0" w:line="8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identify, recruit, maintain, motivate and integrate additional employees, consultants and contractors;</w:t>
      </w:r>
    </w:p>
    <w:p>
      <w:pPr>
        <w:spacing w:after="0" w:line="10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our operational, financial and management controls, reporting systems and procedures.</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8" w:name="page79"/>
    <w:bookmarkEnd w:id="78"/>
    <w:p>
      <w:pPr>
        <w:ind w:right="40"/>
        <w:spacing w:after="0" w:line="252"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02"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As of May 5, 2022, we had 64 full-time employees. Our focus on the development of product candidates in three distinct disease indications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64"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4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highly dependent on our executive management and directors. Due to the specialized knowledge each of our officers, directors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7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Many of our key employees are vested in a substantial amount of our common stock or options to purchase our common stock. Our employees, including our key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84"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3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capital markets and is expected to have further global economic consequences. If the equity and credit markets deteriorate, including as a result of a resurgence of COVID-19, political unrest or war, it may make any necessary debt or equity financing more difficult to obtain in a timely manner or on favorable terms, more costly or more dilutive. Political unrest, such as the current situation with Ukraine and Russia, may also cause volatility and disruption in the global economy.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79" w:name="page80"/>
    <w:bookmarkEnd w:id="79"/>
    <w:p>
      <w:pPr>
        <w:ind w:right="280"/>
        <w:spacing w:after="0" w:line="29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1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8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long term effects of Brexit on our business in the UK, the EU and worldwide will depend on the effects of the implementation and application of the Trade and Cooperation Agreement and any other relevant agreements between the UK and the EU. EU laws which have been transposed into UK law through secondary legislation continue to be applicable as “retained EU law”. However, new legislation will not be applicable. The UK government has passed a new Medicines and Medical Devices Act 2021, which introduces delegated powers in favor of the Secretary of State or an ‘appropriate authority’ to amend or supplement existing regulations in the area of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 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UK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UK determines which EU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UK, increase costs, depress economic activity, and restrict our access to capital. If the UK and the EU are unable to negotiate acceptable withdrawal terms or if other EU member states pursue withdrawal, barrier-free access between the UK and other EU member states or among the EEA overall could be diminished or eliminated.</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could exert significant influence over matters subject to stockholder approval.</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executive officers, directors, and &gt;5% stockholders beneficially own a significant percentage of our common stock as of March 31, 2022. Therefore, these stockholders will have the ability to influence us through this ownership position. These stockholders may be able to determine matters requiring stockholders approval. For example, these stockholders may be able to control elections of directors, amendments of our organizational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80" w:name="page81"/>
    <w:bookmarkEnd w:id="80"/>
    <w:p>
      <w:pPr>
        <w:ind w:right="580"/>
        <w:spacing w:after="0" w:line="318" w:lineRule="auto"/>
        <w:rPr>
          <w:sz w:val="20"/>
          <w:szCs w:val="20"/>
          <w:color w:val="auto"/>
        </w:rPr>
      </w:pPr>
      <w:r>
        <w:rPr>
          <w:rFonts w:ascii="Arial" w:cs="Arial" w:eastAsia="Arial" w:hAnsi="Arial"/>
          <w:sz w:val="17"/>
          <w:szCs w:val="17"/>
          <w:color w:val="auto"/>
        </w:rPr>
        <w:t>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1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4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as it did following the downgrades by covering analysts in the fourth quarter of 2021. This included certain downgrades after we reported on the data from the Phase 2 MOONSONG clinical trial, which failed to meet the primary study endpoint in the overall patient population and other events. If one or more of these analysts ceases coverage of us or fails to publish reports on us regularly, we could lose visibility in the financial markets, which in turn could cause our stock price or trading volume to decline</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4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7" w:lineRule="exact"/>
        <w:rPr>
          <w:sz w:val="20"/>
          <w:szCs w:val="20"/>
          <w:color w:val="auto"/>
        </w:rPr>
      </w:pPr>
    </w:p>
    <w:p>
      <w:pPr>
        <w:ind w:left="1020" w:right="600" w:hanging="503"/>
        <w:spacing w:after="0" w:line="286"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2" w:lineRule="exact"/>
        <w:rPr>
          <w:rFonts w:ascii="Times New Roman" w:cs="Times New Roman" w:eastAsia="Times New Roman" w:hAnsi="Times New Roman"/>
          <w:sz w:val="18"/>
          <w:szCs w:val="18"/>
          <w:color w:val="auto"/>
        </w:rPr>
      </w:pPr>
    </w:p>
    <w:p>
      <w:pPr>
        <w:ind w:left="1020" w:right="60" w:hanging="503"/>
        <w:spacing w:after="0" w:line="300"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6" w:lineRule="exact"/>
        <w:rPr>
          <w:rFonts w:ascii="Times New Roman" w:cs="Times New Roman" w:eastAsia="Times New Roman" w:hAnsi="Times New Roman"/>
          <w:sz w:val="17"/>
          <w:szCs w:val="17"/>
          <w:color w:val="auto"/>
        </w:rPr>
      </w:pPr>
    </w:p>
    <w:p>
      <w:pPr>
        <w:ind w:left="1020" w:right="280" w:hanging="503"/>
        <w:spacing w:after="0" w:line="252"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02" w:lineRule="exact"/>
        <w:rPr>
          <w:rFonts w:ascii="Times New Roman" w:cs="Times New Roman" w:eastAsia="Times New Roman" w:hAnsi="Times New Roman"/>
          <w:sz w:val="18"/>
          <w:szCs w:val="18"/>
          <w:color w:val="auto"/>
        </w:rPr>
      </w:pPr>
    </w:p>
    <w:p>
      <w:pPr>
        <w:jc w:val="both"/>
        <w:ind w:left="1020" w:right="56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5"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59"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81" w:name="page82"/>
    <w:bookmarkEnd w:id="81"/>
    <w:p>
      <w:pPr>
        <w:ind w:left="1020" w:right="160"/>
        <w:spacing w:after="0" w:line="287" w:lineRule="auto"/>
        <w:rPr>
          <w:sz w:val="20"/>
          <w:szCs w:val="20"/>
          <w:color w:val="auto"/>
        </w:rPr>
      </w:pPr>
      <w:r>
        <w:rPr>
          <w:rFonts w:ascii="Arial" w:cs="Arial" w:eastAsia="Arial" w:hAnsi="Arial"/>
          <w:sz w:val="18"/>
          <w:szCs w:val="18"/>
          <w:color w:val="auto"/>
        </w:rPr>
        <w:t>discourage or deter a potential acquirer from conducting a solicitation of proxies to elect the acquirer’s own slate of directors or otherwise attempting to obtain control of us.</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8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2" w:name="page83"/>
    <w:bookmarkEnd w:id="82"/>
    <w:p>
      <w:pPr>
        <w:ind w:right="20"/>
        <w:spacing w:after="0" w:line="287" w:lineRule="auto"/>
        <w:rPr>
          <w:sz w:val="20"/>
          <w:szCs w:val="20"/>
          <w:color w:val="auto"/>
        </w:rPr>
      </w:pPr>
      <w:r>
        <w:rPr>
          <w:rFonts w:ascii="Arial" w:cs="Arial" w:eastAsia="Arial" w:hAnsi="Arial"/>
          <w:sz w:val="18"/>
          <w:szCs w:val="18"/>
          <w:color w:val="auto"/>
        </w:rPr>
        <w:t>required to delay, limit, reduce or terminate our product development or future commercialization efforts or grant rights to develop and market product candidates that we would otherwise prefer to develop and market ourselves.</w:t>
      </w:r>
    </w:p>
    <w:p>
      <w:pPr>
        <w:spacing w:after="0" w:line="33"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4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7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69"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We may engage in acquisitions or strategic collaborations that could disrupt our business, cause dilution to our stockholders, reduce our financial resources, cause us to incur debt or assume contingent liabilities, and subject us to other risks.</w:t>
      </w:r>
    </w:p>
    <w:p>
      <w:pPr>
        <w:spacing w:after="0" w:line="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collaborations, including licensing. If we do identify suitable acquisition or collaboration candidates, we may not be able to complete such acquisitions or collaborations on favorable terms, or at all. Any acquisitions or collaborations may not strengthen our competitive position, and these transactions may be viewed negatively by customers or investors, and we may never realize the anticipated benefits of such acquisitions or collaborations.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collaboration that are not covered by the indemnification we may obtain from the seller or our collaborator. In addition, we may not be able to successfully integrate any acquired personnel, technologies and operations into our existing business in an effective, timely and non-disruptive manner. Acquisitions or collaborations may also divert management attention from day-to-day responsibilities, lead to a loss of key personnel, increase our expenses and reduce our cash and cash equivalents available for operations and other uses. We cannot predict the number, timing or size of future acquisitions or collaborations or the effect that any such transactions might have on our operating results.</w:t>
      </w:r>
    </w:p>
    <w:p>
      <w:pPr>
        <w:spacing w:after="0" w:line="89"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3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This risk is especially relevant for us given our significant stock price volatility in 2021.</w:t>
      </w:r>
    </w:p>
    <w:p>
      <w:pPr>
        <w:spacing w:after="0" w:line="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0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stock price has been and is likely to remain volatile. Extreme fluctuations have occurred in our stock price with closing prices in 2021 ranging from a high of $88.44 on February 8, 2021 to a low of $7.67 on November 23, 2021 and in 2022 to a low of $5.50 on March 14, 2022.</w:t>
      </w:r>
    </w:p>
    <w:p>
      <w:pPr>
        <w:spacing w:after="0" w:line="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stock market in general, The Nasdaq Global Select Market and biopharmaceutical companies in particular have experienced extreme volatility in trading volume that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w:t>
      </w:r>
    </w:p>
    <w:p>
      <w:pPr>
        <w:spacing w:after="0" w:line="6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our growth rate relative to our competitors;</w:t>
      </w:r>
    </w:p>
    <w:p>
      <w:pPr>
        <w:spacing w:after="0" w:line="102"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related to our existing or any future collaborations;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our manufacturers or our manufacturing plans;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commercialize our product candidates;</w:t>
      </w:r>
    </w:p>
    <w:p>
      <w:pPr>
        <w:spacing w:after="0" w:line="116" w:lineRule="exact"/>
        <w:rPr>
          <w:rFonts w:ascii="Times New Roman" w:cs="Times New Roman" w:eastAsia="Times New Roman" w:hAnsi="Times New Roman"/>
          <w:sz w:val="18"/>
          <w:szCs w:val="18"/>
          <w:color w:val="auto"/>
        </w:rPr>
      </w:pPr>
    </w:p>
    <w:p>
      <w:pPr>
        <w:ind w:left="1020" w:right="80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scientific or management personnel;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84" w:name="page85"/>
    <w:bookmarkEnd w:id="84"/>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practices;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cash and cash equivalents position;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 in the future;</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ineffectiveness of our internal controls;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2"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7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We have incurred and may continue to incur increased costs as a result of operating as a public company, and our management has been and will continue to be required to devote substantial time to new compliance initiatives and corporate governance practices.</w:t>
      </w:r>
    </w:p>
    <w:p>
      <w:pPr>
        <w:spacing w:after="0" w:line="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a public company, we may incur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5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will continue to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1" w:right="439" w:bottom="1440" w:gutter="0" w:footer="0" w:header="0"/>
        </w:sectPr>
      </w:pPr>
    </w:p>
    <w:bookmarkStart w:id="85" w:name="page86"/>
    <w:bookmarkEnd w:id="85"/>
    <w:p>
      <w:pPr>
        <w:spacing w:after="0" w:line="242" w:lineRule="auto"/>
        <w:rPr>
          <w:sz w:val="20"/>
          <w:szCs w:val="20"/>
          <w:color w:val="auto"/>
        </w:rPr>
      </w:pPr>
      <w:r>
        <w:rPr>
          <w:rFonts w:ascii="Arial" w:cs="Arial" w:eastAsia="Arial" w:hAnsi="Arial"/>
          <w:sz w:val="18"/>
          <w:szCs w:val="18"/>
          <w:color w:val="auto"/>
        </w:rPr>
        <w:t>Pursuant to Section 404 of the Sarbanes-Oxley Act of 2002 (“Section 404”), we are required to furnish a report by our management on our internal control over financial reporting in our Annual Report on Form 10-K. In addition, we are required to include an attestation report on internal control over financial reporting issued by our independent registered public accounting firm.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4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our independent registered public accounting firm will be required to attest to the effectiveness of our internal control over financial reporting pursuant to Section 404 for the year ending December 31, 2022. Our independent registered public accounting firm may issue a report that is adverse in the event material weaknesses have been identified in our internal control over financial reporting.</w:t>
      </w:r>
    </w:p>
    <w:p>
      <w:pPr>
        <w:spacing w:after="0" w:line="6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also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6" w:name="page87"/>
    <w:bookmarkEnd w:id="86"/>
    <w:p>
      <w:pPr>
        <w:ind w:right="120"/>
        <w:spacing w:after="0" w:line="252"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right="1920"/>
        <w:spacing w:after="0" w:line="412" w:lineRule="auto"/>
        <w:rPr>
          <w:sz w:val="20"/>
          <w:szCs w:val="20"/>
          <w:color w:val="auto"/>
        </w:rPr>
      </w:pPr>
      <w:r>
        <w:rPr>
          <w:rFonts w:ascii="Arial" w:cs="Arial" w:eastAsia="Arial" w:hAnsi="Arial"/>
          <w:sz w:val="18"/>
          <w:szCs w:val="18"/>
          <w:b w:val="1"/>
          <w:bCs w:val="1"/>
          <w:color w:val="auto"/>
        </w:rPr>
        <w:t xml:space="preserve">Recent Sales of Unregistered Securities; Purchases of Equity Securities by the Issuer or Affiliated Purchaser </w:t>
      </w:r>
      <w:r>
        <w:rPr>
          <w:rFonts w:ascii="Arial" w:cs="Arial" w:eastAsia="Arial" w:hAnsi="Arial"/>
          <w:sz w:val="18"/>
          <w:szCs w:val="18"/>
          <w:color w:val="auto"/>
        </w:rPr>
        <w:t>None.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5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remaining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33"/>
        </w:trPr>
        <w:tc>
          <w:tcPr>
            <w:tcW w:w="1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10"/>
            <w:vMerge w:val="restart"/>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1"/>
                <w:szCs w:val="11"/>
                <w:color w:val="auto"/>
              </w:rPr>
            </w:pPr>
          </w:p>
        </w:tc>
        <w:tc>
          <w:tcPr>
            <w:tcW w:w="90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0563C1"/>
            </w:tcBorders>
            <w:gridSpan w:val="5"/>
          </w:tcPr>
          <w:p>
            <w:pPr>
              <w:spacing w:after="0"/>
              <w:rPr>
                <w:rFonts w:ascii="Arial" w:cs="Arial" w:eastAsia="Arial" w:hAnsi="Arial"/>
                <w:sz w:val="18"/>
                <w:szCs w:val="18"/>
                <w:color w:val="0563C1"/>
                <w:w w:val="99"/>
              </w:rPr>
            </w:pPr>
            <w:hyperlink r:id="rId122">
              <w:r>
                <w:rPr>
                  <w:rFonts w:ascii="Arial" w:cs="Arial" w:eastAsia="Arial" w:hAnsi="Arial"/>
                  <w:sz w:val="18"/>
                  <w:szCs w:val="18"/>
                  <w:color w:val="0563C1"/>
                  <w:w w:val="99"/>
                </w:rPr>
                <w:t>Restated Certificate of Incorporation.</w:t>
              </w:r>
            </w:hyperlink>
          </w:p>
        </w:tc>
        <w:tc>
          <w:tcPr>
            <w:tcW w:w="156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563C1"/>
              </w:rPr>
            </w:pPr>
            <w:hyperlink r:id="rId123">
              <w:r>
                <w:rPr>
                  <w:rFonts w:ascii="Arial" w:cs="Arial" w:eastAsia="Arial" w:hAnsi="Arial"/>
                  <w:sz w:val="18"/>
                  <w:szCs w:val="18"/>
                  <w:color w:val="0563C1"/>
                </w:rPr>
                <w:t>Amended and Restated Bylaws.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0563C1"/>
              </w:rPr>
              <w:t>Certification of Chief Executive Officer pursuant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563C1"/>
            </w:tcBorders>
            <w:gridSpan w:val="6"/>
          </w:tcPr>
          <w:p>
            <w:pPr>
              <w:spacing w:after="0" w:line="169" w:lineRule="exact"/>
              <w:rPr>
                <w:sz w:val="20"/>
                <w:szCs w:val="20"/>
                <w:color w:val="auto"/>
              </w:rPr>
            </w:pPr>
            <w:r>
              <w:rPr>
                <w:rFonts w:ascii="Arial" w:cs="Arial" w:eastAsia="Arial" w:hAnsi="Arial"/>
                <w:sz w:val="18"/>
                <w:szCs w:val="18"/>
                <w:color w:val="0563C1"/>
              </w:rPr>
              <w:t>Rule 13a-14(a)/15d-14(a).</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0563C1"/>
              </w:rPr>
              <w:t>Certification of Chief Financial Officer pursuant to Rule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563C1"/>
            </w:tcBorders>
            <w:gridSpan w:val="9"/>
          </w:tcPr>
          <w:p>
            <w:pPr>
              <w:spacing w:after="0" w:line="169" w:lineRule="exact"/>
              <w:rPr>
                <w:sz w:val="20"/>
                <w:szCs w:val="20"/>
                <w:color w:val="auto"/>
              </w:rPr>
            </w:pPr>
            <w:r>
              <w:rPr>
                <w:rFonts w:ascii="Arial" w:cs="Arial" w:eastAsia="Arial" w:hAnsi="Arial"/>
                <w:sz w:val="18"/>
                <w:szCs w:val="18"/>
                <w:color w:val="0563C1"/>
              </w:rPr>
              <w:t>13a-14(a)/15d-14(a).</w:t>
            </w: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0563C1"/>
              </w:rPr>
              <w:t>Certification of Chief Executive Officer pursuant to 18</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563C1"/>
            </w:tcBorders>
            <w:gridSpan w:val="8"/>
          </w:tcPr>
          <w:p>
            <w:pPr>
              <w:spacing w:after="0" w:line="169" w:lineRule="exact"/>
              <w:rPr>
                <w:sz w:val="20"/>
                <w:szCs w:val="20"/>
                <w:color w:val="auto"/>
              </w:rPr>
            </w:pPr>
            <w:r>
              <w:rPr>
                <w:rFonts w:ascii="Arial" w:cs="Arial" w:eastAsia="Arial" w:hAnsi="Arial"/>
                <w:sz w:val="18"/>
                <w:szCs w:val="18"/>
                <w:color w:val="0563C1"/>
              </w:rPr>
              <w:t>U.S.C. Section 1350.</w:t>
            </w:r>
          </w:p>
        </w:tc>
        <w:tc>
          <w:tcPr>
            <w:tcW w:w="22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0563C1"/>
              </w:rPr>
              <w:t>Certification of Chief Financial Officer pursuant to 18</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563C1"/>
            </w:tcBorders>
            <w:gridSpan w:val="7"/>
          </w:tcPr>
          <w:p>
            <w:pPr>
              <w:spacing w:after="0" w:line="169" w:lineRule="exact"/>
              <w:rPr>
                <w:sz w:val="20"/>
                <w:szCs w:val="20"/>
                <w:color w:val="auto"/>
              </w:rPr>
            </w:pPr>
            <w:r>
              <w:rPr>
                <w:rFonts w:ascii="Arial" w:cs="Arial" w:eastAsia="Arial" w:hAnsi="Arial"/>
                <w:sz w:val="18"/>
                <w:szCs w:val="18"/>
                <w:color w:val="0563C1"/>
              </w:rPr>
              <w:t>U.S.C. Section 1350.</w:t>
            </w:r>
          </w:p>
        </w:tc>
        <w:tc>
          <w:tcPr>
            <w:tcW w:w="28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shd w:val="clear" w:color="auto" w:fill="0563C1"/>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91" w:lineRule="exact"/>
              <w:rPr>
                <w:sz w:val="20"/>
                <w:szCs w:val="20"/>
                <w:color w:val="auto"/>
              </w:rPr>
            </w:pPr>
            <w:r>
              <w:rPr>
                <w:rFonts w:ascii="Arial" w:cs="Arial" w:eastAsia="Arial" w:hAnsi="Arial"/>
                <w:sz w:val="18"/>
                <w:szCs w:val="18"/>
                <w:color w:val="auto"/>
              </w:rPr>
              <w:t>Inline XBRL Instance Document - the instance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because its XBRL tags are embedded within the Inline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XBRL and contained in Exhibit 101)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ATEA PHARMACEUTICALS, INC.</w:t>
            </w:r>
          </w:p>
        </w:tc>
      </w:tr>
      <w:tr>
        <w:trPr>
          <w:trHeight w:val="401"/>
        </w:trPr>
        <w:tc>
          <w:tcPr>
            <w:tcW w:w="3620" w:type="dxa"/>
            <w:vAlign w:val="bottom"/>
          </w:tcPr>
          <w:p>
            <w:pPr>
              <w:spacing w:after="0"/>
              <w:rPr>
                <w:sz w:val="20"/>
                <w:szCs w:val="20"/>
                <w:color w:val="auto"/>
              </w:rPr>
            </w:pPr>
            <w:r>
              <w:rPr>
                <w:rFonts w:ascii="Arial" w:cs="Arial" w:eastAsia="Arial" w:hAnsi="Arial"/>
                <w:sz w:val="18"/>
                <w:szCs w:val="18"/>
                <w:color w:val="auto"/>
              </w:rPr>
              <w:t>Date: May 10, 2022</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164"/>
        </w:trPr>
        <w:tc>
          <w:tcPr>
            <w:tcW w:w="3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1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9"/>
              </w:rPr>
              <w:t>Jean-Pierre Sommadossi, Ph.D.</w:t>
            </w:r>
          </w:p>
        </w:tc>
      </w:tr>
      <w:tr>
        <w:trPr>
          <w:trHeight w:val="189"/>
        </w:trPr>
        <w:tc>
          <w:tcPr>
            <w:tcW w:w="36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47"/>
        </w:trPr>
        <w:tc>
          <w:tcPr>
            <w:tcW w:w="3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93"/>
        </w:trPr>
        <w:tc>
          <w:tcPr>
            <w:tcW w:w="3620" w:type="dxa"/>
            <w:vAlign w:val="bottom"/>
          </w:tcPr>
          <w:p>
            <w:pPr>
              <w:spacing w:after="0"/>
              <w:rPr>
                <w:sz w:val="20"/>
                <w:szCs w:val="20"/>
                <w:color w:val="auto"/>
              </w:rPr>
            </w:pPr>
            <w:r>
              <w:rPr>
                <w:rFonts w:ascii="Arial" w:cs="Arial" w:eastAsia="Arial" w:hAnsi="Arial"/>
                <w:sz w:val="18"/>
                <w:szCs w:val="18"/>
                <w:color w:val="auto"/>
              </w:rPr>
              <w:t>Date: May 10, 2022</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Andrea Corcoran</w:t>
            </w:r>
          </w:p>
        </w:tc>
      </w:tr>
      <w:tr>
        <w:trPr>
          <w:trHeight w:val="182"/>
        </w:trPr>
        <w:tc>
          <w:tcPr>
            <w:tcW w:w="36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1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Andrea Corcoran</w:t>
            </w:r>
          </w:p>
        </w:tc>
      </w:tr>
    </w:tbl>
    <w:p>
      <w:pPr>
        <w:jc w:val="cente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12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25"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20" w:right="60" w:hanging="479"/>
        <w:spacing w:after="0" w:line="26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1020" w:right="360" w:hanging="479"/>
        <w:spacing w:after="0" w:line="26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1020" w:right="260" w:hanging="479"/>
        <w:spacing w:after="0" w:line="26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1020" w:right="100" w:hanging="479"/>
        <w:spacing w:after="0" w:line="26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020" w:right="280" w:hanging="479"/>
        <w:spacing w:after="0" w:line="26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1020" w:right="220" w:hanging="479"/>
        <w:spacing w:after="0" w:line="271" w:lineRule="auto"/>
        <w:tabs>
          <w:tab w:leader="none" w:pos="9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5680" w:val="left"/>
          <w:tab w:leader="none" w:pos="75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Jean-Pierre Sommadossi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-127635</wp:posOffset>
            </wp:positionV>
            <wp:extent cx="3180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714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12"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20" w:right="60" w:hanging="479"/>
        <w:spacing w:after="0" w:line="261"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1020" w:right="360" w:hanging="479"/>
        <w:spacing w:after="0" w:line="261"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1020" w:right="260" w:hanging="479"/>
        <w:spacing w:after="0" w:line="253"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20" w:right="100" w:hanging="479"/>
        <w:spacing w:after="0" w:line="253"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Arial" w:cs="Arial" w:eastAsia="Arial" w:hAnsi="Arial"/>
          <w:sz w:val="18"/>
          <w:szCs w:val="18"/>
          <w:color w:val="auto"/>
        </w:rPr>
      </w:pPr>
    </w:p>
    <w:p>
      <w:pPr>
        <w:ind w:left="1020" w:right="280" w:hanging="479"/>
        <w:spacing w:after="0" w:line="253"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8"/>
          <w:szCs w:val="18"/>
          <w:color w:val="auto"/>
        </w:rPr>
      </w:pPr>
    </w:p>
    <w:p>
      <w:pPr>
        <w:ind w:left="1020" w:right="220" w:hanging="479"/>
        <w:spacing w:after="0" w:line="271" w:lineRule="auto"/>
        <w:tabs>
          <w:tab w:leader="none" w:pos="9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6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62"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8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69" w:lineRule="exact"/>
        <w:rPr>
          <w:sz w:val="20"/>
          <w:szCs w:val="20"/>
          <w:color w:val="auto"/>
        </w:rPr>
      </w:pPr>
    </w:p>
    <w:p>
      <w:pPr>
        <w:ind w:left="20"/>
        <w:spacing w:after="0"/>
        <w:tabs>
          <w:tab w:leader="none" w:pos="5680" w:val="left"/>
          <w:tab w:leader="none" w:pos="72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708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5580" w:val="left"/>
          <w:tab w:leader="none" w:pos="780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6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8"/>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22" Type="http://schemas.openxmlformats.org/officeDocument/2006/relationships/hyperlink" Target="https://www.sec.gov/Archives/edgar/data/1593899/000119312520286850/d97355dex31.htm" TargetMode="External"/><Relationship Id="rId123" Type="http://schemas.openxmlformats.org/officeDocument/2006/relationships/hyperlink" Target="https://www.sec.gov/Archives/edgar/data/1593899/000119312520286850/d9735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2022-05-10T07:07:52Z</dcterms:created>
  <dcterms:modified xsi:type="dcterms:W3CDTF">2022-05-10T07:07:52Z</dcterms:modified>
</cp:coreProperties>
</file>