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093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09397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Berman Howard</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Atea Pharmaceuticals,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AVIR</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Borders>
              <w:bottom w:val="single" w:sz="8" w:color="0000EE"/>
            </w:tcBorders>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32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400" w:type="dxa"/>
            <w:vAlign w:val="bottom"/>
            <w:gridSpan w:val="2"/>
            <w:vMerge w:val="restart"/>
          </w:tcPr>
          <w:p>
            <w:pPr>
              <w:ind w:left="18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06/18/2026</w:t>
            </w:r>
          </w:p>
        </w:tc>
        <w:tc>
          <w:tcPr>
            <w:tcW w:w="15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225 FRANKLIN STREET</w:t>
            </w:r>
          </w:p>
        </w:tc>
        <w:tc>
          <w:tcPr>
            <w:tcW w:w="1200" w:type="dxa"/>
            <w:vAlign w:val="bottom"/>
          </w:tcPr>
          <w:p>
            <w:pPr>
              <w:spacing w:after="0"/>
              <w:rPr>
                <w:sz w:val="10"/>
                <w:szCs w:val="10"/>
                <w:color w:val="auto"/>
              </w:rPr>
            </w:pPr>
          </w:p>
        </w:tc>
        <w:tc>
          <w:tcPr>
            <w:tcW w:w="2360" w:type="dxa"/>
            <w:vAlign w:val="bottom"/>
            <w:gridSpan w:val="3"/>
            <w:vMerge w:val="continue"/>
          </w:tcPr>
          <w:p>
            <w:pPr>
              <w:spacing w:after="0"/>
              <w:rPr>
                <w:sz w:val="10"/>
                <w:szCs w:val="10"/>
                <w:color w:val="auto"/>
              </w:rPr>
            </w:pPr>
          </w:p>
        </w:tc>
        <w:tc>
          <w:tcPr>
            <w:tcW w:w="15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SUITE 2100</w:t>
            </w: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02110</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41"/>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26,700</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right"/>
              <w:ind w:right="179"/>
              <w:spacing w:after="0" w:line="129" w:lineRule="exact"/>
              <w:rPr>
                <w:sz w:val="20"/>
                <w:szCs w:val="20"/>
                <w:color w:val="auto"/>
              </w:rPr>
            </w:pPr>
            <w:r>
              <w:rPr>
                <w:rFonts w:ascii="Times New Roman" w:cs="Times New Roman" w:eastAsia="Times New Roman" w:hAnsi="Times New Roman"/>
                <w:sz w:val="13"/>
                <w:szCs w:val="13"/>
                <w:color w:val="0000FF"/>
              </w:rPr>
              <w:t>06/18/2026</w:t>
            </w:r>
          </w:p>
        </w:tc>
        <w:tc>
          <w:tcPr>
            <w:tcW w:w="110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color w:val="0000FF"/>
              </w:rPr>
              <w:t>26,700</w:t>
            </w:r>
          </w:p>
        </w:tc>
        <w:tc>
          <w:tcPr>
            <w:tcW w:w="2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color w:val="0000FF"/>
              </w:rPr>
              <w:t>26,700</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ind w:right="16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4.36</w:t>
            </w: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13"/>
                <w:szCs w:val="13"/>
                <w:color w:val="0000FF"/>
              </w:rPr>
              <w:t>06/18/2026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37,700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3"/>
                <w:szCs w:val="13"/>
                <w:color w:val="0000FF"/>
              </w:rPr>
              <w:t>06/17/2036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37,700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37,700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Common Stock.</w:t>
      </w:r>
    </w:p>
    <w:p>
      <w:pPr>
        <w:spacing w:after="0" w:line="43" w:lineRule="exact"/>
        <w:rPr>
          <w:rFonts w:ascii="Times New Roman" w:cs="Times New Roman" w:eastAsia="Times New Roman" w:hAnsi="Times New Roman"/>
          <w:sz w:val="13"/>
          <w:szCs w:val="13"/>
          <w:color w:val="008000"/>
        </w:rPr>
      </w:pPr>
    </w:p>
    <w:p>
      <w:pPr>
        <w:ind w:left="40" w:right="6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a single installment on the earlier of (i) the date of the next annual meeting of the Issuer's stockholders occurring after June 18, 2026 or (ii) June 18, 2027, in each case, subject to the Reporting Person's continued service through the applicable vesting date.</w:t>
      </w:r>
    </w:p>
    <w:p>
      <w:pPr>
        <w:spacing w:after="0" w:line="17" w:lineRule="exact"/>
        <w:rPr>
          <w:rFonts w:ascii="Times New Roman" w:cs="Times New Roman" w:eastAsia="Times New Roman" w:hAnsi="Times New Roman"/>
          <w:sz w:val="13"/>
          <w:szCs w:val="13"/>
          <w:color w:val="008000"/>
        </w:rPr>
      </w:pPr>
    </w:p>
    <w:p>
      <w:pPr>
        <w:ind w:left="40" w:right="2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and becomes exercisable in twelve (12) substantially equal monthly installments following June 18, 2026, such that the option shall be fully vested on June 18, 2027, subject to the Reporting Person's continued service through each such vesting date.</w:t>
      </w:r>
    </w:p>
    <w:p>
      <w:pPr>
        <w:spacing w:after="0" w:line="4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Andrea Corcoran,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0052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05205"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Howard</w:t>
      </w:r>
      <w:r>
        <w:rPr>
          <w:sz w:val="20"/>
          <w:szCs w:val="20"/>
          <w:color w:val="auto"/>
        </w:rPr>
        <w:tab/>
      </w:r>
      <w:r>
        <w:rPr>
          <w:rFonts w:ascii="Times New Roman" w:cs="Times New Roman" w:eastAsia="Times New Roman" w:hAnsi="Times New Roman"/>
          <w:sz w:val="16"/>
          <w:szCs w:val="16"/>
          <w:color w:val="0000FF"/>
        </w:rPr>
        <w:t>06/23/2026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3371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37185" cy="8255"/>
                    </a:xfrm>
                    <a:prstGeom prst="rect">
                      <a:avLst/>
                    </a:prstGeom>
                    <a:noFill/>
                  </pic:spPr>
                </pic:pic>
              </a:graphicData>
            </a:graphic>
          </wp:anchor>
        </w:drawing>
      </w:r>
    </w:p>
    <w:p>
      <w:pPr>
        <w:spacing w:after="0" w:line="3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52986" TargetMode="External"/><Relationship Id="rId14" Type="http://schemas.openxmlformats.org/officeDocument/2006/relationships/hyperlink" Target="http://www.sec.gov/cgi-bin/browse-edgar?action=getcompany&amp;CIK=00015938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2026-06-23T16:42:08Z</dcterms:created>
  <dcterms:modified xsi:type="dcterms:W3CDTF">2026-06-23T16:42:08Z</dcterms:modified>
</cp:coreProperties>
</file>